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
          <w:szCs w:val="3"/>
          <w:b w:val="1"/>
          <w:bCs w:val="1"/>
          <w:color w:val="auto"/>
        </w:rPr>
        <w:drawing>
          <wp:anchor simplePos="0" relativeHeight="251657728" behindDoc="1" locked="0" layoutInCell="0" allowOverlap="1">
            <wp:simplePos x="0" y="0"/>
            <wp:positionH relativeFrom="page">
              <wp:posOffset>1070610</wp:posOffset>
            </wp:positionH>
            <wp:positionV relativeFrom="page">
              <wp:posOffset>156210</wp:posOffset>
            </wp:positionV>
            <wp:extent cx="54070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page">
              <wp:posOffset>1070610</wp:posOffset>
            </wp:positionH>
            <wp:positionV relativeFrom="page">
              <wp:posOffset>171450</wp:posOffset>
            </wp:positionV>
            <wp:extent cx="54070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7025" cy="7620"/>
                    </a:xfrm>
                    <a:prstGeom prst="rect">
                      <a:avLst/>
                    </a:prstGeom>
                    <a:noFill/>
                  </pic:spPr>
                </pic:pic>
              </a:graphicData>
            </a:graphic>
          </wp:anchor>
        </w:drawing>
        <w:t>l</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58420</wp:posOffset>
            </wp:positionV>
            <wp:extent cx="10814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74295</wp:posOffset>
            </wp:positionV>
            <wp:extent cx="10814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160"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(Mark One)</w:t>
      </w:r>
    </w:p>
    <w:p>
      <w:pPr>
        <w:spacing w:after="0" w:line="8" w:lineRule="exact"/>
        <w:rPr>
          <w:sz w:val="24"/>
          <w:szCs w:val="24"/>
          <w:color w:val="auto"/>
        </w:rPr>
      </w:pPr>
    </w:p>
    <w:p>
      <w:pPr>
        <w:ind w:left="600" w:hanging="342"/>
        <w:spacing w:after="0"/>
        <w:tabs>
          <w:tab w:leader="none" w:pos="60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8" w:lineRule="exact"/>
        <w:rPr>
          <w:sz w:val="24"/>
          <w:szCs w:val="24"/>
          <w:color w:val="auto"/>
        </w:rPr>
      </w:pPr>
    </w:p>
    <w:p>
      <w:pPr>
        <w:jc w:val="center"/>
        <w:ind w:left="2640" w:right="399" w:hanging="2382"/>
        <w:spacing w:after="0" w:line="331" w:lineRule="auto"/>
        <w:tabs>
          <w:tab w:leader="none" w:pos="60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6"/>
          <w:szCs w:val="16"/>
          <w:color w:val="auto"/>
          <w:highlight w:val="black"/>
        </w:rPr>
      </w:pPr>
    </w:p>
    <w:p>
      <w:pPr>
        <w:ind w:left="3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66675</wp:posOffset>
            </wp:positionV>
            <wp:extent cx="10814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TYRA BIOSCIENCES,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55245</wp:posOffset>
            </wp:positionV>
            <wp:extent cx="1081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145" w:lineRule="exact"/>
        <w:rPr>
          <w:sz w:val="24"/>
          <w:szCs w:val="24"/>
          <w:color w:val="auto"/>
        </w:rPr>
      </w:pPr>
    </w:p>
    <w:tbl>
      <w:tblPr>
        <w:tblLayout w:type="fixed"/>
        <w:tblInd w:w="206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Arial" w:cs="Arial" w:eastAsia="Arial" w:hAnsi="Arial"/>
                <w:sz w:val="16"/>
                <w:szCs w:val="16"/>
                <w:b w:val="1"/>
                <w:bCs w:val="1"/>
                <w:color w:val="auto"/>
              </w:rPr>
              <w:t>Delaware</w:t>
            </w: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83-1476348</w:t>
            </w:r>
          </w:p>
        </w:tc>
      </w:tr>
    </w:tbl>
    <w:p>
      <w:pPr>
        <w:spacing w:after="0" w:line="9" w:lineRule="exact"/>
        <w:rPr>
          <w:sz w:val="24"/>
          <w:szCs w:val="24"/>
          <w:color w:val="auto"/>
        </w:rPr>
      </w:pPr>
    </w:p>
    <w:p>
      <w:pPr>
        <w:sectPr>
          <w:pgSz w:w="11900" w:h="16838" w:orient="portrait"/>
          <w:cols w:equalWidth="0" w:num="1">
            <w:col w:w="9019"/>
          </w:cols>
          <w:pgMar w:left="1440" w:top="287" w:right="1440" w:bottom="1440" w:gutter="0" w:footer="0" w:header="0"/>
        </w:sectPr>
      </w:pPr>
    </w:p>
    <w:p>
      <w:pPr>
        <w:ind w:left="1680"/>
        <w:spacing w:after="0"/>
        <w:rPr>
          <w:sz w:val="20"/>
          <w:szCs w:val="20"/>
          <w:color w:val="auto"/>
        </w:rPr>
      </w:pPr>
      <w:r>
        <w:rPr>
          <w:rFonts w:ascii="Arial" w:cs="Arial" w:eastAsia="Arial" w:hAnsi="Arial"/>
          <w:sz w:val="10"/>
          <w:szCs w:val="10"/>
          <w:b w:val="1"/>
          <w:bCs w:val="1"/>
          <w:color w:val="auto"/>
        </w:rPr>
        <w:t>(State or other jurisdiction of</w:t>
      </w:r>
    </w:p>
    <w:p>
      <w:pPr>
        <w:spacing w:after="0" w:line="15" w:lineRule="exact"/>
        <w:rPr>
          <w:sz w:val="24"/>
          <w:szCs w:val="24"/>
          <w:color w:val="auto"/>
        </w:rPr>
      </w:pPr>
    </w:p>
    <w:p>
      <w:pPr>
        <w:ind w:left="1660"/>
        <w:spacing w:after="0"/>
        <w:rPr>
          <w:sz w:val="20"/>
          <w:szCs w:val="20"/>
          <w:color w:val="auto"/>
        </w:rPr>
      </w:pPr>
      <w:r>
        <w:rPr>
          <w:rFonts w:ascii="Arial" w:cs="Arial" w:eastAsia="Arial" w:hAnsi="Arial"/>
          <w:sz w:val="10"/>
          <w:szCs w:val="10"/>
          <w:b w:val="1"/>
          <w:bCs w:val="1"/>
          <w:color w:val="auto"/>
        </w:rPr>
        <w:t>incorporation or organization)</w:t>
      </w:r>
    </w:p>
    <w:p>
      <w:pPr>
        <w:spacing w:after="0" w:line="26"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2656 State Street</w:t>
      </w:r>
    </w:p>
    <w:p>
      <w:pPr>
        <w:spacing w:after="0" w:line="20" w:lineRule="exact"/>
        <w:rPr>
          <w:sz w:val="24"/>
          <w:szCs w:val="24"/>
          <w:color w:val="auto"/>
        </w:rPr>
      </w:pPr>
    </w:p>
    <w:p>
      <w:pPr>
        <w:jc w:val="center"/>
        <w:ind w:right="720"/>
        <w:spacing w:after="0"/>
        <w:rPr>
          <w:sz w:val="20"/>
          <w:szCs w:val="20"/>
          <w:color w:val="auto"/>
        </w:rPr>
      </w:pPr>
      <w:r>
        <w:rPr>
          <w:rFonts w:ascii="Arial" w:cs="Arial" w:eastAsia="Arial" w:hAnsi="Arial"/>
          <w:sz w:val="15"/>
          <w:szCs w:val="15"/>
          <w:b w:val="1"/>
          <w:bCs w:val="1"/>
          <w:color w:val="auto"/>
        </w:rPr>
        <w:t>Carlsbad, California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27"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92008</w:t>
      </w:r>
    </w:p>
    <w:p>
      <w:pPr>
        <w:spacing w:after="0" w:line="30" w:lineRule="exact"/>
        <w:rPr>
          <w:sz w:val="24"/>
          <w:szCs w:val="24"/>
          <w:color w:val="auto"/>
        </w:rPr>
      </w:pPr>
    </w:p>
    <w:p>
      <w:pPr>
        <w:sectPr>
          <w:pgSz w:w="11900" w:h="16838" w:orient="portrait"/>
          <w:cols w:equalWidth="0" w:num="2">
            <w:col w:w="5480" w:space="720"/>
            <w:col w:w="2819"/>
          </w:cols>
          <w:pgMar w:left="1440" w:top="287" w:right="1440" w:bottom="1440" w:gutter="0" w:footer="0" w:header="0"/>
          <w:type w:val="continuous"/>
        </w:sectPr>
      </w:pPr>
    </w:p>
    <w:p>
      <w:pPr>
        <w:ind w:left="1460"/>
        <w:spacing w:after="0"/>
        <w:tabs>
          <w:tab w:leader="none" w:pos="636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2"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73660</wp:posOffset>
            </wp:positionV>
            <wp:extent cx="1081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159" w:lineRule="exact"/>
        <w:rPr>
          <w:sz w:val="24"/>
          <w:szCs w:val="24"/>
          <w:color w:val="auto"/>
        </w:rPr>
      </w:pPr>
    </w:p>
    <w:p>
      <w:pPr>
        <w:ind w:left="7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8" w:lineRule="exact"/>
        <w:rPr>
          <w:sz w:val="24"/>
          <w:szCs w:val="24"/>
          <w:color w:val="auto"/>
        </w:rPr>
      </w:pPr>
    </w:p>
    <w:tbl>
      <w:tblPr>
        <w:tblLayout w:type="fixed"/>
        <w:tblInd w:w="240" w:type="dxa"/>
        <w:tblCellMar>
          <w:top w:w="0" w:type="dxa"/>
          <w:left w:w="0" w:type="dxa"/>
          <w:bottom w:w="0" w:type="dxa"/>
          <w:right w:w="0" w:type="dxa"/>
        </w:tblCellMar>
      </w:tblPr>
      <w:tr>
        <w:trPr>
          <w:trHeight w:val="149"/>
        </w:trPr>
        <w:tc>
          <w:tcPr>
            <w:tcW w:w="34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Trading</w:t>
            </w:r>
          </w:p>
        </w:tc>
        <w:tc>
          <w:tcPr>
            <w:tcW w:w="80" w:type="dxa"/>
            <w:vAlign w:val="bottom"/>
          </w:tcPr>
          <w:p>
            <w:pPr>
              <w:spacing w:after="0"/>
              <w:rPr>
                <w:sz w:val="13"/>
                <w:szCs w:val="13"/>
                <w:color w:val="auto"/>
              </w:rPr>
            </w:pPr>
          </w:p>
        </w:tc>
        <w:tc>
          <w:tcPr>
            <w:tcW w:w="3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80" w:type="dxa"/>
            <w:vAlign w:val="bottom"/>
          </w:tcPr>
          <w:p>
            <w:pPr>
              <w:spacing w:after="0"/>
              <w:rPr>
                <w:sz w:val="14"/>
                <w:szCs w:val="14"/>
                <w:color w:val="auto"/>
              </w:rPr>
            </w:pPr>
          </w:p>
        </w:tc>
        <w:tc>
          <w:tcPr>
            <w:tcW w:w="3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 $0.0001 par value per share</w:t>
            </w: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TYRA</w:t>
            </w:r>
          </w:p>
        </w:tc>
        <w:tc>
          <w:tcPr>
            <w:tcW w:w="8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3"/>
              </w:rPr>
              <w:t>The Nasdaq Global Select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jc w:val="both"/>
        <w:ind w:left="240" w:right="359" w:firstLine="454"/>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left="240" w:right="379" w:firstLine="454"/>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ind w:left="240" w:right="599" w:firstLine="454"/>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6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94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2"/>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94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2"/>
        </w:trPr>
        <w:tc>
          <w:tcPr>
            <w:tcW w:w="18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3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64" w:lineRule="exact"/>
        <w:rPr>
          <w:sz w:val="24"/>
          <w:szCs w:val="24"/>
          <w:color w:val="auto"/>
        </w:rPr>
      </w:pPr>
    </w:p>
    <w:p>
      <w:pPr>
        <w:jc w:val="both"/>
        <w:ind w:left="240" w:right="379" w:firstLine="45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700" w:right="779"/>
        <w:spacing w:after="0" w:line="22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2, 2023, the registrant had 42,561,733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156210</wp:posOffset>
            </wp:positionH>
            <wp:positionV relativeFrom="paragraph">
              <wp:posOffset>86995</wp:posOffset>
            </wp:positionV>
            <wp:extent cx="5407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101600</wp:posOffset>
            </wp:positionV>
            <wp:extent cx="54070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284480</wp:posOffset>
            </wp:positionV>
            <wp:extent cx="543242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 w:name="page2"/>
    <w:bookmarkEnd w:id="1"/>
    <w:tbl>
      <w:tblPr>
        <w:tblLayout w:type="fixed"/>
        <w:tblInd w:w="26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gridSpan w:val="4"/>
          </w:tcPr>
          <w:p>
            <w:pPr>
              <w:ind w:left="580"/>
              <w:spacing w:after="0"/>
              <w:rPr>
                <w:sz w:val="20"/>
                <w:szCs w:val="20"/>
                <w:color w:val="auto"/>
              </w:rPr>
            </w:pPr>
            <w:r>
              <w:rPr>
                <w:rFonts w:ascii="Arial" w:cs="Arial" w:eastAsia="Arial" w:hAnsi="Arial"/>
                <w:sz w:val="16"/>
                <w:szCs w:val="16"/>
                <w:b w:val="1"/>
                <w:bCs w:val="1"/>
                <w:color w:val="auto"/>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4"/>
        </w:trPr>
        <w:tc>
          <w:tcPr>
            <w:tcW w:w="860" w:type="dxa"/>
            <w:vAlign w:val="bottom"/>
            <w:gridSpan w:val="2"/>
          </w:tcPr>
          <w:p>
            <w:pPr>
              <w:spacing w:after="0" w:line="154" w:lineRule="exact"/>
              <w:rPr>
                <w:sz w:val="20"/>
                <w:szCs w:val="20"/>
                <w:color w:val="auto"/>
              </w:rPr>
            </w:pPr>
            <w:r>
              <w:rPr>
                <w:rFonts w:ascii="Arial" w:cs="Arial" w:eastAsia="Arial" w:hAnsi="Arial"/>
                <w:sz w:val="16"/>
                <w:szCs w:val="16"/>
                <w:b w:val="1"/>
                <w:bCs w:val="1"/>
                <w:color w:val="auto"/>
              </w:rPr>
              <w:t>PART I.</w:t>
            </w:r>
          </w:p>
        </w:tc>
        <w:tc>
          <w:tcPr>
            <w:tcW w:w="7060" w:type="dxa"/>
            <w:vAlign w:val="bottom"/>
            <w:gridSpan w:val="16"/>
          </w:tcPr>
          <w:p>
            <w:pPr>
              <w:spacing w:after="0" w:line="154" w:lineRule="exact"/>
              <w:rPr>
                <w:sz w:val="20"/>
                <w:szCs w:val="20"/>
                <w:color w:val="auto"/>
              </w:rPr>
            </w:pPr>
            <w:r>
              <w:rPr>
                <w:rFonts w:ascii="Arial" w:cs="Arial" w:eastAsia="Arial" w:hAnsi="Arial"/>
                <w:sz w:val="16"/>
                <w:szCs w:val="16"/>
                <w:color w:val="0000FF"/>
              </w:rPr>
              <w:t>FINANCIAL INFORMATION</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1.</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Financial Statements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Balance Sheets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Statements of Operations and Comprehensive Loss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Statements of Stockholders' Equity</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Statements of Cash Flows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Notes to the Financial Statements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2.</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86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3.</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Quantitative and Qualitative Disclosures About Market Risk</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3260" w:type="dxa"/>
            <w:vAlign w:val="bottom"/>
            <w:tcBorders>
              <w:left w:val="single" w:sz="8" w:color="0000FF"/>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4.</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Controls and Procedures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vMerge w:val="continue"/>
          </w:tcPr>
          <w:p>
            <w:pPr>
              <w:spacing w:after="0"/>
              <w:rPr>
                <w:sz w:val="15"/>
                <w:szCs w:val="15"/>
                <w:color w:val="auto"/>
              </w:rPr>
            </w:pP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OTHER INFORMATION</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1.</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Legal Proceedings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5"/>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1A.</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Risk Factors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2.</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Unregistered Sales of Equity Securities and Use of Proceeds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5"/>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3.</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Defaults Upon Senior Securities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5"/>
            <w:shd w:val="clear" w:color="auto" w:fill="0000FF"/>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4.</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Mine Safety Disclosures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5.</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Other Information</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auto"/>
              </w:rPr>
              <w:t>Item 6.</w:t>
            </w:r>
          </w:p>
        </w:tc>
        <w:tc>
          <w:tcPr>
            <w:tcW w:w="7060" w:type="dxa"/>
            <w:vAlign w:val="bottom"/>
            <w:gridSpan w:val="16"/>
          </w:tcPr>
          <w:p>
            <w:pPr>
              <w:spacing w:after="0" w:line="181" w:lineRule="exact"/>
              <w:rPr>
                <w:sz w:val="20"/>
                <w:szCs w:val="20"/>
                <w:color w:val="auto"/>
              </w:rPr>
            </w:pPr>
            <w:r>
              <w:rPr>
                <w:rFonts w:ascii="Arial" w:cs="Arial" w:eastAsia="Arial" w:hAnsi="Arial"/>
                <w:sz w:val="16"/>
                <w:szCs w:val="16"/>
                <w:color w:val="0000FF"/>
              </w:rPr>
              <w:t>Exhibits</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1"/>
        </w:trPr>
        <w:tc>
          <w:tcPr>
            <w:tcW w:w="860" w:type="dxa"/>
            <w:vAlign w:val="bottom"/>
            <w:gridSpan w:val="2"/>
          </w:tcPr>
          <w:p>
            <w:pPr>
              <w:spacing w:after="0" w:line="181" w:lineRule="exact"/>
              <w:rPr>
                <w:sz w:val="20"/>
                <w:szCs w:val="20"/>
                <w:color w:val="auto"/>
              </w:rPr>
            </w:pPr>
            <w:r>
              <w:rPr>
                <w:rFonts w:ascii="Arial" w:cs="Arial" w:eastAsia="Arial" w:hAnsi="Arial"/>
                <w:sz w:val="16"/>
                <w:szCs w:val="16"/>
                <w:color w:val="0000FF"/>
              </w:rPr>
              <w:t>Signatures</w:t>
            </w:r>
          </w:p>
        </w:tc>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58420</wp:posOffset>
            </wp:positionV>
            <wp:extent cx="543242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PART I—FINANCIAL INFORMATION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1. Financial Statements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Tyra Biosciences, Inc.</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par value data)</w:t>
      </w:r>
    </w:p>
    <w:p>
      <w:pPr>
        <w:spacing w:after="0" w:line="211"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March 31,</w:t>
            </w:r>
          </w:p>
        </w:tc>
        <w:tc>
          <w:tcPr>
            <w:tcW w:w="16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03"/>
              <w:spacing w:after="0" w:line="146" w:lineRule="exact"/>
              <w:rPr>
                <w:sz w:val="20"/>
                <w:szCs w:val="20"/>
                <w:color w:val="auto"/>
              </w:rPr>
            </w:pPr>
            <w:r>
              <w:rPr>
                <w:rFonts w:ascii="Arial" w:cs="Arial" w:eastAsia="Arial" w:hAnsi="Arial"/>
                <w:sz w:val="13"/>
                <w:szCs w:val="13"/>
                <w:b w:val="1"/>
                <w:bCs w:val="1"/>
                <w:color w:val="auto"/>
                <w:w w:val="82"/>
              </w:rPr>
              <w:t>2023</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83"/>
              <w:spacing w:after="0" w:line="146"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3"/>
              <w:spacing w:after="0" w:line="146" w:lineRule="exact"/>
              <w:rPr>
                <w:sz w:val="20"/>
                <w:szCs w:val="20"/>
                <w:color w:val="auto"/>
              </w:rPr>
            </w:pPr>
            <w:r>
              <w:rPr>
                <w:rFonts w:ascii="Arial" w:cs="Arial" w:eastAsia="Arial" w:hAnsi="Arial"/>
                <w:sz w:val="13"/>
                <w:szCs w:val="13"/>
                <w:b w:val="1"/>
                <w:bCs w:val="1"/>
                <w:color w:val="auto"/>
                <w:w w:val="90"/>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241,701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Prepaid and other current assets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246,709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257,288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6"/>
                <w:szCs w:val="16"/>
                <w:color w:val="auto"/>
              </w:rPr>
              <w:t>Right-of-use asset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3,874</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255,055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Lease liabilities, current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Accrued and other current liabilities (including related party amounts</w:t>
            </w:r>
          </w:p>
        </w:tc>
        <w:tc>
          <w:tcPr>
            <w:tcW w:w="18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2,258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of $0 and $59, respectively)</w:t>
            </w: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Lease liabilities, noncurrent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Preferred stock, $0.0001 par value; 50,000,000 shares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40"/>
              <w:spacing w:after="0"/>
              <w:rPr>
                <w:sz w:val="20"/>
                <w:szCs w:val="20"/>
                <w:color w:val="auto"/>
              </w:rPr>
            </w:pPr>
            <w:r>
              <w:rPr>
                <w:rFonts w:ascii="Arial" w:cs="Arial" w:eastAsia="Arial" w:hAnsi="Arial"/>
                <w:sz w:val="16"/>
                <w:szCs w:val="16"/>
                <w:color w:val="auto"/>
              </w:rPr>
              <w:t>authorized at March 31, 2023 and December 31, 2022;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40"/>
              <w:spacing w:after="0"/>
              <w:rPr>
                <w:sz w:val="20"/>
                <w:szCs w:val="20"/>
                <w:color w:val="auto"/>
              </w:rPr>
            </w:pPr>
            <w:r>
              <w:rPr>
                <w:rFonts w:ascii="Arial" w:cs="Arial" w:eastAsia="Arial" w:hAnsi="Arial"/>
                <w:sz w:val="16"/>
                <w:szCs w:val="16"/>
                <w:color w:val="auto"/>
              </w:rPr>
              <w:t>no shares issued and outstanding at March 31, 2023 and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140"/>
              <w:spacing w:after="0"/>
              <w:rPr>
                <w:sz w:val="20"/>
                <w:szCs w:val="20"/>
                <w:color w:val="auto"/>
              </w:rPr>
            </w:pPr>
            <w:r>
              <w:rPr>
                <w:rFonts w:ascii="Arial" w:cs="Arial" w:eastAsia="Arial" w:hAnsi="Arial"/>
                <w:sz w:val="16"/>
                <w:szCs w:val="16"/>
                <w:color w:val="auto"/>
              </w:rPr>
              <w:t>December 31, 2022.</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$0.0001 par value; 500,000,000 shares authorized</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at March 31, 2023 and December 31, 2022; 42,762,501 and 42,634,459</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shares issued at March 31, 2023 and December 31, 2022, respectively,</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 42,535,374 and 42,353,550 shares outstanding at March 31, 2023</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 December 31, 2022, respectively.</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356,362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353,521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(107,576 )</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(95,696 )</w:t>
            </w:r>
          </w:p>
        </w:tc>
        <w:tc>
          <w:tcPr>
            <w:tcW w:w="0" w:type="dxa"/>
            <w:vAlign w:val="bottom"/>
          </w:tcPr>
          <w:p>
            <w:pPr>
              <w:spacing w:after="0"/>
              <w:rPr>
                <w:sz w:val="1"/>
                <w:szCs w:val="1"/>
                <w:color w:val="auto"/>
              </w:rPr>
            </w:pPr>
          </w:p>
        </w:tc>
      </w:tr>
      <w:tr>
        <w:trPr>
          <w:trHeight w:val="205"/>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248,790</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257,829</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255,055</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266,181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4632325</wp:posOffset>
            </wp:positionH>
            <wp:positionV relativeFrom="paragraph">
              <wp:posOffset>-3469005</wp:posOffset>
            </wp:positionV>
            <wp:extent cx="60325" cy="165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16510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-3469005</wp:posOffset>
            </wp:positionV>
            <wp:extent cx="52705" cy="165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-2515235</wp:posOffset>
            </wp:positionV>
            <wp:extent cx="6032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142875"/>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-2515235</wp:posOffset>
            </wp:positionV>
            <wp:extent cx="52705"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705" cy="14287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-307340</wp:posOffset>
            </wp:positionV>
            <wp:extent cx="60325" cy="150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150495"/>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-307340</wp:posOffset>
            </wp:positionV>
            <wp:extent cx="52705" cy="150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705" cy="15049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-21590</wp:posOffset>
            </wp:positionV>
            <wp:extent cx="603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-6985</wp:posOffset>
            </wp:positionV>
            <wp:extent cx="603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-21590</wp:posOffset>
            </wp:positionV>
            <wp:extent cx="527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-6985</wp:posOffset>
            </wp:positionV>
            <wp:extent cx="527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unaudited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6"/>
          <w:szCs w:val="16"/>
          <w:b w:val="1"/>
          <w:bCs w:val="1"/>
          <w:color w:val="auto"/>
        </w:rPr>
        <w:t>Tyra Biosciences,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Statements of Operations and Comprehensive Loss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 thousands, except share and per share data)</w:t>
      </w:r>
    </w:p>
    <w:p>
      <w:pPr>
        <w:spacing w:after="0" w:line="206" w:lineRule="exact"/>
        <w:rPr>
          <w:sz w:val="20"/>
          <w:szCs w:val="20"/>
          <w:color w:val="auto"/>
        </w:rPr>
      </w:pPr>
    </w:p>
    <w:p>
      <w:pPr>
        <w:jc w:val="center"/>
        <w:ind w:left="5040"/>
        <w:spacing w:after="0"/>
        <w:rPr>
          <w:sz w:val="20"/>
          <w:szCs w:val="20"/>
          <w:color w:val="auto"/>
        </w:rPr>
      </w:pPr>
      <w:r>
        <w:rPr>
          <w:rFonts w:ascii="Arial" w:cs="Arial" w:eastAsia="Arial" w:hAnsi="Arial"/>
          <w:sz w:val="13"/>
          <w:szCs w:val="13"/>
          <w:b w:val="1"/>
          <w:bCs w:val="1"/>
          <w:color w:val="auto"/>
        </w:rPr>
        <w:t>Three Months Ended</w:t>
      </w:r>
    </w:p>
    <w:p>
      <w:pPr>
        <w:jc w:val="center"/>
        <w:ind w:left="5040"/>
        <w:spacing w:after="0" w:line="237" w:lineRule="auto"/>
        <w:rPr>
          <w:sz w:val="20"/>
          <w:szCs w:val="20"/>
          <w:color w:val="auto"/>
        </w:rPr>
      </w:pPr>
      <w:r>
        <w:rPr>
          <w:rFonts w:ascii="Arial" w:cs="Arial" w:eastAsia="Arial" w:hAnsi="Arial"/>
          <w:sz w:val="13"/>
          <w:szCs w:val="13"/>
          <w:b w:val="1"/>
          <w:bCs w:val="1"/>
          <w:color w:val="auto"/>
        </w:rPr>
        <w:t>March 31,</w:t>
      </w:r>
    </w:p>
    <w:tbl>
      <w:tblPr>
        <w:tblLayout w:type="fixed"/>
        <w:tblInd w:w="240" w:type="dxa"/>
        <w:tblCellMar>
          <w:top w:w="0" w:type="dxa"/>
          <w:left w:w="0" w:type="dxa"/>
          <w:bottom w:w="0" w:type="dxa"/>
          <w:right w:w="0" w:type="dxa"/>
        </w:tblCellMar>
      </w:tblPr>
      <w:tr>
        <w:trPr>
          <w:trHeight w:val="146"/>
        </w:trPr>
        <w:tc>
          <w:tcPr>
            <w:tcW w:w="5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63"/>
              <w:spacing w:after="0" w:line="146" w:lineRule="exact"/>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63"/>
              <w:spacing w:after="0" w:line="146"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10,408</w:t>
            </w:r>
          </w:p>
        </w:tc>
        <w:tc>
          <w:tcPr>
            <w:tcW w:w="2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General and administrative (including related party</w:t>
            </w:r>
          </w:p>
        </w:tc>
        <w:tc>
          <w:tcPr>
            <w:tcW w:w="36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3,926</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5,189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amounts of $0 and $210, respectively)</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14,334</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(14,334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(14,834</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80"/>
              <w:spacing w:after="0"/>
              <w:rPr>
                <w:sz w:val="20"/>
                <w:szCs w:val="20"/>
                <w:color w:val="auto"/>
              </w:rPr>
            </w:pPr>
            <w:r>
              <w:rPr>
                <w:rFonts w:ascii="Arial" w:cs="Arial" w:eastAsia="Arial" w:hAnsi="Arial"/>
                <w:sz w:val="16"/>
                <w:szCs w:val="16"/>
                <w:color w:val="auto"/>
              </w:rPr>
              <w:t>Other expense</w:t>
            </w:r>
          </w:p>
        </w:tc>
        <w:tc>
          <w:tcPr>
            <w:tcW w:w="360" w:type="dxa"/>
            <w:vAlign w:val="bottom"/>
          </w:tcPr>
          <w:p>
            <w:pPr>
              <w:spacing w:after="0"/>
              <w:rPr>
                <w:sz w:val="17"/>
                <w:szCs w:val="17"/>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6"/>
                <w:szCs w:val="16"/>
                <w:color w:val="auto"/>
              </w:rPr>
              <w:t>(1 )</w:t>
            </w:r>
          </w:p>
        </w:tc>
        <w:tc>
          <w:tcPr>
            <w:tcW w:w="3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other income</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2,454</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1"/>
              <w:spacing w:after="0"/>
              <w:rPr>
                <w:sz w:val="20"/>
                <w:szCs w:val="20"/>
                <w:color w:val="auto"/>
              </w:rPr>
            </w:pPr>
            <w:r>
              <w:rPr>
                <w:rFonts w:ascii="Arial" w:cs="Arial" w:eastAsia="Arial" w:hAnsi="Arial"/>
                <w:sz w:val="16"/>
                <w:szCs w:val="16"/>
                <w:color w:val="auto"/>
              </w:rPr>
              <w:t>(11,880 )</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(14,826 )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0"/>
        </w:trPr>
        <w:tc>
          <w:tcPr>
            <w:tcW w:w="5160" w:type="dxa"/>
            <w:vAlign w:val="bottom"/>
          </w:tcPr>
          <w:p>
            <w:pPr>
              <w:ind w:left="20"/>
              <w:spacing w:after="0" w:line="171" w:lineRule="exact"/>
              <w:rPr>
                <w:sz w:val="20"/>
                <w:szCs w:val="20"/>
                <w:color w:val="auto"/>
              </w:rPr>
            </w:pPr>
            <w:r>
              <w:rPr>
                <w:rFonts w:ascii="Arial" w:cs="Arial" w:eastAsia="Arial" w:hAnsi="Arial"/>
                <w:sz w:val="16"/>
                <w:szCs w:val="16"/>
                <w:color w:val="auto"/>
              </w:rPr>
              <w:t>Weighted-average shares used to compute net loss</w:t>
            </w: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42,394,623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41,551,713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140"/>
              <w:spacing w:after="0" w:line="178" w:lineRule="exact"/>
              <w:rPr>
                <w:sz w:val="20"/>
                <w:szCs w:val="20"/>
                <w:color w:val="auto"/>
              </w:rPr>
            </w:pPr>
            <w:r>
              <w:rPr>
                <w:rFonts w:ascii="Arial" w:cs="Arial" w:eastAsia="Arial" w:hAnsi="Arial"/>
                <w:sz w:val="16"/>
                <w:szCs w:val="16"/>
                <w:color w:val="auto"/>
              </w:rPr>
              <w:t>per share, basic and diluted</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-1426210</wp:posOffset>
            </wp:positionV>
            <wp:extent cx="52705" cy="165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-1426210</wp:posOffset>
            </wp:positionV>
            <wp:extent cx="52705" cy="165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-577850</wp:posOffset>
            </wp:positionV>
            <wp:extent cx="52705" cy="165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-577850</wp:posOffset>
            </wp:positionV>
            <wp:extent cx="52705" cy="165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-277495</wp:posOffset>
            </wp:positionV>
            <wp:extent cx="1171575" cy="278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1575" cy="278130"/>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unaudited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color w:val="auto"/>
        </w:rPr>
        <w:t>Tyra Biosciences,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2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right"/>
              <w:ind w:right="540"/>
              <w:spacing w:after="0" w:line="130"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Borders>
              <w:top w:val="single" w:sz="8" w:color="auto"/>
              <w:bottom w:val="single" w:sz="8" w:color="auto"/>
            </w:tcBorders>
            <w:gridSpan w:val="2"/>
          </w:tcPr>
          <w:p>
            <w:pPr>
              <w:jc w:val="right"/>
              <w:ind w:right="521"/>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jc w:val="right"/>
              <w:ind w:right="521"/>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2021</w:t>
            </w:r>
          </w:p>
        </w:tc>
        <w:tc>
          <w:tcPr>
            <w:tcW w:w="15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41,441,135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tcBorders>
              <w:right w:val="single" w:sz="8" w:color="CFF0FC"/>
            </w:tcBorders>
            <w:gridSpan w:val="2"/>
            <w:shd w:val="clear" w:color="auto" w:fill="CFF0FC"/>
          </w:tcPr>
          <w:p>
            <w:pPr>
              <w:jc w:val="right"/>
              <w:ind w:right="1"/>
              <w:spacing w:after="0"/>
              <w:rPr>
                <w:sz w:val="20"/>
                <w:szCs w:val="20"/>
                <w:color w:val="auto"/>
              </w:rPr>
            </w:pPr>
            <w:r>
              <w:rPr>
                <w:rFonts w:ascii="Arial" w:cs="Arial" w:eastAsia="Arial" w:hAnsi="Arial"/>
                <w:sz w:val="16"/>
                <w:szCs w:val="16"/>
                <w:color w:val="auto"/>
              </w:rPr>
              <w:t>4</w:t>
            </w:r>
          </w:p>
        </w:tc>
        <w:tc>
          <w:tcPr>
            <w:tcW w:w="360" w:type="dxa"/>
            <w:vAlign w:val="bottom"/>
            <w:gridSpan w:val="2"/>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342,104</w:t>
            </w:r>
          </w:p>
        </w:tc>
        <w:tc>
          <w:tcPr>
            <w:tcW w:w="420" w:type="dxa"/>
            <w:vAlign w:val="bottom"/>
            <w:gridSpan w:val="3"/>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(40,371 )</w:t>
            </w:r>
          </w:p>
        </w:tc>
        <w:tc>
          <w:tcPr>
            <w:tcW w:w="220" w:type="dxa"/>
            <w:vAlign w:val="bottom"/>
            <w:shd w:val="clear" w:color="auto" w:fill="CFF0FC"/>
          </w:tcPr>
          <w:p>
            <w:pPr>
              <w:jc w:val="right"/>
              <w:ind w:right="55"/>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301,737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spacing w:after="0"/>
              <w:rPr>
                <w:sz w:val="20"/>
                <w:szCs w:val="20"/>
                <w:color w:val="auto"/>
              </w:rPr>
            </w:pPr>
            <w:r>
              <w:rPr>
                <w:rFonts w:ascii="Arial" w:cs="Arial" w:eastAsia="Arial" w:hAnsi="Arial"/>
                <w:sz w:val="16"/>
                <w:szCs w:val="16"/>
                <w:color w:val="auto"/>
              </w:rPr>
              <w:t>Issuance of common stock under</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ind w:left="120"/>
              <w:spacing w:after="0"/>
              <w:rPr>
                <w:sz w:val="20"/>
                <w:szCs w:val="20"/>
                <w:color w:val="auto"/>
              </w:rPr>
            </w:pPr>
            <w:r>
              <w:rPr>
                <w:rFonts w:ascii="Arial" w:cs="Arial" w:eastAsia="Arial" w:hAnsi="Arial"/>
                <w:sz w:val="16"/>
                <w:szCs w:val="16"/>
                <w:color w:val="auto"/>
              </w:rPr>
              <w:t>benefit plans</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28,951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ind w:right="1"/>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shares of common</w:t>
            </w:r>
          </w:p>
        </w:tc>
        <w:tc>
          <w:tcPr>
            <w:tcW w:w="128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stock subject to repurchase</w:t>
            </w:r>
          </w:p>
        </w:tc>
        <w:tc>
          <w:tcPr>
            <w:tcW w:w="15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226,478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ind w:right="1"/>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3,972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loss</w:t>
            </w:r>
          </w:p>
        </w:tc>
        <w:tc>
          <w:tcPr>
            <w:tcW w:w="1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(14,826 )</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(14,826 )</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b w:val="1"/>
                <w:bCs w:val="1"/>
                <w:color w:val="auto"/>
              </w:rPr>
              <w:t>Balance at March 31, 2022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41,696,564</w:t>
            </w:r>
          </w:p>
        </w:tc>
        <w:tc>
          <w:tcPr>
            <w:tcW w:w="22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346,377</w:t>
            </w:r>
          </w:p>
        </w:tc>
        <w:tc>
          <w:tcPr>
            <w:tcW w:w="220" w:type="dxa"/>
            <w:vAlign w:val="bottom"/>
            <w:gridSpan w:val="2"/>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(55,197 )</w:t>
            </w:r>
          </w:p>
        </w:tc>
        <w:tc>
          <w:tcPr>
            <w:tcW w:w="220" w:type="dxa"/>
            <w:vAlign w:val="bottom"/>
          </w:tcPr>
          <w:p>
            <w:pPr>
              <w:jc w:val="right"/>
              <w:ind w:right="55"/>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vMerge w:val="restart"/>
          </w:tcPr>
          <w:p>
            <w:pPr>
              <w:jc w:val="right"/>
              <w:ind w:right="325"/>
              <w:spacing w:after="0"/>
              <w:rPr>
                <w:sz w:val="20"/>
                <w:szCs w:val="20"/>
                <w:color w:val="auto"/>
              </w:rPr>
            </w:pPr>
            <w:r>
              <w:rPr>
                <w:rFonts w:ascii="Arial" w:cs="Arial" w:eastAsia="Arial" w:hAnsi="Arial"/>
                <w:sz w:val="13"/>
                <w:szCs w:val="13"/>
                <w:b w:val="1"/>
                <w:bCs w:val="1"/>
                <w:color w:val="auto"/>
                <w:w w:val="97"/>
              </w:rPr>
              <w:t>Accumulated</w:t>
            </w:r>
          </w:p>
        </w:tc>
        <w:tc>
          <w:tcPr>
            <w:tcW w:w="260" w:type="dxa"/>
            <w:vAlign w:val="bottom"/>
            <w:vMerge w:val="restart"/>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60" w:type="dxa"/>
            <w:vAlign w:val="bottom"/>
            <w:gridSpan w:val="4"/>
            <w:vMerge w:val="restart"/>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right"/>
              <w:ind w:right="700"/>
              <w:spacing w:after="0" w:line="130"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Deficit</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ind w:right="821"/>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74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2022</w:t>
            </w:r>
          </w:p>
        </w:tc>
        <w:tc>
          <w:tcPr>
            <w:tcW w:w="3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42,353,550</w:t>
            </w:r>
          </w:p>
        </w:tc>
        <w:tc>
          <w:tcPr>
            <w:tcW w:w="28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353,521</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(95,696 )</w:t>
            </w:r>
          </w:p>
        </w:tc>
        <w:tc>
          <w:tcPr>
            <w:tcW w:w="220" w:type="dxa"/>
            <w:vAlign w:val="bottom"/>
            <w:shd w:val="clear" w:color="auto" w:fill="CFF0FC"/>
          </w:tcPr>
          <w:p>
            <w:pPr>
              <w:jc w:val="right"/>
              <w:ind w:right="95"/>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257,829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spacing w:after="0"/>
              <w:rPr>
                <w:sz w:val="20"/>
                <w:szCs w:val="20"/>
                <w:color w:val="auto"/>
              </w:rPr>
            </w:pPr>
            <w:r>
              <w:rPr>
                <w:rFonts w:ascii="Arial" w:cs="Arial" w:eastAsia="Arial" w:hAnsi="Arial"/>
                <w:sz w:val="16"/>
                <w:szCs w:val="16"/>
                <w:color w:val="auto"/>
              </w:rPr>
              <w:t>Issuance of common stock under</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ind w:left="120"/>
              <w:spacing w:after="0"/>
              <w:rPr>
                <w:sz w:val="20"/>
                <w:szCs w:val="20"/>
                <w:color w:val="auto"/>
              </w:rPr>
            </w:pPr>
            <w:r>
              <w:rPr>
                <w:rFonts w:ascii="Arial" w:cs="Arial" w:eastAsia="Arial" w:hAnsi="Arial"/>
                <w:sz w:val="16"/>
                <w:szCs w:val="16"/>
                <w:color w:val="auto"/>
              </w:rPr>
              <w:t>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129,669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shares of common</w:t>
            </w:r>
          </w:p>
        </w:tc>
        <w:tc>
          <w:tcPr>
            <w:tcW w:w="128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stock subject to repurchase</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52,155</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560" w:type="dxa"/>
            <w:vAlign w:val="bottom"/>
            <w:gridSpan w:val="2"/>
          </w:tcPr>
          <w:p>
            <w:pPr>
              <w:jc w:val="right"/>
              <w:ind w:right="2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(11,880 )</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(11,880 )</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Balance at March 31, 2023</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42,535,374</w:t>
            </w:r>
          </w:p>
        </w:tc>
        <w:tc>
          <w:tcPr>
            <w:tcW w:w="28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356,362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(107,576 )</w:t>
            </w:r>
          </w:p>
        </w:tc>
        <w:tc>
          <w:tcPr>
            <w:tcW w:w="220" w:type="dxa"/>
            <w:vAlign w:val="bottom"/>
          </w:tcPr>
          <w:p>
            <w:pPr>
              <w:jc w:val="right"/>
              <w:ind w:right="95"/>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248,790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-1741805</wp:posOffset>
            </wp:positionV>
            <wp:extent cx="74930" cy="150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-1741805</wp:posOffset>
            </wp:positionV>
            <wp:extent cx="74930" cy="150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-1741805</wp:posOffset>
            </wp:positionV>
            <wp:extent cx="67310" cy="150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-1741805</wp:posOffset>
            </wp:positionV>
            <wp:extent cx="67310" cy="150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-1741805</wp:posOffset>
            </wp:positionV>
            <wp:extent cx="62230" cy="150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30" cy="15049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-149860</wp:posOffset>
            </wp:positionV>
            <wp:extent cx="74930" cy="150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-149860</wp:posOffset>
            </wp:positionV>
            <wp:extent cx="74930" cy="150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-149860</wp:posOffset>
            </wp:positionV>
            <wp:extent cx="74930" cy="150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-149860</wp:posOffset>
            </wp:positionV>
            <wp:extent cx="67310" cy="150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-149860</wp:posOffset>
            </wp:positionV>
            <wp:extent cx="62230" cy="150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30" cy="15049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21677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0640"/>
                    </a:xfrm>
                    <a:prstGeom prst="rect">
                      <a:avLst/>
                    </a:prstGeom>
                    <a:noFill/>
                  </pic:spPr>
                </pic:pic>
              </a:graphicData>
            </a:graphic>
          </wp:anchor>
        </w:drawing>
      </w:r>
    </w:p>
    <w:p>
      <w:pPr>
        <w:sectPr>
          <w:pgSz w:w="11900" w:h="16838" w:orient="portrait"/>
          <w:cols w:equalWidth="0" w:num="1">
            <w:col w:w="11340"/>
          </w:cols>
          <w:pgMar w:left="320" w:top="312" w:right="239" w:bottom="1440" w:gutter="0" w:footer="0" w:header="0"/>
        </w:sectPr>
      </w:pPr>
    </w:p>
    <w:bookmarkStart w:id="5" w:name="page6"/>
    <w:bookmarkEnd w:id="5"/>
    <w:p>
      <w:pPr>
        <w:ind w:left="3780"/>
        <w:spacing w:after="0"/>
        <w:rPr>
          <w:sz w:val="20"/>
          <w:szCs w:val="20"/>
          <w:color w:val="auto"/>
        </w:rPr>
      </w:pPr>
      <w:r>
        <w:rPr>
          <w:rFonts w:ascii="Arial" w:cs="Arial" w:eastAsia="Arial" w:hAnsi="Arial"/>
          <w:sz w:val="16"/>
          <w:szCs w:val="16"/>
          <w:b w:val="1"/>
          <w:bCs w:val="1"/>
          <w:color w:val="auto"/>
        </w:rPr>
        <w:t>Tyra Biosciences, Inc.</w:t>
      </w:r>
    </w:p>
    <w:p>
      <w:pPr>
        <w:spacing w:after="0" w:line="20"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Statements of Cash Flows</w:t>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(in thousands)</w:t>
      </w:r>
    </w:p>
    <w:p>
      <w:pPr>
        <w:spacing w:after="0" w:line="206"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Three Months Ended</w:t>
      </w:r>
    </w:p>
    <w:p>
      <w:pPr>
        <w:jc w:val="center"/>
        <w:ind w:left="5760"/>
        <w:spacing w:after="0" w:line="237" w:lineRule="auto"/>
        <w:rPr>
          <w:sz w:val="20"/>
          <w:szCs w:val="20"/>
          <w:color w:val="auto"/>
        </w:rPr>
      </w:pPr>
      <w:r>
        <w:rPr>
          <w:rFonts w:ascii="Arial" w:cs="Arial" w:eastAsia="Arial" w:hAnsi="Arial"/>
          <w:sz w:val="13"/>
          <w:szCs w:val="13"/>
          <w:b w:val="1"/>
          <w:bCs w:val="1"/>
          <w:color w:val="auto"/>
        </w:rPr>
        <w:t>March 31,</w:t>
      </w:r>
    </w:p>
    <w:tbl>
      <w:tblPr>
        <w:tblLayout w:type="fixed"/>
        <w:tblInd w:w="240" w:type="dxa"/>
        <w:tblCellMar>
          <w:top w:w="0" w:type="dxa"/>
          <w:left w:w="0" w:type="dxa"/>
          <w:bottom w:w="0" w:type="dxa"/>
          <w:right w:w="0" w:type="dxa"/>
        </w:tblCellMar>
      </w:tblPr>
      <w:tr>
        <w:trPr>
          <w:trHeight w:val="146"/>
        </w:trPr>
        <w:tc>
          <w:tcPr>
            <w:tcW w:w="58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2"/>
              <w:spacing w:after="0" w:line="146" w:lineRule="exact"/>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2"/>
              <w:spacing w:after="0" w:line="146"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2"/>
                <w:szCs w:val="12"/>
                <w:color w:val="auto"/>
              </w:rPr>
            </w:pPr>
          </w:p>
        </w:tc>
      </w:tr>
      <w:tr>
        <w:trPr>
          <w:trHeight w:val="205"/>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(11,880 )</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(14,826 )</w:t>
            </w:r>
          </w:p>
        </w:tc>
      </w:tr>
      <w:tr>
        <w:trPr>
          <w:trHeight w:val="21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7"/>
                <w:szCs w:val="17"/>
                <w:color w:val="auto"/>
              </w:rPr>
            </w:pPr>
          </w:p>
        </w:tc>
      </w:tr>
      <w:tr>
        <w:trPr>
          <w:trHeight w:val="219"/>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CFF0FC"/>
          </w:tcPr>
          <w:p>
            <w:pPr>
              <w:spacing w:after="0"/>
              <w:rPr>
                <w:sz w:val="19"/>
                <w:szCs w:val="19"/>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r>
      <w:tr>
        <w:trPr>
          <w:trHeight w:val="219"/>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7"/>
        </w:trPr>
        <w:tc>
          <w:tcPr>
            <w:tcW w:w="586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7"/>
                <w:szCs w:val="17"/>
                <w:color w:val="auto"/>
              </w:rPr>
            </w:pPr>
          </w:p>
        </w:tc>
      </w:tr>
      <w:tr>
        <w:trPr>
          <w:trHeight w:val="195"/>
        </w:trPr>
        <w:tc>
          <w:tcPr>
            <w:tcW w:w="58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Accounts payable, accrued expenses and other liabilities (including</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4"/>
        </w:trPr>
        <w:tc>
          <w:tcPr>
            <w:tcW w:w="5860" w:type="dxa"/>
            <w:vAlign w:val="bottom"/>
            <w:shd w:val="clear" w:color="auto" w:fill="CFF0FC"/>
          </w:tcPr>
          <w:p>
            <w:pPr>
              <w:ind w:left="460"/>
              <w:spacing w:after="0"/>
              <w:rPr>
                <w:sz w:val="20"/>
                <w:szCs w:val="20"/>
                <w:color w:val="auto"/>
              </w:rPr>
            </w:pPr>
            <w:r>
              <w:rPr>
                <w:rFonts w:ascii="Arial" w:cs="Arial" w:eastAsia="Arial" w:hAnsi="Arial"/>
                <w:sz w:val="16"/>
                <w:szCs w:val="16"/>
                <w:color w:val="auto"/>
              </w:rPr>
              <w:t>related party amounts of $0 and $22, respectively)</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(2,022 )</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1,560</w:t>
            </w:r>
          </w:p>
        </w:tc>
        <w:tc>
          <w:tcPr>
            <w:tcW w:w="80" w:type="dxa"/>
            <w:vAlign w:val="bottom"/>
            <w:shd w:val="clear" w:color="auto" w:fill="CFF0FC"/>
          </w:tcPr>
          <w:p>
            <w:pPr>
              <w:spacing w:after="0"/>
              <w:rPr>
                <w:sz w:val="18"/>
                <w:szCs w:val="18"/>
                <w:color w:val="auto"/>
              </w:rPr>
            </w:pPr>
          </w:p>
        </w:tc>
      </w:tr>
      <w:tr>
        <w:trPr>
          <w:trHeight w:val="207"/>
        </w:trPr>
        <w:tc>
          <w:tcPr>
            <w:tcW w:w="5860" w:type="dxa"/>
            <w:vAlign w:val="bottom"/>
          </w:tcPr>
          <w:p>
            <w:pPr>
              <w:ind w:left="340"/>
              <w:spacing w:after="0"/>
              <w:rPr>
                <w:sz w:val="20"/>
                <w:szCs w:val="20"/>
                <w:color w:val="auto"/>
              </w:rPr>
            </w:pPr>
            <w:r>
              <w:rPr>
                <w:rFonts w:ascii="Arial" w:cs="Arial" w:eastAsia="Arial" w:hAnsi="Arial"/>
                <w:sz w:val="16"/>
                <w:szCs w:val="16"/>
                <w:color w:val="auto"/>
              </w:rPr>
              <w:t>Right-of-use assets and lease liabilities,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r>
      <w:tr>
        <w:trPr>
          <w:trHeight w:val="211"/>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(41 )</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(239 )</w:t>
            </w:r>
          </w:p>
        </w:tc>
      </w:tr>
      <w:tr>
        <w:trPr>
          <w:trHeight w:val="198"/>
        </w:trPr>
        <w:tc>
          <w:tcPr>
            <w:tcW w:w="5860" w:type="dxa"/>
            <w:vAlign w:val="bottom"/>
          </w:tcPr>
          <w:p>
            <w:pPr>
              <w:ind w:left="180"/>
              <w:spacing w:after="0" w:line="181" w:lineRule="exact"/>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7"/>
        </w:trPr>
        <w:tc>
          <w:tcPr>
            <w:tcW w:w="58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Proceeds from issuances of common stock under benefit plans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2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80" w:type="dxa"/>
            <w:vAlign w:val="bottom"/>
            <w:tcBorders>
              <w:bottom w:val="single" w:sz="8" w:color="CFF0FC"/>
            </w:tcBorders>
          </w:tcPr>
          <w:p>
            <w:pPr>
              <w:spacing w:after="0"/>
              <w:rPr>
                <w:sz w:val="17"/>
                <w:szCs w:val="17"/>
                <w:color w:val="auto"/>
              </w:rPr>
            </w:pPr>
          </w:p>
        </w:tc>
      </w:tr>
      <w:tr>
        <w:trPr>
          <w:trHeight w:val="205"/>
        </w:trPr>
        <w:tc>
          <w:tcPr>
            <w:tcW w:w="5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5"/>
        </w:trPr>
        <w:tc>
          <w:tcPr>
            <w:tcW w:w="5860" w:type="dxa"/>
            <w:vAlign w:val="bottom"/>
          </w:tcPr>
          <w:p>
            <w:pPr>
              <w:ind w:left="20"/>
              <w:spacing w:after="0"/>
              <w:rPr>
                <w:sz w:val="20"/>
                <w:szCs w:val="20"/>
                <w:color w:val="auto"/>
              </w:rPr>
            </w:pPr>
            <w:r>
              <w:rPr>
                <w:rFonts w:ascii="Arial" w:cs="Arial" w:eastAsia="Arial" w:hAnsi="Arial"/>
                <w:sz w:val="16"/>
                <w:szCs w:val="16"/>
                <w:color w:val="auto"/>
              </w:rPr>
              <w:t>Net cash decrease for the period</w:t>
            </w:r>
          </w:p>
        </w:tc>
        <w:tc>
          <w:tcPr>
            <w:tcW w:w="280" w:type="dxa"/>
            <w:vAlign w:val="bottom"/>
          </w:tcPr>
          <w:p>
            <w:pPr>
              <w:spacing w:after="0"/>
              <w:rPr>
                <w:sz w:val="17"/>
                <w:szCs w:val="17"/>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(9,512 )</w:t>
            </w:r>
          </w:p>
        </w:tc>
        <w:tc>
          <w:tcPr>
            <w:tcW w:w="2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(8,926 )</w:t>
            </w:r>
          </w:p>
        </w:tc>
      </w:tr>
      <w:tr>
        <w:trPr>
          <w:trHeight w:val="21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252,213</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302,425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5"/>
        </w:trPr>
        <w:tc>
          <w:tcPr>
            <w:tcW w:w="5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the period</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242,701</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293,499</w:t>
            </w:r>
          </w:p>
        </w:tc>
        <w:tc>
          <w:tcPr>
            <w:tcW w:w="80" w:type="dxa"/>
            <w:vAlign w:val="bottom"/>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5860" w:type="dxa"/>
            <w:vAlign w:val="bottom"/>
            <w:shd w:val="clear" w:color="auto" w:fill="CFF0FC"/>
          </w:tcPr>
          <w:p>
            <w:pPr>
              <w:ind w:left="20"/>
              <w:spacing w:after="0" w:line="171" w:lineRule="exact"/>
              <w:rPr>
                <w:sz w:val="20"/>
                <w:szCs w:val="20"/>
                <w:color w:val="auto"/>
              </w:rPr>
            </w:pPr>
            <w:r>
              <w:rPr>
                <w:rFonts w:ascii="Arial" w:cs="Arial" w:eastAsia="Arial" w:hAnsi="Arial"/>
                <w:sz w:val="16"/>
                <w:szCs w:val="16"/>
                <w:color w:val="auto"/>
              </w:rPr>
              <w:t>Reconciliation of cash, cash equivalents and restricted cash to the</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4"/>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balance sheet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241,701</w:t>
            </w:r>
          </w:p>
        </w:tc>
        <w:tc>
          <w:tcPr>
            <w:tcW w:w="2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292,499</w:t>
            </w:r>
          </w:p>
        </w:tc>
        <w:tc>
          <w:tcPr>
            <w:tcW w:w="80" w:type="dxa"/>
            <w:vAlign w:val="bottom"/>
          </w:tcPr>
          <w:p>
            <w:pPr>
              <w:spacing w:after="0"/>
              <w:rPr>
                <w:sz w:val="17"/>
                <w:szCs w:val="17"/>
                <w:color w:val="auto"/>
              </w:rPr>
            </w:pPr>
          </w:p>
        </w:tc>
      </w:tr>
      <w:tr>
        <w:trPr>
          <w:trHeight w:val="213"/>
        </w:trPr>
        <w:tc>
          <w:tcPr>
            <w:tcW w:w="5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5"/>
        </w:trPr>
        <w:tc>
          <w:tcPr>
            <w:tcW w:w="586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242,701</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293,499</w:t>
            </w:r>
          </w:p>
        </w:tc>
        <w:tc>
          <w:tcPr>
            <w:tcW w:w="80" w:type="dxa"/>
            <w:vAlign w:val="bottom"/>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5"/>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7"/>
        </w:trPr>
        <w:tc>
          <w:tcPr>
            <w:tcW w:w="5860" w:type="dxa"/>
            <w:vAlign w:val="bottom"/>
          </w:tcPr>
          <w:p>
            <w:pPr>
              <w:ind w:left="180"/>
              <w:spacing w:after="0"/>
              <w:rPr>
                <w:sz w:val="20"/>
                <w:szCs w:val="20"/>
                <w:color w:val="auto"/>
              </w:rPr>
            </w:pPr>
            <w:r>
              <w:rPr>
                <w:rFonts w:ascii="Arial" w:cs="Arial" w:eastAsia="Arial" w:hAnsi="Arial"/>
                <w:sz w:val="16"/>
                <w:szCs w:val="16"/>
                <w:color w:val="auto"/>
              </w:rPr>
              <w:t>Right-of-use asset obtained in exchange for lease liability</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1,547</w:t>
            </w:r>
          </w:p>
        </w:tc>
        <w:tc>
          <w:tcPr>
            <w:tcW w:w="80" w:type="dxa"/>
            <w:vAlign w:val="bottom"/>
          </w:tcPr>
          <w:p>
            <w:pPr>
              <w:spacing w:after="0"/>
              <w:rPr>
                <w:sz w:val="17"/>
                <w:szCs w:val="17"/>
                <w:color w:val="auto"/>
              </w:rPr>
            </w:pPr>
          </w:p>
        </w:tc>
      </w:tr>
      <w:tr>
        <w:trPr>
          <w:trHeight w:val="219"/>
        </w:trPr>
        <w:tc>
          <w:tcPr>
            <w:tcW w:w="5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Non-cash investing activities: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0"/>
        </w:trPr>
        <w:tc>
          <w:tcPr>
            <w:tcW w:w="5860" w:type="dxa"/>
            <w:vAlign w:val="bottom"/>
          </w:tcPr>
          <w:p>
            <w:pPr>
              <w:ind w:left="340"/>
              <w:spacing w:after="0"/>
              <w:rPr>
                <w:sz w:val="20"/>
                <w:szCs w:val="20"/>
                <w:color w:val="auto"/>
              </w:rPr>
            </w:pPr>
            <w:r>
              <w:rPr>
                <w:rFonts w:ascii="Arial" w:cs="Arial" w:eastAsia="Arial" w:hAnsi="Arial"/>
                <w:sz w:val="16"/>
                <w:szCs w:val="16"/>
                <w:color w:val="auto"/>
              </w:rPr>
              <w:t>Purchases of equipment included in accounts payable</w:t>
            </w:r>
          </w:p>
        </w:tc>
        <w:tc>
          <w:tcPr>
            <w:tcW w:w="28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-1821815</wp:posOffset>
            </wp:positionV>
            <wp:extent cx="5419725" cy="297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9725" cy="29781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-1388110</wp:posOffset>
            </wp:positionV>
            <wp:extent cx="52705" cy="165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-1388110</wp:posOffset>
            </wp:positionV>
            <wp:extent cx="52705" cy="165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-697230</wp:posOffset>
            </wp:positionV>
            <wp:extent cx="52705" cy="165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705" cy="16510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-697230</wp:posOffset>
            </wp:positionV>
            <wp:extent cx="52705" cy="165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705" cy="165100"/>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unaudited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Tyra Biosciences,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Financial Statements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(unaudited)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1. Organization and Basis of Presentation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Organization</w:t>
      </w:r>
    </w:p>
    <w:p>
      <w:pPr>
        <w:spacing w:after="0" w:line="194" w:lineRule="exact"/>
        <w:rPr>
          <w:sz w:val="20"/>
          <w:szCs w:val="20"/>
          <w:color w:val="auto"/>
        </w:rPr>
      </w:pPr>
    </w:p>
    <w:p>
      <w:pPr>
        <w:ind w:left="240" w:right="379" w:firstLine="568"/>
        <w:spacing w:after="0" w:line="271" w:lineRule="auto"/>
        <w:rPr>
          <w:sz w:val="20"/>
          <w:szCs w:val="20"/>
          <w:color w:val="auto"/>
        </w:rPr>
      </w:pPr>
      <w:r>
        <w:rPr>
          <w:rFonts w:ascii="Arial" w:cs="Arial" w:eastAsia="Arial" w:hAnsi="Arial"/>
          <w:sz w:val="15"/>
          <w:szCs w:val="15"/>
          <w:color w:val="auto"/>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accelerated small molecule drug discovery engine to develop therapies in targeted oncology and genetically defined conditions.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94" w:lineRule="exact"/>
        <w:rPr>
          <w:sz w:val="20"/>
          <w:szCs w:val="20"/>
          <w:color w:val="auto"/>
        </w:rPr>
      </w:pPr>
    </w:p>
    <w:p>
      <w:pPr>
        <w:ind w:left="240" w:right="259" w:firstLine="568"/>
        <w:spacing w:after="0" w:line="266" w:lineRule="auto"/>
        <w:rPr>
          <w:sz w:val="20"/>
          <w:szCs w:val="20"/>
          <w:color w:val="auto"/>
        </w:rPr>
      </w:pPr>
      <w:r>
        <w:rPr>
          <w:rFonts w:ascii="Arial" w:cs="Arial" w:eastAsia="Arial" w:hAnsi="Arial"/>
          <w:sz w:val="15"/>
          <w:szCs w:val="15"/>
          <w:color w:val="auto"/>
        </w:rPr>
        <w:t>The accompanying unaudited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financial statements include only normal and recurring adjustments that the Company believes are necessary to fairly state the Company’s financial position and the results of its operations and cash flows. The results for the three months ended March 31, 2023 and 2022 are not necessarily indicative of the results expected for the full fiscal year or any subsequent interim period. The balance sheet at March 31, 2023 has been derived from the financial statements at that date but does not include all disclosures required by GAAP for complete financial statements. Because all of the disclosures required by GAAP for complete financial statements are not included herein, these unaudited financial statements and the notes accompanying them should be read in conjunction with the Company’s Annual Report on Form 10-K for the year ended December 31, 2022.</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8" w:lineRule="exact"/>
        <w:rPr>
          <w:sz w:val="20"/>
          <w:szCs w:val="20"/>
          <w:color w:val="auto"/>
        </w:rPr>
      </w:pPr>
    </w:p>
    <w:p>
      <w:pPr>
        <w:ind w:left="240" w:right="299" w:firstLine="568"/>
        <w:spacing w:after="0" w:line="302" w:lineRule="auto"/>
        <w:rPr>
          <w:sz w:val="20"/>
          <w:szCs w:val="20"/>
          <w:color w:val="auto"/>
        </w:rPr>
      </w:pPr>
      <w:r>
        <w:rPr>
          <w:rFonts w:ascii="Arial" w:cs="Arial" w:eastAsia="Arial" w:hAnsi="Arial"/>
          <w:sz w:val="15"/>
          <w:szCs w:val="15"/>
          <w:color w:val="auto"/>
        </w:rPr>
        <w:t>During the three months ended March 31, 2023, there have been no changes to the Company's significant accounting policies as described in the Company’s Annual Report on Form 10-K for the year ended December 31, 2022.</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Restricted Cash</w:t>
      </w:r>
    </w:p>
    <w:p>
      <w:pPr>
        <w:spacing w:after="0" w:line="194" w:lineRule="exact"/>
        <w:rPr>
          <w:sz w:val="20"/>
          <w:szCs w:val="20"/>
          <w:color w:val="auto"/>
        </w:rPr>
      </w:pPr>
    </w:p>
    <w:p>
      <w:pPr>
        <w:ind w:left="240" w:right="559" w:firstLine="568"/>
        <w:spacing w:after="0" w:line="311" w:lineRule="auto"/>
        <w:rPr>
          <w:sz w:val="20"/>
          <w:szCs w:val="20"/>
          <w:color w:val="auto"/>
        </w:rPr>
      </w:pPr>
      <w:r>
        <w:rPr>
          <w:rFonts w:ascii="Arial" w:cs="Arial" w:eastAsia="Arial" w:hAnsi="Arial"/>
          <w:sz w:val="14"/>
          <w:szCs w:val="14"/>
          <w:color w:val="auto"/>
        </w:rPr>
        <w:t>Restricted cash is comprised of cash that is restricted as to its withdrawal or use under the terms of certain contractual agreements. Restricted cash as of both March 31, 2023 and December 31, 2022 was $1.0 million, which consisted of collateral for letters of credit related to the Company’s operating leases which are considered a non-current asset on the balance sheets.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Commitments and Contingencies</w:t>
      </w:r>
    </w:p>
    <w:p>
      <w:pPr>
        <w:spacing w:after="0" w:line="194" w:lineRule="exact"/>
        <w:rPr>
          <w:sz w:val="20"/>
          <w:szCs w:val="20"/>
          <w:color w:val="auto"/>
        </w:rPr>
      </w:pPr>
    </w:p>
    <w:p>
      <w:pPr>
        <w:ind w:left="240" w:right="279" w:firstLine="568"/>
        <w:spacing w:after="0" w:line="276" w:lineRule="auto"/>
        <w:rPr>
          <w:sz w:val="20"/>
          <w:szCs w:val="20"/>
          <w:color w:val="auto"/>
        </w:rPr>
      </w:pPr>
      <w:r>
        <w:rPr>
          <w:rFonts w:ascii="Arial" w:cs="Arial" w:eastAsia="Arial" w:hAnsi="Arial"/>
          <w:sz w:val="15"/>
          <w:szCs w:val="15"/>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Related Parties</w:t>
      </w:r>
    </w:p>
    <w:p>
      <w:pPr>
        <w:spacing w:after="0" w:line="194" w:lineRule="exact"/>
        <w:rPr>
          <w:sz w:val="20"/>
          <w:szCs w:val="20"/>
          <w:color w:val="auto"/>
        </w:rPr>
      </w:pPr>
    </w:p>
    <w:p>
      <w:pPr>
        <w:ind w:left="240" w:right="519" w:firstLine="568"/>
        <w:spacing w:after="0" w:line="290" w:lineRule="auto"/>
        <w:rPr>
          <w:sz w:val="20"/>
          <w:szCs w:val="20"/>
          <w:color w:val="auto"/>
        </w:rPr>
      </w:pPr>
      <w:r>
        <w:rPr>
          <w:rFonts w:ascii="Arial" w:cs="Arial" w:eastAsia="Arial" w:hAnsi="Arial"/>
          <w:sz w:val="14"/>
          <w:szCs w:val="14"/>
          <w:color w:val="auto"/>
        </w:rPr>
        <w:t>Transactions between related parties are considered to be related party transactions even though they may not be given accounting recognition. FASB ASC 850, Related Party Disclosures (FASB ASC 850) requires that transactions with related parties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43815</wp:posOffset>
            </wp:positionV>
            <wp:extent cx="543242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7" w:name="page8"/>
    <w:bookmarkEnd w:id="7"/>
    <w:p>
      <w:pPr>
        <w:ind w:left="240" w:right="879"/>
        <w:spacing w:after="0" w:line="302" w:lineRule="auto"/>
        <w:rPr>
          <w:sz w:val="20"/>
          <w:szCs w:val="20"/>
          <w:color w:val="auto"/>
        </w:rPr>
      </w:pPr>
      <w:r>
        <w:rPr>
          <w:rFonts w:ascii="Arial" w:cs="Arial" w:eastAsia="Arial" w:hAnsi="Arial"/>
          <w:sz w:val="15"/>
          <w:szCs w:val="15"/>
          <w:color w:val="auto"/>
        </w:rPr>
        <w:t>that would make a difference in decision making shall be disclosed so that users of the financial statements can evaluate their significance. Related party transactions typically occur within the context of the following relationships:</w:t>
      </w:r>
    </w:p>
    <w:p>
      <w:pPr>
        <w:spacing w:after="0" w:line="134" w:lineRule="exact"/>
        <w:rPr>
          <w:sz w:val="20"/>
          <w:szCs w:val="20"/>
          <w:color w:val="auto"/>
        </w:rPr>
      </w:pPr>
    </w:p>
    <w:p>
      <w:pPr>
        <w:ind w:left="1060" w:hanging="24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Affiliates of the entity;</w:t>
      </w:r>
    </w:p>
    <w:p>
      <w:pPr>
        <w:spacing w:after="0" w:line="194" w:lineRule="exact"/>
        <w:rPr>
          <w:rFonts w:ascii="Arial" w:cs="Arial" w:eastAsia="Arial" w:hAnsi="Arial"/>
          <w:sz w:val="16"/>
          <w:szCs w:val="16"/>
          <w:color w:val="auto"/>
        </w:rPr>
      </w:pPr>
    </w:p>
    <w:p>
      <w:pPr>
        <w:ind w:left="1060" w:right="839" w:hanging="246"/>
        <w:spacing w:after="0" w:line="268"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Entities for which investments in their equity securities is typically accounted for under the equity method by the investing entity;</w:t>
      </w:r>
    </w:p>
    <w:p>
      <w:pPr>
        <w:spacing w:after="0" w:line="156" w:lineRule="exact"/>
        <w:rPr>
          <w:rFonts w:ascii="Arial" w:cs="Arial" w:eastAsia="Arial" w:hAnsi="Arial"/>
          <w:sz w:val="16"/>
          <w:szCs w:val="16"/>
          <w:color w:val="auto"/>
        </w:rPr>
      </w:pPr>
    </w:p>
    <w:p>
      <w:pPr>
        <w:ind w:left="1060" w:hanging="24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Trusts for the benefit of employees;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Principal owners of the entity and members of their immediate families;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Management of the entity and members of their immediate families; or</w:t>
      </w:r>
    </w:p>
    <w:p>
      <w:pPr>
        <w:spacing w:after="0" w:line="194" w:lineRule="exact"/>
        <w:rPr>
          <w:rFonts w:ascii="Arial" w:cs="Arial" w:eastAsia="Arial" w:hAnsi="Arial"/>
          <w:sz w:val="16"/>
          <w:szCs w:val="16"/>
          <w:color w:val="auto"/>
        </w:rPr>
      </w:pPr>
    </w:p>
    <w:p>
      <w:pPr>
        <w:ind w:left="1060" w:right="579" w:hanging="246"/>
        <w:spacing w:after="0" w:line="25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parties that can significantly influence the management or operating policies of the transacting parties and can significantly influence the other to an extent that one or more of the transacting parties might be prevented from fully pursuing its own separate interests.</w:t>
      </w:r>
    </w:p>
    <w:p>
      <w:pPr>
        <w:spacing w:after="0" w:line="166" w:lineRule="exact"/>
        <w:rPr>
          <w:sz w:val="20"/>
          <w:szCs w:val="20"/>
          <w:color w:val="auto"/>
        </w:rPr>
      </w:pPr>
    </w:p>
    <w:p>
      <w:pPr>
        <w:ind w:left="240" w:right="359" w:firstLine="568"/>
        <w:spacing w:after="0" w:line="268" w:lineRule="auto"/>
        <w:rPr>
          <w:sz w:val="20"/>
          <w:szCs w:val="20"/>
          <w:color w:val="auto"/>
        </w:rPr>
      </w:pPr>
      <w:r>
        <w:rPr>
          <w:rFonts w:ascii="Arial" w:cs="Arial" w:eastAsia="Arial" w:hAnsi="Arial"/>
          <w:sz w:val="15"/>
          <w:szCs w:val="15"/>
          <w:color w:val="auto"/>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On October 28, 2022, Ms. van den Boom informed the Company of her intent to resign as the Chief Financial Officer, effective December 31, 2022. Effective January 1, 2023, van den Boom &amp; Associates is no longer considered a related party.</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94" w:lineRule="exact"/>
        <w:rPr>
          <w:sz w:val="20"/>
          <w:szCs w:val="20"/>
          <w:color w:val="auto"/>
        </w:rPr>
      </w:pPr>
    </w:p>
    <w:p>
      <w:pPr>
        <w:ind w:left="240" w:right="299" w:firstLine="568"/>
        <w:spacing w:after="0" w:line="268" w:lineRule="auto"/>
        <w:rPr>
          <w:sz w:val="20"/>
          <w:szCs w:val="20"/>
          <w:color w:val="auto"/>
        </w:rPr>
      </w:pPr>
      <w:r>
        <w:rPr>
          <w:rFonts w:ascii="Arial" w:cs="Arial" w:eastAsia="Arial" w:hAnsi="Arial"/>
          <w:sz w:val="15"/>
          <w:szCs w:val="15"/>
          <w:color w:val="auto"/>
        </w:rPr>
        <w:t>In June 2016, the FASB issued ASU 2016-13, Financial Instruments-Credit Losses (Topic 326): Measurement of Credit Losses on Financial Instruments ("ASU 2016-13"). ASU 2016-13 changes the impairment model for most financial assets and certain other instruments. Under the new guidance, credit losses for certain types of financial instruments will be estimated based on expected losses. The new guidance also modifies the impairment models for available-for-sale debt securities and for purchased financial assets with credit deterioration since their origination. In November 2019, the FASB issued ASU No. 2019-10, which changed the effective date of ASU 2016-13 for smaller reporting companies to fiscal years beginning after December 15, 2022, including interim periods. This update was effective for the Company beginning January 1, 2023. The adoption of this new standard did not have a material impact on the Company's financial statements.</w:t>
      </w:r>
    </w:p>
    <w:p>
      <w:pPr>
        <w:spacing w:after="0" w:line="162" w:lineRule="exact"/>
        <w:rPr>
          <w:sz w:val="20"/>
          <w:szCs w:val="20"/>
          <w:color w:val="auto"/>
        </w:rPr>
      </w:pPr>
    </w:p>
    <w:p>
      <w:pPr>
        <w:ind w:left="240" w:right="279" w:firstLine="568"/>
        <w:spacing w:after="0" w:line="301" w:lineRule="auto"/>
        <w:rPr>
          <w:sz w:val="20"/>
          <w:szCs w:val="20"/>
          <w:color w:val="auto"/>
        </w:rPr>
      </w:pPr>
      <w:r>
        <w:rPr>
          <w:rFonts w:ascii="Arial" w:cs="Arial" w:eastAsia="Arial" w:hAnsi="Arial"/>
          <w:sz w:val="14"/>
          <w:szCs w:val="14"/>
          <w:color w:val="auto"/>
        </w:rPr>
        <w:t>There were no other significant updates not already disclosed in the Company’s audited financial statements for the years ended December 31, 2022 and 2021 to the recently issued accounting standards for the three months ended March 31, 2023. Although there were several other new accounting pronouncements issued or proposed by the FASB, the Company does not believe any of those accounting pronouncements have had or will have a material impact on its financial position or operating results.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3. Fair Value Measurements</w:t>
      </w:r>
    </w:p>
    <w:p>
      <w:pPr>
        <w:spacing w:after="0" w:line="198" w:lineRule="exact"/>
        <w:rPr>
          <w:sz w:val="20"/>
          <w:szCs w:val="20"/>
          <w:color w:val="auto"/>
        </w:rPr>
      </w:pPr>
    </w:p>
    <w:p>
      <w:pPr>
        <w:ind w:left="240" w:right="419" w:firstLine="568"/>
        <w:spacing w:after="0" w:line="293" w:lineRule="auto"/>
        <w:rPr>
          <w:sz w:val="20"/>
          <w:szCs w:val="20"/>
          <w:color w:val="auto"/>
        </w:rPr>
      </w:pPr>
      <w:r>
        <w:rPr>
          <w:rFonts w:ascii="Arial" w:cs="Arial" w:eastAsia="Arial" w:hAnsi="Arial"/>
          <w:sz w:val="14"/>
          <w:szCs w:val="14"/>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41" w:lineRule="exact"/>
        <w:rPr>
          <w:sz w:val="20"/>
          <w:szCs w:val="20"/>
          <w:color w:val="auto"/>
        </w:rPr>
      </w:pPr>
    </w:p>
    <w:p>
      <w:pPr>
        <w:ind w:left="820" w:right="459"/>
        <w:spacing w:after="0" w:line="273" w:lineRule="auto"/>
        <w:rPr>
          <w:sz w:val="20"/>
          <w:szCs w:val="20"/>
          <w:color w:val="auto"/>
        </w:rPr>
      </w:pPr>
      <w:r>
        <w:rPr>
          <w:rFonts w:ascii="Arial" w:cs="Arial" w:eastAsia="Arial" w:hAnsi="Arial"/>
          <w:sz w:val="16"/>
          <w:szCs w:val="16"/>
          <w:b w:val="1"/>
          <w:bCs w:val="1"/>
          <w:color w:val="auto"/>
        </w:rPr>
        <w:t>Level 1</w:t>
      </w:r>
      <w:r>
        <w:rPr>
          <w:rFonts w:ascii="Arial" w:cs="Arial" w:eastAsia="Arial" w:hAnsi="Arial"/>
          <w:sz w:val="16"/>
          <w:szCs w:val="16"/>
          <w:color w:val="auto"/>
        </w:rPr>
        <w:t>—Unadjusted quoted prices in active markets that are accessible at the measurement date for identical, unrestricted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assets or liabilities;</w:t>
      </w:r>
    </w:p>
    <w:p>
      <w:pPr>
        <w:spacing w:after="0" w:line="149" w:lineRule="exact"/>
        <w:rPr>
          <w:sz w:val="20"/>
          <w:szCs w:val="20"/>
          <w:color w:val="auto"/>
        </w:rPr>
      </w:pPr>
    </w:p>
    <w:p>
      <w:pPr>
        <w:ind w:left="820" w:right="559"/>
        <w:spacing w:after="0" w:line="293" w:lineRule="auto"/>
        <w:rPr>
          <w:sz w:val="20"/>
          <w:szCs w:val="20"/>
          <w:color w:val="auto"/>
        </w:rPr>
      </w:pPr>
      <w:r>
        <w:rPr>
          <w:rFonts w:ascii="Arial" w:cs="Arial" w:eastAsia="Arial" w:hAnsi="Arial"/>
          <w:sz w:val="14"/>
          <w:szCs w:val="14"/>
          <w:b w:val="1"/>
          <w:bCs w:val="1"/>
          <w:color w:val="auto"/>
        </w:rPr>
        <w:t>Level 2</w:t>
      </w:r>
      <w:r>
        <w:rPr>
          <w:rFonts w:ascii="Arial" w:cs="Arial" w:eastAsia="Arial" w:hAnsi="Arial"/>
          <w:sz w:val="14"/>
          <w:szCs w:val="14"/>
          <w:color w:val="auto"/>
        </w:rPr>
        <w:t>—Quoted prices for similar assets and liabilities in active markets, quoted prices in markets that are not active, or</w:t>
      </w:r>
      <w:r>
        <w:rPr>
          <w:rFonts w:ascii="Arial" w:cs="Arial" w:eastAsia="Arial" w:hAnsi="Arial"/>
          <w:sz w:val="14"/>
          <w:szCs w:val="14"/>
          <w:b w:val="1"/>
          <w:bCs w:val="1"/>
          <w:color w:val="auto"/>
        </w:rPr>
        <w:t xml:space="preserve"> </w:t>
      </w:r>
      <w:r>
        <w:rPr>
          <w:rFonts w:ascii="Arial" w:cs="Arial" w:eastAsia="Arial" w:hAnsi="Arial"/>
          <w:sz w:val="14"/>
          <w:szCs w:val="14"/>
          <w:color w:val="auto"/>
        </w:rPr>
        <w:t>inputs which are observable, either directly or indirectly, for substantially the full term of the asset or liability;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43815</wp:posOffset>
            </wp:positionV>
            <wp:extent cx="543242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8" w:name="page9"/>
    <w:bookmarkEnd w:id="8"/>
    <w:p>
      <w:pPr>
        <w:ind w:left="820" w:right="759"/>
        <w:spacing w:after="0" w:line="273"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—Prices or valuation techniques that require inputs that are both significant to the fair value measurement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unobservable (i.e. supported by little or no market activity).</w:t>
      </w:r>
    </w:p>
    <w:p>
      <w:pPr>
        <w:spacing w:after="0" w:line="153" w:lineRule="exact"/>
        <w:rPr>
          <w:sz w:val="20"/>
          <w:szCs w:val="20"/>
          <w:color w:val="auto"/>
        </w:rPr>
      </w:pPr>
    </w:p>
    <w:p>
      <w:pPr>
        <w:ind w:left="240" w:right="299" w:firstLine="568"/>
        <w:spacing w:after="0" w:line="340" w:lineRule="auto"/>
        <w:rPr>
          <w:sz w:val="20"/>
          <w:szCs w:val="20"/>
          <w:color w:val="auto"/>
        </w:rPr>
      </w:pPr>
      <w:r>
        <w:rPr>
          <w:rFonts w:ascii="Arial" w:cs="Arial" w:eastAsia="Arial" w:hAnsi="Arial"/>
          <w:sz w:val="14"/>
          <w:szCs w:val="14"/>
          <w:color w:val="auto"/>
        </w:rPr>
        <w:t>The carrying amounts of the Company’s financial instruments, including cash and cash equivalents, prepaid and other current assets, restricted cash, accounts payable, and accrued and other current liabilities, approximate fair value due to their short maturities.</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Assets measured at fair value on a recurring basis are as follows (in millions):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rPr>
              <w:t>Fair Value Measurements Using</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54"/>
              <w:spacing w:after="0" w:line="114" w:lineRule="exact"/>
              <w:rPr>
                <w:sz w:val="20"/>
                <w:szCs w:val="20"/>
                <w:color w:val="auto"/>
              </w:rPr>
            </w:pPr>
            <w:r>
              <w:rPr>
                <w:rFonts w:ascii="Arial" w:cs="Arial" w:eastAsia="Arial" w:hAnsi="Arial"/>
                <w:sz w:val="13"/>
                <w:szCs w:val="13"/>
                <w:b w:val="1"/>
                <w:bCs w:val="1"/>
                <w:color w:val="auto"/>
                <w:w w:val="87"/>
              </w:rPr>
              <w:t>Quoted Prices in</w:t>
            </w:r>
          </w:p>
        </w:tc>
        <w:tc>
          <w:tcPr>
            <w:tcW w:w="180" w:type="dxa"/>
            <w:vAlign w:val="bottom"/>
          </w:tcPr>
          <w:p>
            <w:pPr>
              <w:spacing w:after="0"/>
              <w:rPr>
                <w:sz w:val="9"/>
                <w:szCs w:val="9"/>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Significant Other</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114"/>
              <w:spacing w:after="0" w:line="114" w:lineRule="exact"/>
              <w:rPr>
                <w:sz w:val="20"/>
                <w:szCs w:val="20"/>
                <w:color w:val="auto"/>
              </w:rPr>
            </w:pPr>
            <w:r>
              <w:rPr>
                <w:rFonts w:ascii="Arial" w:cs="Arial" w:eastAsia="Arial" w:hAnsi="Arial"/>
                <w:sz w:val="13"/>
                <w:szCs w:val="13"/>
                <w:b w:val="1"/>
                <w:bCs w:val="1"/>
                <w:color w:val="auto"/>
                <w:w w:val="87"/>
              </w:rPr>
              <w:t>Significant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54"/>
              <w:spacing w:after="0" w:line="130" w:lineRule="exact"/>
              <w:rPr>
                <w:sz w:val="20"/>
                <w:szCs w:val="20"/>
                <w:color w:val="auto"/>
              </w:rPr>
            </w:pPr>
            <w:r>
              <w:rPr>
                <w:rFonts w:ascii="Arial" w:cs="Arial" w:eastAsia="Arial" w:hAnsi="Arial"/>
                <w:sz w:val="13"/>
                <w:szCs w:val="13"/>
                <w:b w:val="1"/>
                <w:bCs w:val="1"/>
                <w:color w:val="auto"/>
                <w:w w:val="90"/>
              </w:rPr>
              <w:t>Active Markets for</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4"/>
              <w:spacing w:after="0" w:line="130" w:lineRule="exact"/>
              <w:rPr>
                <w:sz w:val="20"/>
                <w:szCs w:val="20"/>
                <w:color w:val="auto"/>
              </w:rPr>
            </w:pPr>
            <w:r>
              <w:rPr>
                <w:rFonts w:ascii="Arial" w:cs="Arial" w:eastAsia="Arial" w:hAnsi="Arial"/>
                <w:sz w:val="13"/>
                <w:szCs w:val="13"/>
                <w:b w:val="1"/>
                <w:bCs w:val="1"/>
                <w:color w:val="auto"/>
                <w:w w:val="86"/>
              </w:rPr>
              <w:t>Unobservable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140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8"/>
              </w:rPr>
              <w:t>As of March 31, 2023</w:t>
            </w:r>
          </w:p>
        </w:tc>
        <w:tc>
          <w:tcPr>
            <w:tcW w:w="100" w:type="dxa"/>
            <w:vAlign w:val="bottom"/>
          </w:tcPr>
          <w:p>
            <w:pPr>
              <w:spacing w:after="0"/>
              <w:rPr>
                <w:sz w:val="11"/>
                <w:szCs w:val="11"/>
                <w:color w:val="auto"/>
              </w:rPr>
            </w:pPr>
          </w:p>
        </w:tc>
        <w:tc>
          <w:tcPr>
            <w:tcW w:w="1140" w:type="dxa"/>
            <w:vAlign w:val="bottom"/>
          </w:tcPr>
          <w:p>
            <w:pPr>
              <w:jc w:val="center"/>
              <w:ind w:right="54"/>
              <w:spacing w:after="0" w:line="130" w:lineRule="exact"/>
              <w:rPr>
                <w:sz w:val="20"/>
                <w:szCs w:val="20"/>
                <w:color w:val="auto"/>
              </w:rPr>
            </w:pPr>
            <w:r>
              <w:rPr>
                <w:rFonts w:ascii="Arial" w:cs="Arial" w:eastAsia="Arial" w:hAnsi="Arial"/>
                <w:sz w:val="13"/>
                <w:szCs w:val="13"/>
                <w:b w:val="1"/>
                <w:bCs w:val="1"/>
                <w:color w:val="auto"/>
                <w:w w:val="86"/>
              </w:rPr>
              <w:t>Identical Assets</w:t>
            </w:r>
          </w:p>
        </w:tc>
        <w:tc>
          <w:tcPr>
            <w:tcW w:w="180" w:type="dxa"/>
            <w:vAlign w:val="bottom"/>
          </w:tcPr>
          <w:p>
            <w:pPr>
              <w:spacing w:after="0"/>
              <w:rPr>
                <w:sz w:val="11"/>
                <w:szCs w:val="11"/>
                <w:color w:val="auto"/>
              </w:rPr>
            </w:pPr>
          </w:p>
        </w:tc>
        <w:tc>
          <w:tcPr>
            <w:tcW w:w="108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8"/>
              </w:rPr>
              <w:t>Observable Inputs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94"/>
              <w:spacing w:after="0" w:line="130" w:lineRule="exact"/>
              <w:rPr>
                <w:sz w:val="20"/>
                <w:szCs w:val="20"/>
                <w:color w:val="auto"/>
              </w:rPr>
            </w:pPr>
            <w:r>
              <w:rPr>
                <w:rFonts w:ascii="Arial" w:cs="Arial" w:eastAsia="Arial" w:hAnsi="Arial"/>
                <w:sz w:val="13"/>
                <w:szCs w:val="13"/>
                <w:b w:val="1"/>
                <w:bCs w:val="1"/>
                <w:color w:val="auto"/>
                <w:w w:val="92"/>
              </w:rPr>
              <w:t>Inputs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34"/>
              <w:spacing w:after="0"/>
              <w:rPr>
                <w:sz w:val="20"/>
                <w:szCs w:val="20"/>
                <w:color w:val="auto"/>
              </w:rPr>
            </w:pPr>
            <w:r>
              <w:rPr>
                <w:rFonts w:ascii="Arial" w:cs="Arial" w:eastAsia="Arial" w:hAnsi="Arial"/>
                <w:sz w:val="13"/>
                <w:szCs w:val="13"/>
                <w:b w:val="1"/>
                <w:bCs w:val="1"/>
                <w:color w:val="auto"/>
                <w:w w:val="90"/>
              </w:rPr>
              <w:t>(Level 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29"/>
              <w:spacing w:after="0"/>
              <w:rPr>
                <w:sz w:val="20"/>
                <w:szCs w:val="20"/>
                <w:color w:val="auto"/>
              </w:rPr>
            </w:pPr>
            <w:r>
              <w:rPr>
                <w:rFonts w:ascii="Arial" w:cs="Arial" w:eastAsia="Arial" w:hAnsi="Arial"/>
                <w:sz w:val="13"/>
                <w:szCs w:val="13"/>
                <w:b w:val="1"/>
                <w:bCs w:val="1"/>
                <w:color w:val="auto"/>
                <w:w w:val="90"/>
              </w:rPr>
              <w:t>(Level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3"/>
                <w:szCs w:val="13"/>
                <w:b w:val="1"/>
                <w:bCs w:val="1"/>
                <w:color w:val="auto"/>
                <w:w w:val="90"/>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239.7</w:t>
            </w:r>
          </w:p>
        </w:tc>
        <w:tc>
          <w:tcPr>
            <w:tcW w:w="380" w:type="dxa"/>
            <w:vAlign w:val="bottom"/>
            <w:gridSpan w:val="2"/>
          </w:tcPr>
          <w:p>
            <w:pPr>
              <w:jc w:val="right"/>
              <w:ind w:right="37"/>
              <w:spacing w:after="0"/>
              <w:rPr>
                <w:sz w:val="20"/>
                <w:szCs w:val="20"/>
                <w:color w:val="auto"/>
              </w:rPr>
            </w:pPr>
            <w:r>
              <w:rPr>
                <w:rFonts w:ascii="Arial" w:cs="Arial" w:eastAsia="Arial" w:hAnsi="Arial"/>
                <w:sz w:val="16"/>
                <w:szCs w:val="16"/>
                <w:color w:val="auto"/>
              </w:rPr>
              <w:t>$</w:t>
            </w: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rPr>
              <w:t>Fair Value Measurements Using</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54"/>
              <w:spacing w:after="0" w:line="114" w:lineRule="exact"/>
              <w:rPr>
                <w:sz w:val="20"/>
                <w:szCs w:val="20"/>
                <w:color w:val="auto"/>
              </w:rPr>
            </w:pPr>
            <w:r>
              <w:rPr>
                <w:rFonts w:ascii="Arial" w:cs="Arial" w:eastAsia="Arial" w:hAnsi="Arial"/>
                <w:sz w:val="13"/>
                <w:szCs w:val="13"/>
                <w:b w:val="1"/>
                <w:bCs w:val="1"/>
                <w:color w:val="auto"/>
                <w:w w:val="87"/>
              </w:rPr>
              <w:t>Quoted Prices in</w:t>
            </w:r>
          </w:p>
        </w:tc>
        <w:tc>
          <w:tcPr>
            <w:tcW w:w="180" w:type="dxa"/>
            <w:vAlign w:val="bottom"/>
          </w:tcPr>
          <w:p>
            <w:pPr>
              <w:spacing w:after="0"/>
              <w:rPr>
                <w:sz w:val="9"/>
                <w:szCs w:val="9"/>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Significant Other</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114"/>
              <w:spacing w:after="0" w:line="114" w:lineRule="exact"/>
              <w:rPr>
                <w:sz w:val="20"/>
                <w:szCs w:val="20"/>
                <w:color w:val="auto"/>
              </w:rPr>
            </w:pPr>
            <w:r>
              <w:rPr>
                <w:rFonts w:ascii="Arial" w:cs="Arial" w:eastAsia="Arial" w:hAnsi="Arial"/>
                <w:sz w:val="13"/>
                <w:szCs w:val="13"/>
                <w:b w:val="1"/>
                <w:bCs w:val="1"/>
                <w:color w:val="auto"/>
                <w:w w:val="87"/>
              </w:rPr>
              <w:t>Significant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86"/>
              </w:rPr>
              <w:t>As of December 31,</w:t>
            </w:r>
          </w:p>
        </w:tc>
        <w:tc>
          <w:tcPr>
            <w:tcW w:w="100" w:type="dxa"/>
            <w:vAlign w:val="bottom"/>
          </w:tcPr>
          <w:p>
            <w:pPr>
              <w:spacing w:after="0"/>
              <w:rPr>
                <w:sz w:val="11"/>
                <w:szCs w:val="11"/>
                <w:color w:val="auto"/>
              </w:rPr>
            </w:pPr>
          </w:p>
        </w:tc>
        <w:tc>
          <w:tcPr>
            <w:tcW w:w="1140" w:type="dxa"/>
            <w:vAlign w:val="bottom"/>
          </w:tcPr>
          <w:p>
            <w:pPr>
              <w:jc w:val="center"/>
              <w:ind w:right="54"/>
              <w:spacing w:after="0" w:line="130" w:lineRule="exact"/>
              <w:rPr>
                <w:sz w:val="20"/>
                <w:szCs w:val="20"/>
                <w:color w:val="auto"/>
              </w:rPr>
            </w:pPr>
            <w:r>
              <w:rPr>
                <w:rFonts w:ascii="Arial" w:cs="Arial" w:eastAsia="Arial" w:hAnsi="Arial"/>
                <w:sz w:val="13"/>
                <w:szCs w:val="13"/>
                <w:b w:val="1"/>
                <w:bCs w:val="1"/>
                <w:color w:val="auto"/>
                <w:w w:val="90"/>
              </w:rPr>
              <w:t>Active Markets for</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4"/>
              <w:spacing w:after="0" w:line="130" w:lineRule="exact"/>
              <w:rPr>
                <w:sz w:val="20"/>
                <w:szCs w:val="20"/>
                <w:color w:val="auto"/>
              </w:rPr>
            </w:pPr>
            <w:r>
              <w:rPr>
                <w:rFonts w:ascii="Arial" w:cs="Arial" w:eastAsia="Arial" w:hAnsi="Arial"/>
                <w:sz w:val="13"/>
                <w:szCs w:val="13"/>
                <w:b w:val="1"/>
                <w:bCs w:val="1"/>
                <w:color w:val="auto"/>
                <w:w w:val="86"/>
              </w:rPr>
              <w:t>Unobservable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54"/>
              <w:spacing w:after="0" w:line="130" w:lineRule="exact"/>
              <w:rPr>
                <w:sz w:val="20"/>
                <w:szCs w:val="20"/>
                <w:color w:val="auto"/>
              </w:rPr>
            </w:pPr>
            <w:r>
              <w:rPr>
                <w:rFonts w:ascii="Arial" w:cs="Arial" w:eastAsia="Arial" w:hAnsi="Arial"/>
                <w:sz w:val="13"/>
                <w:szCs w:val="13"/>
                <w:b w:val="1"/>
                <w:bCs w:val="1"/>
                <w:color w:val="auto"/>
                <w:w w:val="86"/>
              </w:rPr>
              <w:t>Identical Assets</w:t>
            </w:r>
          </w:p>
        </w:tc>
        <w:tc>
          <w:tcPr>
            <w:tcW w:w="180" w:type="dxa"/>
            <w:vAlign w:val="bottom"/>
          </w:tcPr>
          <w:p>
            <w:pPr>
              <w:spacing w:after="0"/>
              <w:rPr>
                <w:sz w:val="11"/>
                <w:szCs w:val="11"/>
                <w:color w:val="auto"/>
              </w:rPr>
            </w:pPr>
          </w:p>
        </w:tc>
        <w:tc>
          <w:tcPr>
            <w:tcW w:w="108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8"/>
              </w:rPr>
              <w:t>Observable Inputs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94"/>
              <w:spacing w:after="0" w:line="130" w:lineRule="exact"/>
              <w:rPr>
                <w:sz w:val="20"/>
                <w:szCs w:val="20"/>
                <w:color w:val="auto"/>
              </w:rPr>
            </w:pPr>
            <w:r>
              <w:rPr>
                <w:rFonts w:ascii="Arial" w:cs="Arial" w:eastAsia="Arial" w:hAnsi="Arial"/>
                <w:sz w:val="13"/>
                <w:szCs w:val="13"/>
                <w:b w:val="1"/>
                <w:bCs w:val="1"/>
                <w:color w:val="auto"/>
                <w:w w:val="92"/>
              </w:rPr>
              <w:t>Inputs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82"/>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(Level 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0"/>
              </w:rPr>
              <w:t>(Level 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20" w:type="dxa"/>
            <w:vAlign w:val="bottom"/>
          </w:tcPr>
          <w:p>
            <w:pPr>
              <w:ind w:left="10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jc w:val="right"/>
              <w:ind w:right="13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240.7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240.7</w:t>
            </w:r>
          </w:p>
        </w:tc>
        <w:tc>
          <w:tcPr>
            <w:tcW w:w="380" w:type="dxa"/>
            <w:vAlign w:val="bottom"/>
            <w:gridSpan w:val="2"/>
          </w:tcPr>
          <w:p>
            <w:pPr>
              <w:jc w:val="right"/>
              <w:ind w:right="37"/>
              <w:spacing w:after="0"/>
              <w:rPr>
                <w:sz w:val="20"/>
                <w:szCs w:val="20"/>
                <w:color w:val="auto"/>
              </w:rPr>
            </w:pPr>
            <w:r>
              <w:rPr>
                <w:rFonts w:ascii="Arial" w:cs="Arial" w:eastAsia="Arial" w:hAnsi="Arial"/>
                <w:sz w:val="16"/>
                <w:szCs w:val="16"/>
                <w:color w:val="auto"/>
              </w:rPr>
              <w:t>$</w:t>
            </w: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None of the Company’s non-financial assets or liabilities are recorded at fair value on a non-recurring basis.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4. Property and Equipment</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Property and equipment consisted of the following (in thousands):</w:t>
      </w:r>
    </w:p>
    <w:p>
      <w:pPr>
        <w:spacing w:after="0" w:line="203"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March 31,</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9"/>
              </w:rPr>
              <w:t>December 31,</w:t>
            </w:r>
          </w:p>
        </w:tc>
      </w:tr>
      <w:tr>
        <w:trPr>
          <w:trHeight w:val="162"/>
        </w:trPr>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4"/>
                <w:szCs w:val="14"/>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1,119</w:t>
            </w:r>
          </w:p>
        </w:tc>
        <w:tc>
          <w:tcPr>
            <w:tcW w:w="60" w:type="dxa"/>
            <w:vAlign w:val="bottom"/>
            <w:shd w:val="clear" w:color="auto" w:fill="CFF0FC"/>
          </w:tcPr>
          <w:p>
            <w:pPr>
              <w:spacing w:after="0"/>
              <w:rPr>
                <w:sz w:val="17"/>
                <w:szCs w:val="17"/>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w:t>
            </w:r>
          </w:p>
        </w:tc>
        <w:tc>
          <w:tcPr>
            <w:tcW w:w="60" w:type="dxa"/>
            <w:vAlign w:val="bottom"/>
          </w:tcPr>
          <w:p>
            <w:pPr>
              <w:spacing w:after="0"/>
              <w:rPr>
                <w:sz w:val="17"/>
                <w:szCs w:val="17"/>
                <w:color w:val="auto"/>
              </w:rPr>
            </w:pPr>
          </w:p>
        </w:tc>
      </w:tr>
      <w:tr>
        <w:trPr>
          <w:trHeight w:val="21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Leasehold improvements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60" w:type="dxa"/>
            <w:vAlign w:val="bottom"/>
            <w:shd w:val="clear" w:color="auto" w:fill="CFF0FC"/>
          </w:tcPr>
          <w:p>
            <w:pPr>
              <w:spacing w:after="0"/>
              <w:rPr>
                <w:sz w:val="19"/>
                <w:szCs w:val="19"/>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7"/>
                <w:szCs w:val="17"/>
                <w:color w:val="auto"/>
              </w:rPr>
            </w:pPr>
          </w:p>
        </w:tc>
      </w:tr>
      <w:tr>
        <w:trPr>
          <w:trHeight w:val="211"/>
        </w:trPr>
        <w:tc>
          <w:tcPr>
            <w:tcW w:w="4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60" w:type="dxa"/>
            <w:vAlign w:val="bottom"/>
            <w:shd w:val="clear" w:color="auto" w:fill="CFF0FC"/>
          </w:tcPr>
          <w:p>
            <w:pPr>
              <w:spacing w:after="0"/>
              <w:rPr>
                <w:sz w:val="18"/>
                <w:szCs w:val="18"/>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(544 )</w:t>
            </w:r>
          </w:p>
        </w:tc>
        <w:tc>
          <w:tcPr>
            <w:tcW w:w="2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(461 )</w:t>
            </w:r>
          </w:p>
        </w:tc>
      </w:tr>
      <w:tr>
        <w:trPr>
          <w:trHeight w:val="245"/>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-21590</wp:posOffset>
            </wp:positionV>
            <wp:extent cx="374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-6985</wp:posOffset>
            </wp:positionV>
            <wp:extent cx="374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-21590</wp:posOffset>
            </wp:positionV>
            <wp:extent cx="3746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-6985</wp:posOffset>
            </wp:positionV>
            <wp:extent cx="3746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57" w:lineRule="exact"/>
        <w:rPr>
          <w:sz w:val="20"/>
          <w:szCs w:val="20"/>
          <w:color w:val="auto"/>
        </w:rPr>
      </w:pPr>
    </w:p>
    <w:p>
      <w:pPr>
        <w:ind w:left="240" w:right="639" w:firstLine="568"/>
        <w:spacing w:after="0" w:line="268" w:lineRule="auto"/>
        <w:rPr>
          <w:sz w:val="20"/>
          <w:szCs w:val="20"/>
          <w:color w:val="auto"/>
        </w:rPr>
      </w:pPr>
      <w:r>
        <w:rPr>
          <w:rFonts w:ascii="Arial" w:cs="Arial" w:eastAsia="Arial" w:hAnsi="Arial"/>
          <w:sz w:val="16"/>
          <w:szCs w:val="16"/>
          <w:color w:val="auto"/>
        </w:rPr>
        <w:t>The Company recognized $83,000 and $64,000 in depreciation expense for the three months ended March 31, 2023 and 2022, respectively.</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 Accrued and Other Current Liabilities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Accrued and other current liabilities consisted of the following (in thousands):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3"/>
                <w:szCs w:val="13"/>
                <w:b w:val="1"/>
                <w:bCs w:val="1"/>
                <w:color w:val="auto"/>
                <w:w w:val="93"/>
              </w:rPr>
              <w:t>March 31,</w:t>
            </w:r>
          </w:p>
        </w:tc>
        <w:tc>
          <w:tcPr>
            <w:tcW w:w="140" w:type="dxa"/>
            <w:vAlign w:val="bottom"/>
          </w:tcPr>
          <w:p>
            <w:pPr>
              <w:spacing w:after="0"/>
              <w:rPr>
                <w:sz w:val="12"/>
                <w:szCs w:val="12"/>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w w:val="89"/>
              </w:rPr>
              <w:t>December 31,</w:t>
            </w:r>
          </w:p>
        </w:tc>
        <w:tc>
          <w:tcPr>
            <w:tcW w:w="1280" w:type="dxa"/>
            <w:vAlign w:val="bottom"/>
          </w:tcPr>
          <w:p>
            <w:pPr>
              <w:spacing w:after="0"/>
              <w:rPr>
                <w:sz w:val="12"/>
                <w:szCs w:val="12"/>
                <w:color w:val="auto"/>
              </w:rPr>
            </w:pPr>
          </w:p>
        </w:tc>
      </w:tr>
      <w:tr>
        <w:trPr>
          <w:trHeight w:val="162"/>
        </w:trPr>
        <w:tc>
          <w:tcPr>
            <w:tcW w:w="1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2022</w:t>
            </w:r>
          </w:p>
        </w:tc>
        <w:tc>
          <w:tcPr>
            <w:tcW w:w="1280" w:type="dxa"/>
            <w:vAlign w:val="bottom"/>
          </w:tcPr>
          <w:p>
            <w:pPr>
              <w:spacing w:after="0"/>
              <w:rPr>
                <w:sz w:val="14"/>
                <w:szCs w:val="14"/>
                <w:color w:val="auto"/>
              </w:rPr>
            </w:pPr>
          </w:p>
        </w:tc>
      </w:tr>
      <w:tr>
        <w:trPr>
          <w:trHeight w:val="205"/>
        </w:trPr>
        <w:tc>
          <w:tcPr>
            <w:tcW w:w="128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w w:val="91"/>
              </w:rPr>
              <w:t>Accrued payroll and other employee benefits</w:t>
            </w: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w w:val="89"/>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2,854</w:t>
            </w:r>
          </w:p>
        </w:tc>
        <w:tc>
          <w:tcPr>
            <w:tcW w:w="1280" w:type="dxa"/>
            <w:vAlign w:val="bottom"/>
          </w:tcPr>
          <w:p>
            <w:pPr>
              <w:spacing w:after="0"/>
              <w:rPr>
                <w:sz w:val="17"/>
                <w:szCs w:val="17"/>
                <w:color w:val="auto"/>
              </w:rPr>
            </w:pPr>
          </w:p>
        </w:tc>
      </w:tr>
      <w:tr>
        <w:trPr>
          <w:trHeight w:val="207"/>
        </w:trPr>
        <w:tc>
          <w:tcPr>
            <w:tcW w:w="128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Accrued research and development</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1,028</w:t>
            </w:r>
          </w:p>
        </w:tc>
        <w:tc>
          <w:tcPr>
            <w:tcW w:w="1280" w:type="dxa"/>
            <w:vAlign w:val="bottom"/>
          </w:tcPr>
          <w:p>
            <w:pPr>
              <w:spacing w:after="0"/>
              <w:rPr>
                <w:sz w:val="17"/>
                <w:szCs w:val="17"/>
                <w:color w:val="auto"/>
              </w:rPr>
            </w:pPr>
          </w:p>
        </w:tc>
      </w:tr>
      <w:tr>
        <w:trPr>
          <w:trHeight w:val="219"/>
        </w:trPr>
        <w:tc>
          <w:tcPr>
            <w:tcW w:w="1280" w:type="dxa"/>
            <w:vAlign w:val="bottom"/>
          </w:tcPr>
          <w:p>
            <w:pPr>
              <w:spacing w:after="0"/>
              <w:rPr>
                <w:sz w:val="19"/>
                <w:szCs w:val="19"/>
                <w:color w:val="auto"/>
              </w:rPr>
            </w:pPr>
          </w:p>
        </w:tc>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legal and professional fees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280" w:type="dxa"/>
            <w:vAlign w:val="bottom"/>
          </w:tcPr>
          <w:p>
            <w:pPr>
              <w:spacing w:after="0"/>
              <w:rPr>
                <w:sz w:val="19"/>
                <w:szCs w:val="19"/>
                <w:color w:val="auto"/>
              </w:rPr>
            </w:pPr>
          </w:p>
        </w:tc>
      </w:tr>
      <w:tr>
        <w:trPr>
          <w:trHeight w:val="207"/>
        </w:trPr>
        <w:tc>
          <w:tcPr>
            <w:tcW w:w="128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w w:val="88"/>
              </w:rPr>
              <w:t>Accrued other general and administrative fees</w:t>
            </w:r>
          </w:p>
        </w:tc>
        <w:tc>
          <w:tcPr>
            <w:tcW w:w="1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80" w:type="dxa"/>
            <w:vAlign w:val="bottom"/>
          </w:tcPr>
          <w:p>
            <w:pPr>
              <w:spacing w:after="0"/>
              <w:rPr>
                <w:sz w:val="17"/>
                <w:szCs w:val="17"/>
                <w:color w:val="auto"/>
              </w:rPr>
            </w:pPr>
          </w:p>
        </w:tc>
      </w:tr>
      <w:tr>
        <w:trPr>
          <w:trHeight w:val="245"/>
        </w:trPr>
        <w:tc>
          <w:tcPr>
            <w:tcW w:w="1280" w:type="dxa"/>
            <w:vAlign w:val="bottom"/>
          </w:tcPr>
          <w:p>
            <w:pPr>
              <w:spacing w:after="0"/>
              <w:rPr>
                <w:sz w:val="21"/>
                <w:szCs w:val="21"/>
                <w:color w:val="auto"/>
              </w:rPr>
            </w:pPr>
          </w:p>
        </w:tc>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accrued and other current liabilities</w:t>
            </w: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2,258</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4,416</w:t>
            </w:r>
          </w:p>
        </w:tc>
        <w:tc>
          <w:tcPr>
            <w:tcW w:w="1280" w:type="dxa"/>
            <w:vAlign w:val="bottom"/>
          </w:tcPr>
          <w:p>
            <w:pPr>
              <w:spacing w:after="0"/>
              <w:rPr>
                <w:sz w:val="21"/>
                <w:szCs w:val="21"/>
                <w:color w:val="auto"/>
              </w:rPr>
            </w:pPr>
          </w:p>
        </w:tc>
      </w:tr>
      <w:tr>
        <w:trPr>
          <w:trHeight w:val="359"/>
        </w:trPr>
        <w:tc>
          <w:tcPr>
            <w:tcW w:w="1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0" w:type="dxa"/>
            <w:vAlign w:val="bottom"/>
          </w:tcPr>
          <w:p>
            <w:pPr>
              <w:jc w:val="right"/>
              <w:ind w:right="1047"/>
              <w:spacing w:after="0"/>
              <w:rPr>
                <w:sz w:val="20"/>
                <w:szCs w:val="20"/>
                <w:color w:val="auto"/>
              </w:rPr>
            </w:pPr>
            <w:r>
              <w:rPr>
                <w:rFonts w:ascii="Arial" w:cs="Arial" w:eastAsia="Arial" w:hAnsi="Arial"/>
                <w:sz w:val="15"/>
                <w:szCs w:val="15"/>
                <w:color w:val="auto"/>
                <w:w w:val="71"/>
              </w:rPr>
              <w:t>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0"/>
        </w:trPr>
        <w:tc>
          <w:tcPr>
            <w:tcW w:w="128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-337185</wp:posOffset>
            </wp:positionV>
            <wp:extent cx="3746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-322580</wp:posOffset>
            </wp:positionV>
            <wp:extent cx="3746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-337185</wp:posOffset>
            </wp:positionV>
            <wp:extent cx="3746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-322580</wp:posOffset>
            </wp:positionV>
            <wp:extent cx="3746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9" w:name="page10"/>
    <w:bookmarkEnd w:id="9"/>
    <w:p>
      <w:pPr>
        <w:ind w:left="240"/>
        <w:spacing w:after="0"/>
        <w:rPr>
          <w:sz w:val="20"/>
          <w:szCs w:val="20"/>
          <w:color w:val="auto"/>
        </w:rPr>
      </w:pPr>
      <w:r>
        <w:rPr>
          <w:rFonts w:ascii="Arial" w:cs="Arial" w:eastAsia="Arial" w:hAnsi="Arial"/>
          <w:sz w:val="16"/>
          <w:szCs w:val="16"/>
          <w:b w:val="1"/>
          <w:bCs w:val="1"/>
          <w:color w:val="auto"/>
        </w:rPr>
        <w:t>6. Stockholders' Equity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Common Stock</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Common stock reserved for future issuance consisted of the following:</w:t>
      </w:r>
    </w:p>
    <w:p>
      <w:pPr>
        <w:spacing w:after="0" w:line="180"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860" w:type="dxa"/>
            <w:vAlign w:val="bottom"/>
          </w:tcPr>
          <w:p>
            <w:pPr>
              <w:jc w:val="right"/>
              <w:ind w:right="226"/>
              <w:spacing w:after="0"/>
              <w:rPr>
                <w:sz w:val="20"/>
                <w:szCs w:val="20"/>
                <w:color w:val="auto"/>
              </w:rPr>
            </w:pPr>
            <w:r>
              <w:rPr>
                <w:rFonts w:ascii="Arial" w:cs="Arial" w:eastAsia="Arial" w:hAnsi="Arial"/>
                <w:sz w:val="13"/>
                <w:szCs w:val="13"/>
                <w:b w:val="1"/>
                <w:bCs w:val="1"/>
                <w:color w:val="auto"/>
              </w:rPr>
              <w:t>2023</w:t>
            </w:r>
          </w:p>
        </w:tc>
        <w:tc>
          <w:tcPr>
            <w:tcW w:w="1080" w:type="dxa"/>
            <w:vAlign w:val="bottom"/>
            <w:gridSpan w:val="2"/>
          </w:tcPr>
          <w:p>
            <w:pPr>
              <w:jc w:val="right"/>
              <w:ind w:right="26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options granted and outstanding</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6,126,093</w:t>
            </w:r>
          </w:p>
        </w:tc>
        <w:tc>
          <w:tcPr>
            <w:tcW w:w="14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5,890,869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6"/>
                <w:szCs w:val="16"/>
                <w:color w:val="auto"/>
              </w:rPr>
              <w:t>Shares available for future issuance under the 2021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Arial" w:cs="Arial" w:eastAsia="Arial" w:hAnsi="Arial"/>
                <w:sz w:val="16"/>
                <w:szCs w:val="16"/>
                <w:color w:val="auto"/>
              </w:rPr>
              <w:t>Incentive Award Plan</w:t>
            </w:r>
          </w:p>
        </w:tc>
        <w:tc>
          <w:tcPr>
            <w:tcW w:w="860" w:type="dxa"/>
            <w:vAlign w:val="bottom"/>
          </w:tcPr>
          <w:p>
            <w:pPr>
              <w:jc w:val="right"/>
              <w:spacing w:after="0"/>
              <w:rPr>
                <w:sz w:val="20"/>
                <w:szCs w:val="20"/>
                <w:color w:val="auto"/>
              </w:rPr>
            </w:pPr>
            <w:r>
              <w:rPr>
                <w:rFonts w:ascii="Arial" w:cs="Arial" w:eastAsia="Arial" w:hAnsi="Arial"/>
                <w:sz w:val="16"/>
                <w:szCs w:val="16"/>
                <w:color w:val="auto"/>
              </w:rPr>
              <w:t>6,138,644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4,339,373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available for future issuance under the</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1,153,344</w:t>
            </w:r>
          </w:p>
        </w:tc>
        <w:tc>
          <w:tcPr>
            <w:tcW w:w="140" w:type="dxa"/>
            <w:vAlign w:val="bottom"/>
            <w:vMerge w:val="restart"/>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759,442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2021 Employee Stock Purchase Plan</w:t>
            </w: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60" w:type="dxa"/>
            <w:vAlign w:val="bottom"/>
          </w:tcPr>
          <w:p>
            <w:pPr>
              <w:ind w:left="20"/>
              <w:spacing w:after="0"/>
              <w:rPr>
                <w:sz w:val="20"/>
                <w:szCs w:val="20"/>
                <w:color w:val="auto"/>
              </w:rPr>
            </w:pPr>
            <w:r>
              <w:rPr>
                <w:rFonts w:ascii="Arial" w:cs="Arial" w:eastAsia="Arial" w:hAnsi="Arial"/>
                <w:sz w:val="16"/>
                <w:szCs w:val="16"/>
                <w:color w:val="auto"/>
              </w:rPr>
              <w:t>Total common stock reserved for future issuance</w:t>
            </w:r>
          </w:p>
        </w:tc>
        <w:tc>
          <w:tcPr>
            <w:tcW w:w="860" w:type="dxa"/>
            <w:vAlign w:val="bottom"/>
          </w:tcPr>
          <w:p>
            <w:pPr>
              <w:jc w:val="right"/>
              <w:spacing w:after="0"/>
              <w:rPr>
                <w:sz w:val="20"/>
                <w:szCs w:val="20"/>
                <w:color w:val="auto"/>
              </w:rPr>
            </w:pPr>
            <w:r>
              <w:rPr>
                <w:rFonts w:ascii="Arial" w:cs="Arial" w:eastAsia="Arial" w:hAnsi="Arial"/>
                <w:sz w:val="16"/>
                <w:szCs w:val="16"/>
                <w:color w:val="auto"/>
              </w:rPr>
              <w:t>13,418,081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10,989,684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-164465</wp:posOffset>
            </wp:positionV>
            <wp:extent cx="37465" cy="165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465" cy="1651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-164465</wp:posOffset>
            </wp:positionV>
            <wp:extent cx="37465" cy="165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465" cy="165100"/>
                    </a:xfrm>
                    <a:prstGeom prst="rect">
                      <a:avLst/>
                    </a:prstGeom>
                    <a:noFill/>
                  </pic:spPr>
                </pic:pic>
              </a:graphicData>
            </a:graphic>
          </wp:anchor>
        </w:drawing>
      </w:r>
    </w:p>
    <w:p>
      <w:pPr>
        <w:spacing w:after="0" w:line="157" w:lineRule="exact"/>
        <w:rPr>
          <w:sz w:val="20"/>
          <w:szCs w:val="20"/>
          <w:color w:val="auto"/>
        </w:rPr>
      </w:pPr>
    </w:p>
    <w:p>
      <w:pPr>
        <w:ind w:left="240" w:right="339" w:firstLine="568"/>
        <w:spacing w:after="0" w:line="271" w:lineRule="auto"/>
        <w:rPr>
          <w:sz w:val="20"/>
          <w:szCs w:val="20"/>
          <w:color w:val="auto"/>
        </w:rPr>
      </w:pPr>
      <w:r>
        <w:rPr>
          <w:rFonts w:ascii="Arial" w:cs="Arial" w:eastAsia="Arial" w:hAnsi="Arial"/>
          <w:sz w:val="15"/>
          <w:szCs w:val="15"/>
          <w:color w:val="auto"/>
        </w:rPr>
        <w:t>On October 3, 2022, the Company entered into an ATM Sales Agreement (the Sales Agreement) with Virtu Americas LLC (the Agent), under which the Company may, from time to time, sell shares of its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March 31, 2023, no shares of common stock were issued and sold pursuant to the Sales Agreement.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194" w:lineRule="exact"/>
        <w:rPr>
          <w:sz w:val="20"/>
          <w:szCs w:val="20"/>
          <w:color w:val="auto"/>
        </w:rPr>
      </w:pPr>
    </w:p>
    <w:p>
      <w:pPr>
        <w:ind w:left="240" w:right="319" w:firstLine="568"/>
        <w:spacing w:after="0" w:line="293" w:lineRule="auto"/>
        <w:rPr>
          <w:sz w:val="20"/>
          <w:szCs w:val="20"/>
          <w:color w:val="auto"/>
        </w:rPr>
      </w:pPr>
      <w:r>
        <w:rPr>
          <w:rFonts w:ascii="Arial" w:cs="Arial" w:eastAsia="Arial" w:hAnsi="Arial"/>
          <w:sz w:val="14"/>
          <w:szCs w:val="14"/>
          <w:color w:val="auto"/>
        </w:rPr>
        <w:t>Since inception, the Company has issued 2,820,560 shares of restricted common stock at a price of $0.0001 per share to certain founders of the Company (Founders Stock). The Company maintains a repurchase right whereby the shares of Founders Stock are released from such repurchase right over a period of time of continued service by the recipient. Any shares subject to repurchase by the Company are not deemed to be outstanding, for accounting purposes, until those shares vest. Unvested outstanding Founders Stock as of March 31, 2023 and December 31, 2022 were 3,175 and 3,828 shares, respectively. The amount recorded as liabilities associated with shares issued with repurchase rights were immaterial as of March 31, 2023 and December 31, 2022.</w:t>
      </w:r>
    </w:p>
    <w:p>
      <w:pPr>
        <w:spacing w:after="0" w:line="145" w:lineRule="exact"/>
        <w:rPr>
          <w:sz w:val="20"/>
          <w:szCs w:val="20"/>
          <w:color w:val="auto"/>
        </w:rPr>
      </w:pPr>
    </w:p>
    <w:p>
      <w:pPr>
        <w:ind w:left="240" w:right="419" w:firstLine="568"/>
        <w:spacing w:after="0" w:line="311" w:lineRule="auto"/>
        <w:rPr>
          <w:sz w:val="20"/>
          <w:szCs w:val="20"/>
          <w:color w:val="auto"/>
        </w:rPr>
      </w:pPr>
      <w:r>
        <w:rPr>
          <w:rFonts w:ascii="Arial" w:cs="Arial" w:eastAsia="Arial" w:hAnsi="Arial"/>
          <w:sz w:val="14"/>
          <w:szCs w:val="14"/>
          <w:color w:val="auto"/>
        </w:rPr>
        <w:t>For the three months ended March 31, 2023 and 2022, 654 and 122,470 shares vested in each period and the Company recognized $5,000 and $73,000 of stock-based compensation expense for each period related to the Founders Stock, respectively. As of March 31, 2023, the total unrecognized compensation expense related to unvested Founders Stock was immaterial.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7. Equity Incentive Plans and Stock-Based Compensation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Equity Incentive Plans</w:t>
      </w:r>
    </w:p>
    <w:p>
      <w:pPr>
        <w:spacing w:after="0" w:line="194" w:lineRule="exact"/>
        <w:rPr>
          <w:sz w:val="20"/>
          <w:szCs w:val="20"/>
          <w:color w:val="auto"/>
        </w:rPr>
      </w:pPr>
    </w:p>
    <w:p>
      <w:pPr>
        <w:jc w:val="both"/>
        <w:ind w:left="240" w:right="519" w:firstLine="568"/>
        <w:spacing w:after="0" w:line="257" w:lineRule="auto"/>
        <w:rPr>
          <w:sz w:val="20"/>
          <w:szCs w:val="20"/>
          <w:color w:val="auto"/>
        </w:rPr>
      </w:pPr>
      <w:r>
        <w:rPr>
          <w:rFonts w:ascii="Arial" w:cs="Arial" w:eastAsia="Arial" w:hAnsi="Arial"/>
          <w:sz w:val="16"/>
          <w:szCs w:val="16"/>
          <w:color w:val="auto"/>
        </w:rPr>
        <w:t>In September 2021, the Company's Board of Directors adopted, and its stockholders approved, the 2021 Incentive Award Plan (the 2021 Plan). Upon the adoption of the 2021 Plan, the Company restricted the grant of future equity awards under the 2020 Equity Incentive Plan (the 2020 Plan).</w:t>
      </w:r>
    </w:p>
    <w:p>
      <w:pPr>
        <w:spacing w:after="0" w:line="166" w:lineRule="exact"/>
        <w:rPr>
          <w:sz w:val="20"/>
          <w:szCs w:val="20"/>
          <w:color w:val="auto"/>
        </w:rPr>
      </w:pPr>
    </w:p>
    <w:p>
      <w:pPr>
        <w:ind w:left="240" w:right="299" w:firstLine="568"/>
        <w:spacing w:after="0" w:line="264" w:lineRule="auto"/>
        <w:rPr>
          <w:sz w:val="20"/>
          <w:szCs w:val="20"/>
          <w:color w:val="auto"/>
        </w:rPr>
      </w:pPr>
      <w:r>
        <w:rPr>
          <w:rFonts w:ascii="Arial" w:cs="Arial" w:eastAsia="Arial" w:hAnsi="Arial"/>
          <w:sz w:val="15"/>
          <w:szCs w:val="15"/>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In addition to 4,537,850 reserved shares, the number of shares reserved under the 2021 Plan also included 1,032,150 shares of the Company’s common stock that remained available for issuance under the 2020 Plan as of immediately prior to the effectiveness of the 2021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On January 1, 2022, the number of shares reserved for issuance under the 2021 Plan was increased to 7,696,809 shares and on January 1, 2023, the number of shares reserved for issuance under the 2021 Plan was increased to 9,828,531 shares. As of March 31, 2023, 6,138,644 shares were authorized for issuance under the 2021 Plan, inclusive of shares added from cancellations under the 2020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10" w:name="page11"/>
    <w:bookmarkEnd w:id="10"/>
    <w:p>
      <w:pPr>
        <w:ind w:left="240" w:right="419" w:firstLine="568"/>
        <w:spacing w:after="0" w:line="268" w:lineRule="auto"/>
        <w:rPr>
          <w:sz w:val="20"/>
          <w:szCs w:val="20"/>
          <w:color w:val="auto"/>
        </w:rPr>
      </w:pPr>
      <w:r>
        <w:rPr>
          <w:rFonts w:ascii="Arial" w:cs="Arial" w:eastAsia="Arial" w:hAnsi="Arial"/>
          <w:sz w:val="16"/>
          <w:szCs w:val="16"/>
          <w:color w:val="auto"/>
        </w:rPr>
        <w:t>A summary of the Company’s stock option activity for the period ended March 31, 2023 is as follows (in thousands, expect share and per share data and years):</w:t>
      </w:r>
    </w:p>
    <w:p>
      <w:pPr>
        <w:spacing w:after="0" w:line="142"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6"/>
              <w:spacing w:after="0" w:line="130"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7"/>
              </w:rPr>
              <w:t>Aggregate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6"/>
              <w:spacing w:after="0" w:line="130" w:lineRule="exact"/>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Options</w:t>
            </w:r>
          </w:p>
        </w:tc>
        <w:tc>
          <w:tcPr>
            <w:tcW w:w="6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9"/>
              </w:rPr>
              <w:t>Price per</w:t>
            </w:r>
          </w:p>
        </w:tc>
        <w:tc>
          <w:tcPr>
            <w:tcW w:w="14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8"/>
              </w:rPr>
              <w:t>Contractual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6"/>
              <w:spacing w:after="0" w:line="130" w:lineRule="exact"/>
              <w:rPr>
                <w:sz w:val="20"/>
                <w:szCs w:val="20"/>
                <w:color w:val="auto"/>
              </w:rPr>
            </w:pPr>
            <w:r>
              <w:rPr>
                <w:rFonts w:ascii="Arial" w:cs="Arial" w:eastAsia="Arial" w:hAnsi="Arial"/>
                <w:sz w:val="13"/>
                <w:szCs w:val="13"/>
                <w:b w:val="1"/>
                <w:bCs w:val="1"/>
                <w:color w:val="auto"/>
                <w:w w:val="90"/>
              </w:rPr>
              <w:t>Intrinsic</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6"/>
              <w:spacing w:after="0"/>
              <w:rPr>
                <w:sz w:val="20"/>
                <w:szCs w:val="20"/>
                <w:color w:val="auto"/>
              </w:rPr>
            </w:pPr>
            <w:r>
              <w:rPr>
                <w:rFonts w:ascii="Arial" w:cs="Arial" w:eastAsia="Arial" w:hAnsi="Arial"/>
                <w:sz w:val="13"/>
                <w:szCs w:val="13"/>
                <w:b w:val="1"/>
                <w:bCs w:val="1"/>
                <w:color w:val="auto"/>
                <w:w w:val="82"/>
              </w:rPr>
              <w:t>Share</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Term</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6"/>
              <w:spacing w:after="0"/>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at December 31, 2022</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5,890,869</w:t>
            </w: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7.91</w:t>
            </w:r>
          </w:p>
        </w:tc>
        <w:tc>
          <w:tcPr>
            <w:tcW w:w="14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13,492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00" w:type="dxa"/>
            <w:vAlign w:val="bottom"/>
          </w:tcPr>
          <w:p>
            <w:pPr>
              <w:ind w:left="20"/>
              <w:spacing w:after="0"/>
              <w:rPr>
                <w:sz w:val="20"/>
                <w:szCs w:val="20"/>
                <w:color w:val="auto"/>
              </w:rPr>
            </w:pPr>
            <w:r>
              <w:rPr>
                <w:rFonts w:ascii="Arial" w:cs="Arial" w:eastAsia="Arial" w:hAnsi="Arial"/>
                <w:sz w:val="16"/>
                <w:szCs w:val="16"/>
                <w:color w:val="auto"/>
              </w:rPr>
              <w:t>Granted</w:t>
            </w:r>
          </w:p>
        </w:tc>
        <w:tc>
          <w:tcPr>
            <w:tcW w:w="760" w:type="dxa"/>
            <w:vAlign w:val="bottom"/>
          </w:tcPr>
          <w:p>
            <w:pPr>
              <w:jc w:val="right"/>
              <w:spacing w:after="0"/>
              <w:rPr>
                <w:sz w:val="20"/>
                <w:szCs w:val="20"/>
                <w:color w:val="auto"/>
              </w:rPr>
            </w:pPr>
            <w:r>
              <w:rPr>
                <w:rFonts w:ascii="Arial" w:cs="Arial" w:eastAsia="Arial" w:hAnsi="Arial"/>
                <w:sz w:val="16"/>
                <w:szCs w:val="16"/>
                <w:color w:val="auto"/>
              </w:rPr>
              <w:t>541,300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8.55</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(97,227 )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0" w:type="dxa"/>
            <w:vAlign w:val="bottom"/>
          </w:tcPr>
          <w:p>
            <w:pPr>
              <w:ind w:left="20"/>
              <w:spacing w:after="0"/>
              <w:rPr>
                <w:sz w:val="20"/>
                <w:szCs w:val="20"/>
                <w:color w:val="auto"/>
              </w:rPr>
            </w:pPr>
            <w:r>
              <w:rPr>
                <w:rFonts w:ascii="Arial" w:cs="Arial" w:eastAsia="Arial" w:hAnsi="Arial"/>
                <w:sz w:val="16"/>
                <w:szCs w:val="16"/>
                <w:color w:val="auto"/>
              </w:rPr>
              <w:t>Cancelled</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(208,849 )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11.68</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at March 31, 2023</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6,126,093</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7.94</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55,897</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6"/>
                <w:szCs w:val="16"/>
                <w:color w:val="auto"/>
              </w:rPr>
              <w:t>Exercisable at March 31, 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1,975,304</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7.06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20,377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80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w w:val="95"/>
              </w:rPr>
              <w:t>Vested and expected to vest as of March</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6,126,093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800" w:type="dxa"/>
            <w:vAlign w:val="bottom"/>
            <w:tcBorders>
              <w:bottom w:val="single" w:sz="8" w:color="CFF0FC"/>
            </w:tcBorders>
            <w:shd w:val="clear" w:color="auto" w:fill="CFF0FC"/>
          </w:tcPr>
          <w:p>
            <w:pPr>
              <w:ind w:left="20"/>
              <w:spacing w:after="0" w:line="178" w:lineRule="exact"/>
              <w:rPr>
                <w:sz w:val="20"/>
                <w:szCs w:val="20"/>
                <w:color w:val="auto"/>
              </w:rPr>
            </w:pPr>
            <w:r>
              <w:rPr>
                <w:rFonts w:ascii="Arial" w:cs="Arial" w:eastAsia="Arial" w:hAnsi="Arial"/>
                <w:sz w:val="16"/>
                <w:szCs w:val="16"/>
                <w:color w:val="auto"/>
              </w:rPr>
              <w:t>31, 2023</w:t>
            </w: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FF0FC"/>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7.94</w:t>
            </w:r>
          </w:p>
        </w:tc>
        <w:tc>
          <w:tcPr>
            <w:tcW w:w="860" w:type="dxa"/>
            <w:vAlign w:val="bottom"/>
            <w:tcBorders>
              <w:bottom w:val="single" w:sz="8" w:color="CFF0FC"/>
            </w:tcBorders>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8.5</w:t>
            </w:r>
          </w:p>
        </w:tc>
        <w:tc>
          <w:tcPr>
            <w:tcW w:w="240" w:type="dxa"/>
            <w:vAlign w:val="bottom"/>
            <w:tcBorders>
              <w:bottom w:val="single" w:sz="8" w:color="CFF0FC"/>
            </w:tcBorders>
            <w:gridSpan w:val="2"/>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CFF0FC"/>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55,897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-434975</wp:posOffset>
            </wp:positionV>
            <wp:extent cx="4508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085" cy="18034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-21590</wp:posOffset>
            </wp:positionV>
            <wp:extent cx="450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-6985</wp:posOffset>
            </wp:positionV>
            <wp:extent cx="4508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94" w:lineRule="exact"/>
        <w:rPr>
          <w:sz w:val="20"/>
          <w:szCs w:val="20"/>
          <w:color w:val="auto"/>
        </w:rPr>
      </w:pPr>
    </w:p>
    <w:p>
      <w:pPr>
        <w:ind w:left="240" w:right="339" w:firstLine="568"/>
        <w:spacing w:after="0" w:line="311" w:lineRule="auto"/>
        <w:rPr>
          <w:sz w:val="20"/>
          <w:szCs w:val="20"/>
          <w:color w:val="auto"/>
        </w:rPr>
      </w:pPr>
      <w:r>
        <w:rPr>
          <w:rFonts w:ascii="Arial" w:cs="Arial" w:eastAsia="Arial" w:hAnsi="Arial"/>
          <w:sz w:val="14"/>
          <w:szCs w:val="14"/>
          <w:color w:val="auto"/>
        </w:rPr>
        <w:t>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 (excluding option modifications):</w:t>
      </w:r>
    </w:p>
    <w:p>
      <w:pPr>
        <w:spacing w:after="0" w:line="130" w:lineRule="exact"/>
        <w:rPr>
          <w:sz w:val="20"/>
          <w:szCs w:val="20"/>
          <w:color w:val="auto"/>
        </w:rPr>
      </w:pPr>
    </w:p>
    <w:p>
      <w:pPr>
        <w:jc w:val="center"/>
        <w:ind w:left="3640"/>
        <w:spacing w:after="0"/>
        <w:rPr>
          <w:sz w:val="20"/>
          <w:szCs w:val="20"/>
          <w:color w:val="auto"/>
        </w:rPr>
      </w:pPr>
      <w:r>
        <w:rPr>
          <w:rFonts w:ascii="Arial" w:cs="Arial" w:eastAsia="Arial" w:hAnsi="Arial"/>
          <w:sz w:val="13"/>
          <w:szCs w:val="13"/>
          <w:b w:val="1"/>
          <w:bCs w:val="1"/>
          <w:color w:val="auto"/>
        </w:rPr>
        <w:t>Three Months Ended</w:t>
      </w:r>
    </w:p>
    <w:p>
      <w:pPr>
        <w:jc w:val="center"/>
        <w:ind w:left="3640"/>
        <w:spacing w:after="0" w:line="237" w:lineRule="auto"/>
        <w:rPr>
          <w:sz w:val="20"/>
          <w:szCs w:val="20"/>
          <w:color w:val="auto"/>
        </w:rPr>
      </w:pPr>
      <w:r>
        <w:rPr>
          <w:rFonts w:ascii="Arial" w:cs="Arial" w:eastAsia="Arial" w:hAnsi="Arial"/>
          <w:sz w:val="13"/>
          <w:szCs w:val="13"/>
          <w:b w:val="1"/>
          <w:bCs w:val="1"/>
          <w:color w:val="auto"/>
        </w:rPr>
        <w:t>March 31,</w:t>
      </w:r>
    </w:p>
    <w:tbl>
      <w:tblPr>
        <w:tblLayout w:type="fixed"/>
        <w:tblInd w:w="1440" w:type="dxa"/>
        <w:tblCellMar>
          <w:top w:w="0" w:type="dxa"/>
          <w:left w:w="0" w:type="dxa"/>
          <w:bottom w:w="0" w:type="dxa"/>
          <w:right w:w="0" w:type="dxa"/>
        </w:tblCellMar>
      </w:tblPr>
      <w:tr>
        <w:trPr>
          <w:trHeight w:val="146"/>
        </w:trPr>
        <w:tc>
          <w:tcPr>
            <w:tcW w:w="374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345"/>
              <w:spacing w:after="0" w:line="146" w:lineRule="exact"/>
              <w:rPr>
                <w:sz w:val="20"/>
                <w:szCs w:val="20"/>
                <w:color w:val="auto"/>
              </w:rPr>
            </w:pPr>
            <w:r>
              <w:rPr>
                <w:rFonts w:ascii="Arial" w:cs="Arial" w:eastAsia="Arial" w:hAnsi="Arial"/>
                <w:sz w:val="13"/>
                <w:szCs w:val="13"/>
                <w:b w:val="1"/>
                <w:bCs w:val="1"/>
                <w:color w:val="auto"/>
                <w:w w:val="82"/>
              </w:rPr>
              <w:t>2023</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345"/>
              <w:spacing w:after="0" w:line="146" w:lineRule="exact"/>
              <w:rPr>
                <w:sz w:val="20"/>
                <w:szCs w:val="20"/>
                <w:color w:val="auto"/>
              </w:rPr>
            </w:pPr>
            <w:r>
              <w:rPr>
                <w:rFonts w:ascii="Arial" w:cs="Arial" w:eastAsia="Arial" w:hAnsi="Arial"/>
                <w:sz w:val="13"/>
                <w:szCs w:val="13"/>
                <w:b w:val="1"/>
                <w:bCs w:val="1"/>
                <w:color w:val="auto"/>
                <w:w w:val="89"/>
              </w:rPr>
              <w:t>2022</w:t>
            </w:r>
          </w:p>
        </w:tc>
        <w:tc>
          <w:tcPr>
            <w:tcW w:w="80" w:type="dxa"/>
            <w:vAlign w:val="bottom"/>
          </w:tcPr>
          <w:p>
            <w:pPr>
              <w:spacing w:after="0"/>
              <w:rPr>
                <w:sz w:val="12"/>
                <w:szCs w:val="12"/>
                <w:color w:val="auto"/>
              </w:rPr>
            </w:pPr>
          </w:p>
        </w:tc>
      </w:tr>
      <w:tr>
        <w:trPr>
          <w:trHeight w:val="205"/>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Stock Options:</w:t>
            </w:r>
          </w:p>
        </w:tc>
        <w:tc>
          <w:tcPr>
            <w:tcW w:w="4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89"/>
              </w:rPr>
              <w:t>$7.07 - 13.20</w:t>
            </w:r>
          </w:p>
        </w:tc>
        <w:tc>
          <w:tcPr>
            <w:tcW w:w="1200" w:type="dxa"/>
            <w:vAlign w:val="bottom"/>
            <w:gridSpan w:val="3"/>
          </w:tcPr>
          <w:p>
            <w:pPr>
              <w:jc w:val="center"/>
              <w:ind w:left="41"/>
              <w:spacing w:after="0"/>
              <w:rPr>
                <w:sz w:val="20"/>
                <w:szCs w:val="20"/>
                <w:color w:val="auto"/>
              </w:rPr>
            </w:pPr>
            <w:r>
              <w:rPr>
                <w:rFonts w:ascii="Arial" w:cs="Arial" w:eastAsia="Arial" w:hAnsi="Arial"/>
                <w:sz w:val="16"/>
                <w:szCs w:val="16"/>
                <w:color w:val="auto"/>
                <w:w w:val="89"/>
              </w:rPr>
              <w:t>$10.96 - 12.31</w:t>
            </w:r>
          </w:p>
        </w:tc>
        <w:tc>
          <w:tcPr>
            <w:tcW w:w="80" w:type="dxa"/>
            <w:vAlign w:val="bottom"/>
          </w:tcPr>
          <w:p>
            <w:pPr>
              <w:spacing w:after="0"/>
              <w:rPr>
                <w:sz w:val="17"/>
                <w:szCs w:val="17"/>
                <w:color w:val="auto"/>
              </w:rPr>
            </w:pPr>
          </w:p>
        </w:tc>
      </w:tr>
      <w:tr>
        <w:trPr>
          <w:trHeight w:val="21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rate of interest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- 4.2%</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- 2.0%</w:t>
            </w:r>
          </w:p>
        </w:tc>
        <w:tc>
          <w:tcPr>
            <w:tcW w:w="80" w:type="dxa"/>
            <w:vAlign w:val="bottom"/>
            <w:shd w:val="clear" w:color="auto" w:fill="CFF0FC"/>
          </w:tcPr>
          <w:p>
            <w:pPr>
              <w:spacing w:after="0"/>
              <w:rPr>
                <w:sz w:val="19"/>
                <w:szCs w:val="19"/>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Expected term (years)</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88"/>
              </w:rPr>
              <w:t>6.0 - 6.1</w:t>
            </w:r>
          </w:p>
        </w:tc>
        <w:tc>
          <w:tcPr>
            <w:tcW w:w="1200" w:type="dxa"/>
            <w:vAlign w:val="bottom"/>
            <w:gridSpan w:val="3"/>
          </w:tcPr>
          <w:p>
            <w:pPr>
              <w:jc w:val="center"/>
              <w:ind w:left="41"/>
              <w:spacing w:after="0"/>
              <w:rPr>
                <w:sz w:val="20"/>
                <w:szCs w:val="20"/>
                <w:color w:val="auto"/>
              </w:rPr>
            </w:pPr>
            <w:r>
              <w:rPr>
                <w:rFonts w:ascii="Arial" w:cs="Arial" w:eastAsia="Arial" w:hAnsi="Arial"/>
                <w:sz w:val="16"/>
                <w:szCs w:val="16"/>
                <w:color w:val="auto"/>
                <w:w w:val="88"/>
              </w:rPr>
              <w:t>6.0 - 6.1</w:t>
            </w:r>
          </w:p>
        </w:tc>
        <w:tc>
          <w:tcPr>
            <w:tcW w:w="80" w:type="dxa"/>
            <w:vAlign w:val="bottom"/>
          </w:tcPr>
          <w:p>
            <w:pPr>
              <w:spacing w:after="0"/>
              <w:rPr>
                <w:sz w:val="17"/>
                <w:szCs w:val="17"/>
                <w:color w:val="auto"/>
              </w:rPr>
            </w:pPr>
          </w:p>
        </w:tc>
      </w:tr>
      <w:tr>
        <w:trPr>
          <w:trHeight w:val="21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stock price volatility</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w:t>
            </w:r>
          </w:p>
        </w:tc>
        <w:tc>
          <w:tcPr>
            <w:tcW w:w="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- 89.7%</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86.4</w:t>
            </w:r>
          </w:p>
        </w:tc>
        <w:tc>
          <w:tcPr>
            <w:tcW w:w="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- 90.4%</w:t>
            </w:r>
          </w:p>
        </w:tc>
        <w:tc>
          <w:tcPr>
            <w:tcW w:w="80" w:type="dxa"/>
            <w:vAlign w:val="bottom"/>
            <w:shd w:val="clear" w:color="auto" w:fill="CFF0FC"/>
          </w:tcPr>
          <w:p>
            <w:pPr>
              <w:spacing w:after="0"/>
              <w:rPr>
                <w:sz w:val="19"/>
                <w:szCs w:val="19"/>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440" w:type="dxa"/>
            <w:vAlign w:val="bottom"/>
          </w:tcPr>
          <w:p>
            <w:pPr>
              <w:spacing w:after="0"/>
              <w:rPr>
                <w:sz w:val="17"/>
                <w:szCs w:val="17"/>
                <w:color w:val="auto"/>
              </w:rPr>
            </w:pPr>
          </w:p>
        </w:tc>
        <w:tc>
          <w:tcPr>
            <w:tcW w:w="660" w:type="dxa"/>
            <w:vAlign w:val="bottom"/>
          </w:tcPr>
          <w:p>
            <w:pPr>
              <w:jc w:val="center"/>
              <w:ind w:right="345"/>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center"/>
              <w:ind w:right="32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r>
    </w:tbl>
    <w:p>
      <w:pPr>
        <w:spacing w:after="0" w:line="189" w:lineRule="exact"/>
        <w:rPr>
          <w:sz w:val="20"/>
          <w:szCs w:val="20"/>
          <w:color w:val="auto"/>
        </w:rPr>
      </w:pPr>
    </w:p>
    <w:p>
      <w:pPr>
        <w:ind w:left="240" w:right="519" w:firstLine="568"/>
        <w:spacing w:after="0" w:line="268" w:lineRule="auto"/>
        <w:rPr>
          <w:sz w:val="20"/>
          <w:szCs w:val="20"/>
          <w:color w:val="auto"/>
        </w:rPr>
      </w:pPr>
      <w:r>
        <w:rPr>
          <w:rFonts w:ascii="Arial" w:cs="Arial" w:eastAsia="Arial" w:hAnsi="Arial"/>
          <w:sz w:val="16"/>
          <w:szCs w:val="16"/>
          <w:color w:val="auto"/>
        </w:rPr>
        <w:t>Stock-based compensation expense recognized for all equity awards has been reported in the statements of operations and comprehensive loss as follows (in thousands):</w:t>
      </w:r>
    </w:p>
    <w:p>
      <w:pPr>
        <w:spacing w:after="0" w:line="156" w:lineRule="exact"/>
        <w:rPr>
          <w:sz w:val="20"/>
          <w:szCs w:val="20"/>
          <w:color w:val="auto"/>
        </w:rPr>
      </w:pPr>
    </w:p>
    <w:p>
      <w:pPr>
        <w:jc w:val="center"/>
        <w:ind w:left="2960"/>
        <w:spacing w:after="0"/>
        <w:rPr>
          <w:sz w:val="20"/>
          <w:szCs w:val="20"/>
          <w:color w:val="auto"/>
        </w:rPr>
      </w:pPr>
      <w:r>
        <w:rPr>
          <w:rFonts w:ascii="Arial" w:cs="Arial" w:eastAsia="Arial" w:hAnsi="Arial"/>
          <w:sz w:val="13"/>
          <w:szCs w:val="13"/>
          <w:b w:val="1"/>
          <w:bCs w:val="1"/>
          <w:color w:val="auto"/>
        </w:rPr>
        <w:t>Three Months Ended</w:t>
      </w:r>
    </w:p>
    <w:p>
      <w:pPr>
        <w:jc w:val="center"/>
        <w:ind w:left="2960"/>
        <w:spacing w:after="0" w:line="237" w:lineRule="auto"/>
        <w:rPr>
          <w:sz w:val="20"/>
          <w:szCs w:val="20"/>
          <w:color w:val="auto"/>
        </w:rPr>
      </w:pPr>
      <w:r>
        <w:rPr>
          <w:rFonts w:ascii="Arial" w:cs="Arial" w:eastAsia="Arial" w:hAnsi="Arial"/>
          <w:sz w:val="13"/>
          <w:szCs w:val="13"/>
          <w:b w:val="1"/>
          <w:bCs w:val="1"/>
          <w:color w:val="auto"/>
        </w:rPr>
        <w:t>March 31,</w:t>
      </w:r>
    </w:p>
    <w:tbl>
      <w:tblPr>
        <w:tblLayout w:type="fixed"/>
        <w:tblInd w:w="1400" w:type="dxa"/>
        <w:tblCellMar>
          <w:top w:w="0" w:type="dxa"/>
          <w:left w:w="0" w:type="dxa"/>
          <w:bottom w:w="0" w:type="dxa"/>
          <w:right w:w="0" w:type="dxa"/>
        </w:tblCellMar>
      </w:tblPr>
      <w:tr>
        <w:trPr>
          <w:trHeight w:val="146"/>
        </w:trPr>
        <w:tc>
          <w:tcPr>
            <w:tcW w:w="3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50"/>
              <w:spacing w:after="0" w:line="146" w:lineRule="exact"/>
              <w:rPr>
                <w:sz w:val="20"/>
                <w:szCs w:val="20"/>
                <w:color w:val="auto"/>
              </w:rPr>
            </w:pPr>
            <w:r>
              <w:rPr>
                <w:rFonts w:ascii="Arial" w:cs="Arial" w:eastAsia="Arial" w:hAnsi="Arial"/>
                <w:sz w:val="13"/>
                <w:szCs w:val="13"/>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5"/>
              <w:spacing w:after="0" w:line="146"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2"/>
                <w:szCs w:val="12"/>
                <w:color w:val="auto"/>
              </w:rPr>
            </w:pPr>
          </w:p>
        </w:tc>
      </w:tr>
      <w:tr>
        <w:trPr>
          <w:trHeight w:val="205"/>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w:t>
            </w:r>
          </w:p>
        </w:tc>
        <w:tc>
          <w:tcPr>
            <w:tcW w:w="960" w:type="dxa"/>
            <w:vAlign w:val="bottom"/>
            <w:shd w:val="clear" w:color="auto" w:fill="CFF0FC"/>
          </w:tcPr>
          <w:p>
            <w:pPr>
              <w:jc w:val="right"/>
              <w:ind w:right="81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60" w:type="dxa"/>
            <w:vAlign w:val="bottom"/>
            <w:shd w:val="clear" w:color="auto" w:fill="CFF0FC"/>
          </w:tcPr>
          <w:p>
            <w:pPr>
              <w:spacing w:after="0"/>
              <w:rPr>
                <w:sz w:val="17"/>
                <w:szCs w:val="17"/>
                <w:color w:val="auto"/>
              </w:rPr>
            </w:pPr>
          </w:p>
        </w:tc>
      </w:tr>
      <w:tr>
        <w:trPr>
          <w:trHeight w:val="207"/>
        </w:trPr>
        <w:tc>
          <w:tcPr>
            <w:tcW w:w="304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w:t>
            </w:r>
          </w:p>
        </w:tc>
        <w:tc>
          <w:tcPr>
            <w:tcW w:w="60" w:type="dxa"/>
            <w:vAlign w:val="bottom"/>
          </w:tcPr>
          <w:p>
            <w:pPr>
              <w:spacing w:after="0"/>
              <w:rPr>
                <w:sz w:val="17"/>
                <w:szCs w:val="17"/>
                <w:color w:val="auto"/>
              </w:rPr>
            </w:pPr>
          </w:p>
        </w:tc>
      </w:tr>
      <w:tr>
        <w:trPr>
          <w:trHeight w:val="245"/>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2,433</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-21590</wp:posOffset>
            </wp:positionV>
            <wp:extent cx="3746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-6985</wp:posOffset>
            </wp:positionV>
            <wp:extent cx="3746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-21590</wp:posOffset>
            </wp:positionV>
            <wp:extent cx="374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-6985</wp:posOffset>
            </wp:positionV>
            <wp:extent cx="3746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57" w:lineRule="exact"/>
        <w:rPr>
          <w:sz w:val="20"/>
          <w:szCs w:val="20"/>
          <w:color w:val="auto"/>
        </w:rPr>
      </w:pPr>
    </w:p>
    <w:p>
      <w:pPr>
        <w:ind w:left="240" w:right="799" w:firstLine="568"/>
        <w:spacing w:after="0" w:line="340" w:lineRule="auto"/>
        <w:rPr>
          <w:sz w:val="20"/>
          <w:szCs w:val="20"/>
          <w:color w:val="auto"/>
        </w:rPr>
      </w:pPr>
      <w:r>
        <w:rPr>
          <w:rFonts w:ascii="Arial" w:cs="Arial" w:eastAsia="Arial" w:hAnsi="Arial"/>
          <w:sz w:val="14"/>
          <w:szCs w:val="14"/>
          <w:color w:val="auto"/>
        </w:rPr>
        <w:t>During the period ended March 31, 2022, the Company recognized $1.2 million additional stock-based compensation expense within general and administrative expenses related to accelerated vesting of options of a former executive.</w:t>
      </w:r>
    </w:p>
    <w:p>
      <w:pPr>
        <w:spacing w:after="0" w:line="112" w:lineRule="exact"/>
        <w:rPr>
          <w:sz w:val="20"/>
          <w:szCs w:val="20"/>
          <w:color w:val="auto"/>
        </w:rPr>
      </w:pPr>
    </w:p>
    <w:p>
      <w:pPr>
        <w:ind w:left="240" w:right="639" w:firstLine="568"/>
        <w:spacing w:after="0" w:line="268" w:lineRule="auto"/>
        <w:rPr>
          <w:sz w:val="20"/>
          <w:szCs w:val="20"/>
          <w:color w:val="auto"/>
        </w:rPr>
      </w:pPr>
      <w:r>
        <w:rPr>
          <w:rFonts w:ascii="Arial" w:cs="Arial" w:eastAsia="Arial" w:hAnsi="Arial"/>
          <w:sz w:val="16"/>
          <w:szCs w:val="16"/>
          <w:color w:val="auto"/>
        </w:rPr>
        <w:t>The weighted-average grant date fair value of options granted for the three months ended March 31, 2023 and 2022 was $6.51 and $8.52 per share, respectively.</w:t>
      </w:r>
    </w:p>
    <w:p>
      <w:pPr>
        <w:spacing w:after="0" w:line="157" w:lineRule="exact"/>
        <w:rPr>
          <w:sz w:val="20"/>
          <w:szCs w:val="20"/>
          <w:color w:val="auto"/>
        </w:rPr>
      </w:pPr>
    </w:p>
    <w:p>
      <w:pPr>
        <w:ind w:left="240" w:right="519" w:firstLine="568"/>
        <w:spacing w:after="0" w:line="268" w:lineRule="auto"/>
        <w:rPr>
          <w:sz w:val="20"/>
          <w:szCs w:val="20"/>
          <w:color w:val="auto"/>
        </w:rPr>
      </w:pPr>
      <w:r>
        <w:rPr>
          <w:rFonts w:ascii="Arial" w:cs="Arial" w:eastAsia="Arial" w:hAnsi="Arial"/>
          <w:sz w:val="16"/>
          <w:szCs w:val="16"/>
          <w:color w:val="auto"/>
        </w:rPr>
        <w:t>Forfeitures resulting in the reversal of compensation expense were immaterial for the three months ended March 31, 2023 and 2022.</w:t>
      </w:r>
    </w:p>
    <w:p>
      <w:pPr>
        <w:spacing w:after="0" w:line="157" w:lineRule="exact"/>
        <w:rPr>
          <w:sz w:val="20"/>
          <w:szCs w:val="20"/>
          <w:color w:val="auto"/>
        </w:rPr>
      </w:pPr>
    </w:p>
    <w:p>
      <w:pPr>
        <w:ind w:left="240" w:right="439" w:firstLine="568"/>
        <w:spacing w:after="0" w:line="340" w:lineRule="auto"/>
        <w:rPr>
          <w:sz w:val="20"/>
          <w:szCs w:val="20"/>
          <w:color w:val="auto"/>
        </w:rPr>
      </w:pPr>
      <w:r>
        <w:rPr>
          <w:rFonts w:ascii="Arial" w:cs="Arial" w:eastAsia="Arial" w:hAnsi="Arial"/>
          <w:sz w:val="14"/>
          <w:szCs w:val="14"/>
          <w:color w:val="auto"/>
        </w:rPr>
        <w:t>As of March 31, 2023, the unrecognized compensation cost related to outstanding employee and nonemployee options was $24.5 million, and is expected to be recognized as expense over a weighted-average period of approximately 2.3 years.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58420</wp:posOffset>
            </wp:positionV>
            <wp:extent cx="543242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1" w:name="page12"/>
    <w:bookmarkEnd w:id="11"/>
    <w:p>
      <w:pPr>
        <w:ind w:left="24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94" w:lineRule="exact"/>
        <w:rPr>
          <w:sz w:val="20"/>
          <w:szCs w:val="20"/>
          <w:color w:val="auto"/>
        </w:rPr>
      </w:pPr>
    </w:p>
    <w:p>
      <w:pPr>
        <w:ind w:left="240" w:right="259" w:firstLine="568"/>
        <w:spacing w:after="0" w:line="268" w:lineRule="auto"/>
        <w:rPr>
          <w:sz w:val="20"/>
          <w:szCs w:val="20"/>
          <w:color w:val="auto"/>
        </w:rPr>
      </w:pPr>
      <w:r>
        <w:rPr>
          <w:rFonts w:ascii="Arial" w:cs="Arial" w:eastAsia="Arial" w:hAnsi="Arial"/>
          <w:sz w:val="15"/>
          <w:szCs w:val="15"/>
          <w:color w:val="auto"/>
        </w:rPr>
        <w:t>In September 2021, the Company’s Board of Directors and stockholders approved and adopted the 2021 Employee Stock Purchase Plan (ESPP).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 (2) such smaller amount as determined by the Company’s Board of Directors. On January 1, 2022, the number of shares reserved for issuance under the ESPP was increased to 805,361 shares and on January 1, 2023, the number of shares reserved for issuance under the ESPP was increased to 1,231,705 shares.</w:t>
      </w:r>
    </w:p>
    <w:p>
      <w:pPr>
        <w:spacing w:after="0" w:line="159" w:lineRule="exact"/>
        <w:rPr>
          <w:sz w:val="20"/>
          <w:szCs w:val="20"/>
          <w:color w:val="auto"/>
        </w:rPr>
      </w:pPr>
    </w:p>
    <w:p>
      <w:pPr>
        <w:ind w:left="240" w:right="279" w:firstLine="568"/>
        <w:spacing w:after="0" w:line="269" w:lineRule="auto"/>
        <w:rPr>
          <w:sz w:val="20"/>
          <w:szCs w:val="20"/>
          <w:color w:val="auto"/>
        </w:rPr>
      </w:pPr>
      <w:r>
        <w:rPr>
          <w:rFonts w:ascii="Arial" w:cs="Arial" w:eastAsia="Arial" w:hAnsi="Arial"/>
          <w:sz w:val="15"/>
          <w:szCs w:val="15"/>
          <w:color w:val="auto"/>
        </w:rPr>
        <w:t>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24 months, with new offering periods commencing every six months on or about the dates of March 15 and September 15 of each year. During the three months ended March 31, 2023 and 2022, the Company issued 32,442 and 27,518 shares, respectively, of common stock in connection with the ESPP. As of March 31, 2023, there were 1,153,344 shares available for future purchase under the ESPP.</w:t>
      </w:r>
    </w:p>
    <w:p>
      <w:pPr>
        <w:spacing w:after="0" w:line="161" w:lineRule="exact"/>
        <w:rPr>
          <w:sz w:val="20"/>
          <w:szCs w:val="20"/>
          <w:color w:val="auto"/>
        </w:rPr>
      </w:pPr>
    </w:p>
    <w:p>
      <w:pPr>
        <w:ind w:left="240" w:right="519" w:firstLine="568"/>
        <w:spacing w:after="0" w:line="302" w:lineRule="auto"/>
        <w:rPr>
          <w:sz w:val="20"/>
          <w:szCs w:val="20"/>
          <w:color w:val="auto"/>
        </w:rPr>
      </w:pPr>
      <w:r>
        <w:rPr>
          <w:rFonts w:ascii="Arial" w:cs="Arial" w:eastAsia="Arial" w:hAnsi="Arial"/>
          <w:sz w:val="15"/>
          <w:szCs w:val="15"/>
          <w:color w:val="auto"/>
        </w:rPr>
        <w:t>The Company estimated the fair value of shares purchased under the ESPP, using the Black-Scholes valuation model. The fair value of shares purchased under the ESPP was estimated using the following assumptions:</w:t>
      </w:r>
    </w:p>
    <w:p>
      <w:pPr>
        <w:spacing w:after="0" w:line="133" w:lineRule="exact"/>
        <w:rPr>
          <w:sz w:val="20"/>
          <w:szCs w:val="20"/>
          <w:color w:val="auto"/>
        </w:rPr>
      </w:pPr>
    </w:p>
    <w:p>
      <w:pPr>
        <w:jc w:val="center"/>
        <w:ind w:left="3920"/>
        <w:spacing w:after="0"/>
        <w:rPr>
          <w:sz w:val="20"/>
          <w:szCs w:val="20"/>
          <w:color w:val="auto"/>
        </w:rPr>
      </w:pPr>
      <w:r>
        <w:rPr>
          <w:rFonts w:ascii="Arial" w:cs="Arial" w:eastAsia="Arial" w:hAnsi="Arial"/>
          <w:sz w:val="13"/>
          <w:szCs w:val="13"/>
          <w:b w:val="1"/>
          <w:bCs w:val="1"/>
          <w:color w:val="auto"/>
        </w:rPr>
        <w:t>Three Months Ended</w:t>
      </w:r>
    </w:p>
    <w:p>
      <w:pPr>
        <w:jc w:val="center"/>
        <w:ind w:left="3920"/>
        <w:spacing w:after="0" w:line="237" w:lineRule="auto"/>
        <w:rPr>
          <w:sz w:val="20"/>
          <w:szCs w:val="20"/>
          <w:color w:val="auto"/>
        </w:rPr>
      </w:pPr>
      <w:r>
        <w:rPr>
          <w:rFonts w:ascii="Arial" w:cs="Arial" w:eastAsia="Arial" w:hAnsi="Arial"/>
          <w:sz w:val="13"/>
          <w:szCs w:val="13"/>
          <w:b w:val="1"/>
          <w:bCs w:val="1"/>
          <w:color w:val="auto"/>
        </w:rPr>
        <w:t>March 31,</w:t>
      </w:r>
    </w:p>
    <w:tbl>
      <w:tblPr>
        <w:tblLayout w:type="fixed"/>
        <w:tblInd w:w="1480" w:type="dxa"/>
        <w:tblCellMar>
          <w:top w:w="0" w:type="dxa"/>
          <w:left w:w="0" w:type="dxa"/>
          <w:bottom w:w="0" w:type="dxa"/>
          <w:right w:w="0" w:type="dxa"/>
        </w:tblCellMar>
      </w:tblPr>
      <w:tr>
        <w:trPr>
          <w:trHeight w:val="146"/>
        </w:trPr>
        <w:tc>
          <w:tcPr>
            <w:tcW w:w="39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82"/>
              </w:rPr>
              <w:t>2023</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305"/>
              <w:spacing w:after="0" w:line="146" w:lineRule="exact"/>
              <w:rPr>
                <w:sz w:val="20"/>
                <w:szCs w:val="20"/>
                <w:color w:val="auto"/>
              </w:rPr>
            </w:pPr>
            <w:r>
              <w:rPr>
                <w:rFonts w:ascii="Arial" w:cs="Arial" w:eastAsia="Arial" w:hAnsi="Arial"/>
                <w:sz w:val="13"/>
                <w:szCs w:val="13"/>
                <w:b w:val="1"/>
                <w:bCs w:val="1"/>
                <w:color w:val="auto"/>
                <w:w w:val="82"/>
              </w:rPr>
              <w:t>2022</w:t>
            </w:r>
          </w:p>
        </w:tc>
      </w:tr>
      <w:tr>
        <w:trPr>
          <w:trHeight w:val="205"/>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Stock Options:</w:t>
            </w: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$14.77</w:t>
            </w: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89"/>
              </w:rPr>
              <w:t>$11.03</w:t>
            </w:r>
          </w:p>
        </w:tc>
      </w:tr>
      <w:tr>
        <w:trPr>
          <w:trHeight w:val="21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rate of interest</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4.1 - 4.9%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660" w:type="dxa"/>
            <w:vAlign w:val="bottom"/>
            <w:shd w:val="clear" w:color="auto" w:fill="CFF0FC"/>
          </w:tcPr>
          <w:p>
            <w:pPr>
              <w:ind w:left="40"/>
              <w:spacing w:after="0"/>
              <w:rPr>
                <w:sz w:val="20"/>
                <w:szCs w:val="20"/>
                <w:color w:val="auto"/>
              </w:rPr>
            </w:pPr>
            <w:r>
              <w:rPr>
                <w:rFonts w:ascii="Arial" w:cs="Arial" w:eastAsia="Arial" w:hAnsi="Arial"/>
                <w:sz w:val="16"/>
                <w:szCs w:val="16"/>
                <w:color w:val="auto"/>
              </w:rPr>
              <w:t>- 2.0%</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Expected term (years)</w:t>
            </w:r>
          </w:p>
        </w:tc>
        <w:tc>
          <w:tcPr>
            <w:tcW w:w="1020" w:type="dxa"/>
            <w:vAlign w:val="bottom"/>
          </w:tcPr>
          <w:p>
            <w:pPr>
              <w:jc w:val="center"/>
              <w:spacing w:after="0"/>
              <w:rPr>
                <w:sz w:val="20"/>
                <w:szCs w:val="20"/>
                <w:color w:val="auto"/>
              </w:rPr>
            </w:pPr>
            <w:r>
              <w:rPr>
                <w:rFonts w:ascii="Arial" w:cs="Arial" w:eastAsia="Arial" w:hAnsi="Arial"/>
                <w:sz w:val="16"/>
                <w:szCs w:val="16"/>
                <w:color w:val="auto"/>
                <w:w w:val="88"/>
              </w:rPr>
              <w:t>0.5 - 2.0</w:t>
            </w: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88"/>
              </w:rPr>
              <w:t>0.5 - 2.0</w:t>
            </w:r>
          </w:p>
        </w:tc>
      </w:tr>
      <w:tr>
        <w:trPr>
          <w:trHeight w:val="21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stock price volatility</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99.2 - 122.5%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660" w:type="dxa"/>
            <w:vAlign w:val="bottom"/>
            <w:shd w:val="clear" w:color="auto" w:fill="CFF0FC"/>
          </w:tcPr>
          <w:p>
            <w:pPr>
              <w:ind w:left="40"/>
              <w:spacing w:after="0"/>
              <w:rPr>
                <w:sz w:val="20"/>
                <w:szCs w:val="20"/>
                <w:color w:val="auto"/>
              </w:rPr>
            </w:pPr>
            <w:r>
              <w:rPr>
                <w:rFonts w:ascii="Arial" w:cs="Arial" w:eastAsia="Arial" w:hAnsi="Arial"/>
                <w:sz w:val="16"/>
                <w:szCs w:val="16"/>
                <w:color w:val="auto"/>
              </w:rPr>
              <w:t>- 89.8%</w:t>
            </w:r>
          </w:p>
        </w:tc>
      </w:tr>
      <w:tr>
        <w:trPr>
          <w:trHeight w:val="200"/>
        </w:trPr>
        <w:tc>
          <w:tcPr>
            <w:tcW w:w="39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center"/>
              <w:ind w:right="305"/>
              <w:spacing w:after="0"/>
              <w:rPr>
                <w:sz w:val="20"/>
                <w:szCs w:val="20"/>
                <w:color w:val="auto"/>
              </w:rPr>
            </w:pPr>
            <w:r>
              <w:rPr>
                <w:rFonts w:ascii="Arial" w:cs="Arial" w:eastAsia="Arial" w:hAnsi="Arial"/>
                <w:sz w:val="16"/>
                <w:szCs w:val="16"/>
                <w:color w:val="auto"/>
                <w:w w:val="99"/>
              </w:rPr>
              <w:t>—</w:t>
            </w:r>
          </w:p>
        </w:tc>
      </w:tr>
    </w:tbl>
    <w:p>
      <w:pPr>
        <w:spacing w:after="0" w:line="189" w:lineRule="exact"/>
        <w:rPr>
          <w:sz w:val="20"/>
          <w:szCs w:val="20"/>
          <w:color w:val="auto"/>
        </w:rPr>
      </w:pPr>
    </w:p>
    <w:p>
      <w:pPr>
        <w:ind w:left="240" w:right="279" w:firstLine="568"/>
        <w:spacing w:after="0" w:line="311" w:lineRule="auto"/>
        <w:rPr>
          <w:sz w:val="20"/>
          <w:szCs w:val="20"/>
          <w:color w:val="auto"/>
        </w:rPr>
      </w:pPr>
      <w:r>
        <w:rPr>
          <w:rFonts w:ascii="Arial" w:cs="Arial" w:eastAsia="Arial" w:hAnsi="Arial"/>
          <w:sz w:val="14"/>
          <w:szCs w:val="14"/>
          <w:color w:val="auto"/>
        </w:rPr>
        <w:t>During the three months ended March 31, 2023 and 2022, the Company recognized compensation expense of $0.1 million and $0.2 million, respectively, related to the ESPP. As of March 31, 2023, the remaining unrecognized compensation expense related to the ESPP was $0.7 million, and is expected to be recognized as expense over a weighted-average period of approximately 1.4 years.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Liability for Early Exercise of Stock Options</w:t>
      </w:r>
    </w:p>
    <w:p>
      <w:pPr>
        <w:spacing w:after="0" w:line="194" w:lineRule="exact"/>
        <w:rPr>
          <w:sz w:val="20"/>
          <w:szCs w:val="20"/>
          <w:color w:val="auto"/>
        </w:rPr>
      </w:pPr>
    </w:p>
    <w:p>
      <w:pPr>
        <w:ind w:left="240" w:right="259" w:firstLine="568"/>
        <w:spacing w:after="0" w:line="283" w:lineRule="auto"/>
        <w:rPr>
          <w:sz w:val="20"/>
          <w:szCs w:val="20"/>
          <w:color w:val="auto"/>
        </w:rPr>
      </w:pPr>
      <w:r>
        <w:rPr>
          <w:rFonts w:ascii="Arial" w:cs="Arial" w:eastAsia="Arial" w:hAnsi="Arial"/>
          <w:sz w:val="14"/>
          <w:szCs w:val="14"/>
          <w:color w:val="auto"/>
        </w:rPr>
        <w:t>Certain individuals were granted the ability to early exercise their stock options prior to the IPO.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March 31, 2023 and December 31, 2022, 225,581 and 277,081 unvested shares issued under early exercise provisions were subject to repurchase by the Company, respectively. As of March 31, 2023 and December 31, 2022, the Company recorded $0.1 million and $0.2 million, respectively, associated with early exercised stock options in other long-term liabilities.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 w:name="page13"/>
    <w:bookmarkEnd w:id="12"/>
    <w:p>
      <w:pPr>
        <w:ind w:left="240"/>
        <w:spacing w:after="0"/>
        <w:rPr>
          <w:sz w:val="20"/>
          <w:szCs w:val="20"/>
          <w:color w:val="auto"/>
        </w:rPr>
      </w:pPr>
      <w:r>
        <w:rPr>
          <w:rFonts w:ascii="Arial" w:cs="Arial" w:eastAsia="Arial" w:hAnsi="Arial"/>
          <w:sz w:val="16"/>
          <w:szCs w:val="16"/>
          <w:b w:val="1"/>
          <w:bCs w:val="1"/>
          <w:color w:val="auto"/>
        </w:rPr>
        <w:t>8. Net Loss Per Share</w:t>
      </w:r>
    </w:p>
    <w:p>
      <w:pPr>
        <w:spacing w:after="0" w:line="198" w:lineRule="exact"/>
        <w:rPr>
          <w:sz w:val="20"/>
          <w:szCs w:val="20"/>
          <w:color w:val="auto"/>
        </w:rPr>
      </w:pPr>
    </w:p>
    <w:p>
      <w:pPr>
        <w:ind w:left="240" w:right="379" w:firstLine="568"/>
        <w:spacing w:after="0" w:line="268" w:lineRule="auto"/>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180" w:lineRule="exact"/>
        <w:rPr>
          <w:sz w:val="20"/>
          <w:szCs w:val="20"/>
          <w:color w:val="auto"/>
        </w:rPr>
      </w:pPr>
    </w:p>
    <w:p>
      <w:pPr>
        <w:jc w:val="center"/>
        <w:ind w:left="4200"/>
        <w:spacing w:after="0"/>
        <w:rPr>
          <w:sz w:val="20"/>
          <w:szCs w:val="20"/>
          <w:color w:val="auto"/>
        </w:rPr>
      </w:pPr>
      <w:r>
        <w:rPr>
          <w:rFonts w:ascii="Arial" w:cs="Arial" w:eastAsia="Arial" w:hAnsi="Arial"/>
          <w:sz w:val="13"/>
          <w:szCs w:val="13"/>
          <w:b w:val="1"/>
          <w:bCs w:val="1"/>
          <w:color w:val="auto"/>
        </w:rPr>
        <w:t>Three Months Ended</w:t>
      </w:r>
    </w:p>
    <w:p>
      <w:pPr>
        <w:jc w:val="center"/>
        <w:ind w:left="4200"/>
        <w:spacing w:after="0" w:line="237" w:lineRule="auto"/>
        <w:rPr>
          <w:sz w:val="20"/>
          <w:szCs w:val="20"/>
          <w:color w:val="auto"/>
        </w:rPr>
      </w:pPr>
      <w:r>
        <w:rPr>
          <w:rFonts w:ascii="Arial" w:cs="Arial" w:eastAsia="Arial" w:hAnsi="Arial"/>
          <w:sz w:val="13"/>
          <w:szCs w:val="13"/>
          <w:b w:val="1"/>
          <w:bCs w:val="1"/>
          <w:color w:val="auto"/>
        </w:rPr>
        <w:t>March 31,</w:t>
      </w:r>
    </w:p>
    <w:tbl>
      <w:tblPr>
        <w:tblLayout w:type="fixed"/>
        <w:tblInd w:w="1140" w:type="dxa"/>
        <w:tblCellMar>
          <w:top w:w="0" w:type="dxa"/>
          <w:left w:w="0" w:type="dxa"/>
          <w:bottom w:w="0" w:type="dxa"/>
          <w:right w:w="0" w:type="dxa"/>
        </w:tblCellMar>
      </w:tblPr>
      <w:tr>
        <w:trPr>
          <w:trHeight w:val="146"/>
        </w:trPr>
        <w:tc>
          <w:tcPr>
            <w:tcW w:w="42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3"/>
              <w:spacing w:after="0" w:line="146" w:lineRule="exact"/>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3"/>
              <w:spacing w:after="0" w:line="146" w:lineRule="exact"/>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Numerator:</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(11,880 )</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(14,826 )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Denominator:</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8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42,690,767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42,585,657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Less: weighted-average unvested restricted</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common stock subject to repurchase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(3,274 )</w:t>
            </w:r>
          </w:p>
        </w:tc>
        <w:tc>
          <w:tcPr>
            <w:tcW w:w="24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(454,163 )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340"/>
              <w:spacing w:after="0"/>
              <w:rPr>
                <w:sz w:val="20"/>
                <w:szCs w:val="20"/>
                <w:color w:val="auto"/>
              </w:rPr>
            </w:pPr>
            <w:r>
              <w:rPr>
                <w:rFonts w:ascii="Arial" w:cs="Arial" w:eastAsia="Arial" w:hAnsi="Arial"/>
                <w:sz w:val="16"/>
                <w:szCs w:val="16"/>
                <w:color w:val="auto"/>
              </w:rPr>
              <w:t>Less: weighted-average unvested common stock</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460"/>
              <w:spacing w:after="0"/>
              <w:rPr>
                <w:sz w:val="20"/>
                <w:szCs w:val="20"/>
                <w:color w:val="auto"/>
              </w:rPr>
            </w:pPr>
            <w:r>
              <w:rPr>
                <w:rFonts w:ascii="Arial" w:cs="Arial" w:eastAsia="Arial" w:hAnsi="Arial"/>
                <w:sz w:val="16"/>
                <w:szCs w:val="16"/>
                <w:color w:val="auto"/>
              </w:rPr>
              <w:t>issued upon early exercise of common stock</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(292,870 )</w:t>
            </w:r>
          </w:p>
        </w:tc>
        <w:tc>
          <w:tcPr>
            <w:tcW w:w="24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(579,781 )</w:t>
            </w:r>
          </w:p>
        </w:tc>
        <w:tc>
          <w:tcPr>
            <w:tcW w:w="0" w:type="dxa"/>
            <w:vAlign w:val="bottom"/>
          </w:tcPr>
          <w:p>
            <w:pPr>
              <w:spacing w:after="0"/>
              <w:rPr>
                <w:sz w:val="1"/>
                <w:szCs w:val="1"/>
                <w:color w:val="auto"/>
              </w:rPr>
            </w:pPr>
          </w:p>
        </w:tc>
      </w:tr>
      <w:tr>
        <w:trPr>
          <w:trHeight w:val="201"/>
        </w:trPr>
        <w:tc>
          <w:tcPr>
            <w:tcW w:w="4280" w:type="dxa"/>
            <w:vAlign w:val="bottom"/>
          </w:tcPr>
          <w:p>
            <w:pPr>
              <w:ind w:left="460"/>
              <w:spacing w:after="0"/>
              <w:rPr>
                <w:sz w:val="20"/>
                <w:szCs w:val="20"/>
                <w:color w:val="auto"/>
              </w:rPr>
            </w:pPr>
            <w:r>
              <w:rPr>
                <w:rFonts w:ascii="Arial" w:cs="Arial" w:eastAsia="Arial" w:hAnsi="Arial"/>
                <w:sz w:val="16"/>
                <w:szCs w:val="16"/>
                <w:color w:val="auto"/>
              </w:rPr>
              <w:t>options</w:t>
            </w: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8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Weighted-average shares used to compute net loss</w:t>
            </w:r>
          </w:p>
        </w:tc>
        <w:tc>
          <w:tcPr>
            <w:tcW w:w="2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42,394,623</w:t>
            </w:r>
          </w:p>
        </w:tc>
        <w:tc>
          <w:tcPr>
            <w:tcW w:w="18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41,551,713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80" w:type="dxa"/>
            <w:vAlign w:val="bottom"/>
            <w:tcBorders>
              <w:bottom w:val="single" w:sz="8" w:color="CFF0FC"/>
            </w:tcBorders>
            <w:shd w:val="clear" w:color="auto" w:fill="CFF0FC"/>
          </w:tcPr>
          <w:p>
            <w:pPr>
              <w:ind w:left="140"/>
              <w:spacing w:after="0" w:line="178" w:lineRule="exact"/>
              <w:rPr>
                <w:sz w:val="20"/>
                <w:szCs w:val="20"/>
                <w:color w:val="auto"/>
              </w:rPr>
            </w:pPr>
            <w:r>
              <w:rPr>
                <w:rFonts w:ascii="Arial" w:cs="Arial" w:eastAsia="Arial" w:hAnsi="Arial"/>
                <w:sz w:val="16"/>
                <w:szCs w:val="16"/>
                <w:color w:val="auto"/>
              </w:rPr>
              <w:t>per common share, basic and diluted</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CFF0FC"/>
            </w:tcBorders>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(0.28 )</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-179705</wp:posOffset>
            </wp:positionV>
            <wp:extent cx="84137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41375" cy="180340"/>
                    </a:xfrm>
                    <a:prstGeom prst="rect">
                      <a:avLst/>
                    </a:prstGeom>
                    <a:noFill/>
                  </pic:spPr>
                </pic:pic>
              </a:graphicData>
            </a:graphic>
          </wp:anchor>
        </w:drawing>
      </w:r>
    </w:p>
    <w:p>
      <w:pPr>
        <w:spacing w:after="0" w:line="180" w:lineRule="exact"/>
        <w:rPr>
          <w:sz w:val="20"/>
          <w:szCs w:val="20"/>
          <w:color w:val="auto"/>
        </w:rPr>
      </w:pPr>
    </w:p>
    <w:p>
      <w:pPr>
        <w:ind w:left="240" w:right="419" w:firstLine="568"/>
        <w:spacing w:after="0" w:line="268" w:lineRule="auto"/>
        <w:rPr>
          <w:sz w:val="20"/>
          <w:szCs w:val="20"/>
          <w:color w:val="auto"/>
        </w:rPr>
      </w:pPr>
      <w:r>
        <w:rPr>
          <w:rFonts w:ascii="Arial" w:cs="Arial" w:eastAsia="Arial" w:hAnsi="Arial"/>
          <w:sz w:val="16"/>
          <w:szCs w:val="16"/>
          <w:color w:val="auto"/>
        </w:rPr>
        <w:t>The following table sets forth the outstanding potentially dilutive securities that have been excluded from the calculation of diluted net loss per share because their inclusion would be anti-dilutive.</w:t>
      </w:r>
    </w:p>
    <w:p>
      <w:pPr>
        <w:spacing w:after="0" w:line="185" w:lineRule="exact"/>
        <w:rPr>
          <w:sz w:val="20"/>
          <w:szCs w:val="20"/>
          <w:color w:val="auto"/>
        </w:rPr>
      </w:pPr>
    </w:p>
    <w:tbl>
      <w:tblPr>
        <w:tblLayout w:type="fixed"/>
        <w:tblInd w:w="120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3"/>
                <w:szCs w:val="13"/>
                <w:b w:val="1"/>
                <w:bCs w:val="1"/>
                <w:color w:val="auto"/>
              </w:rPr>
              <w:t>As of March 31,</w:t>
            </w:r>
          </w:p>
        </w:tc>
        <w:tc>
          <w:tcPr>
            <w:tcW w:w="60" w:type="dxa"/>
            <w:vAlign w:val="bottom"/>
          </w:tcPr>
          <w:p>
            <w:pPr>
              <w:spacing w:after="0"/>
              <w:rPr>
                <w:sz w:val="14"/>
                <w:szCs w:val="14"/>
                <w:color w:val="auto"/>
              </w:rPr>
            </w:pPr>
          </w:p>
        </w:tc>
      </w:tr>
      <w:tr>
        <w:trPr>
          <w:trHeight w:val="146"/>
        </w:trPr>
        <w:tc>
          <w:tcPr>
            <w:tcW w:w="4780" w:type="dxa"/>
            <w:vAlign w:val="bottom"/>
          </w:tcPr>
          <w:p>
            <w:pPr>
              <w:spacing w:after="0"/>
              <w:rPr>
                <w:sz w:val="12"/>
                <w:szCs w:val="12"/>
                <w:color w:val="auto"/>
              </w:rPr>
            </w:pPr>
          </w:p>
        </w:tc>
        <w:tc>
          <w:tcPr>
            <w:tcW w:w="800" w:type="dxa"/>
            <w:vAlign w:val="bottom"/>
          </w:tcPr>
          <w:p>
            <w:pPr>
              <w:jc w:val="right"/>
              <w:ind w:right="206"/>
              <w:spacing w:after="0" w:line="146" w:lineRule="exact"/>
              <w:rPr>
                <w:sz w:val="20"/>
                <w:szCs w:val="20"/>
                <w:color w:val="auto"/>
              </w:rPr>
            </w:pPr>
            <w:r>
              <w:rPr>
                <w:rFonts w:ascii="Arial" w:cs="Arial" w:eastAsia="Arial" w:hAnsi="Arial"/>
                <w:sz w:val="13"/>
                <w:szCs w:val="13"/>
                <w:b w:val="1"/>
                <w:bCs w:val="1"/>
                <w:color w:val="auto"/>
              </w:rPr>
              <w:t>2023</w:t>
            </w:r>
          </w:p>
        </w:tc>
        <w:tc>
          <w:tcPr>
            <w:tcW w:w="980" w:type="dxa"/>
            <w:vAlign w:val="bottom"/>
            <w:gridSpan w:val="2"/>
          </w:tcPr>
          <w:p>
            <w:pPr>
              <w:jc w:val="right"/>
              <w:ind w:right="201"/>
              <w:spacing w:after="0" w:line="146"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2"/>
                <w:szCs w:val="12"/>
                <w:color w:val="auto"/>
              </w:rPr>
            </w:pPr>
          </w:p>
        </w:tc>
      </w:tr>
      <w:tr>
        <w:trPr>
          <w:trHeight w:val="205"/>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Unvested restricted common stock subject to repurchase</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3,175</w:t>
            </w:r>
          </w:p>
        </w:tc>
        <w:tc>
          <w:tcPr>
            <w:tcW w:w="16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372,700</w:t>
            </w:r>
          </w:p>
        </w:tc>
        <w:tc>
          <w:tcPr>
            <w:tcW w:w="60" w:type="dxa"/>
            <w:vAlign w:val="bottom"/>
            <w:shd w:val="clear" w:color="auto" w:fill="CFF0FC"/>
          </w:tcPr>
          <w:p>
            <w:pPr>
              <w:spacing w:after="0"/>
              <w:rPr>
                <w:sz w:val="17"/>
                <w:szCs w:val="17"/>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Unvested common stock upon early exercise of stock</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780" w:type="dxa"/>
            <w:vAlign w:val="bottom"/>
          </w:tcPr>
          <w:p>
            <w:pPr>
              <w:ind w:left="120"/>
              <w:spacing w:after="0"/>
              <w:rPr>
                <w:sz w:val="20"/>
                <w:szCs w:val="20"/>
                <w:color w:val="auto"/>
              </w:rPr>
            </w:pPr>
            <w:r>
              <w:rPr>
                <w:rFonts w:ascii="Arial" w:cs="Arial" w:eastAsia="Arial" w:hAnsi="Arial"/>
                <w:sz w:val="16"/>
                <w:szCs w:val="16"/>
                <w:color w:val="auto"/>
              </w:rPr>
              <w:t>options</w:t>
            </w:r>
          </w:p>
        </w:tc>
        <w:tc>
          <w:tcPr>
            <w:tcW w:w="800" w:type="dxa"/>
            <w:vAlign w:val="bottom"/>
          </w:tcPr>
          <w:p>
            <w:pPr>
              <w:jc w:val="right"/>
              <w:spacing w:after="0"/>
              <w:rPr>
                <w:sz w:val="20"/>
                <w:szCs w:val="20"/>
                <w:color w:val="auto"/>
              </w:rPr>
            </w:pPr>
            <w:r>
              <w:rPr>
                <w:rFonts w:ascii="Arial" w:cs="Arial" w:eastAsia="Arial" w:hAnsi="Arial"/>
                <w:sz w:val="16"/>
                <w:szCs w:val="16"/>
                <w:color w:val="auto"/>
              </w:rPr>
              <w:t>225,581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495,870</w:t>
            </w:r>
          </w:p>
        </w:tc>
        <w:tc>
          <w:tcPr>
            <w:tcW w:w="60" w:type="dxa"/>
            <w:vAlign w:val="bottom"/>
          </w:tcPr>
          <w:p>
            <w:pPr>
              <w:spacing w:after="0"/>
              <w:rPr>
                <w:sz w:val="18"/>
                <w:szCs w:val="18"/>
                <w:color w:val="auto"/>
              </w:rPr>
            </w:pPr>
          </w:p>
        </w:tc>
      </w:tr>
      <w:tr>
        <w:trPr>
          <w:trHeight w:val="21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6,126,093</w:t>
            </w: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3,844,194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5"/>
        </w:trPr>
        <w:tc>
          <w:tcPr>
            <w:tcW w:w="4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6,354,849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4,712,764</w:t>
            </w:r>
          </w:p>
        </w:tc>
        <w:tc>
          <w:tcPr>
            <w:tcW w:w="6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-164465</wp:posOffset>
            </wp:positionV>
            <wp:extent cx="45085" cy="165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085" cy="16510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-164465</wp:posOffset>
            </wp:positionV>
            <wp:extent cx="37465" cy="165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465" cy="165100"/>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9. Leases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Company has operating leases for its office and laboratory space, including its corporate headquarters.</w:t>
      </w:r>
    </w:p>
    <w:p>
      <w:pPr>
        <w:spacing w:after="0" w:line="194" w:lineRule="exact"/>
        <w:rPr>
          <w:sz w:val="20"/>
          <w:szCs w:val="20"/>
          <w:color w:val="auto"/>
        </w:rPr>
      </w:pPr>
    </w:p>
    <w:p>
      <w:pPr>
        <w:ind w:left="240" w:right="439" w:firstLine="568"/>
        <w:spacing w:after="0" w:line="311" w:lineRule="auto"/>
        <w:rPr>
          <w:sz w:val="20"/>
          <w:szCs w:val="20"/>
          <w:color w:val="auto"/>
        </w:rPr>
      </w:pPr>
      <w:r>
        <w:rPr>
          <w:rFonts w:ascii="Arial" w:cs="Arial" w:eastAsia="Arial" w:hAnsi="Arial"/>
          <w:sz w:val="14"/>
          <w:szCs w:val="14"/>
          <w:color w:val="auto"/>
        </w:rPr>
        <w:t>In August 2020, the Company entered into a lease agreement for approximately 4,734 square feet of office and lab space at 2656 State Street in Carlsbad, California, for the Company’s headquarters (the Original Lease). The Original Lease commenced in May 2021, and had an original term of 60 months, with an option to extend for two additional 36 month periods.</w:t>
      </w:r>
    </w:p>
    <w:p>
      <w:pPr>
        <w:spacing w:after="0" w:line="131" w:lineRule="exact"/>
        <w:rPr>
          <w:sz w:val="20"/>
          <w:szCs w:val="20"/>
          <w:color w:val="auto"/>
        </w:rPr>
      </w:pPr>
    </w:p>
    <w:p>
      <w:pPr>
        <w:ind w:left="240" w:right="359" w:firstLine="568"/>
        <w:spacing w:after="0" w:line="251" w:lineRule="auto"/>
        <w:rPr>
          <w:sz w:val="20"/>
          <w:szCs w:val="20"/>
          <w:color w:val="auto"/>
        </w:rPr>
      </w:pPr>
      <w:r>
        <w:rPr>
          <w:rFonts w:ascii="Arial" w:cs="Arial" w:eastAsia="Arial" w:hAnsi="Arial"/>
          <w:sz w:val="16"/>
          <w:szCs w:val="16"/>
          <w:color w:val="auto"/>
        </w:rPr>
        <w:t>In March 2022, the Company entered into an agreement for an additional office and laboratory space (the Expansion Lease). The Expansion Lease is expected to commence in the second half of 2023 and projected lease payments over the life of the lease are expected to be $5.5 million with a lease expiration of 120 months after the commencement of the Expansion Lease. The Original Lease was amended to have the same lease expiration as the Expansion Lease. The Company has an option to renew the Expansion Lease and the Original Lease, which has the same lessor and has been amended to have the same option to extend for two additional 36 month periods.</w:t>
      </w:r>
    </w:p>
    <w:p>
      <w:pPr>
        <w:spacing w:after="0" w:line="170" w:lineRule="exact"/>
        <w:rPr>
          <w:sz w:val="20"/>
          <w:szCs w:val="20"/>
          <w:color w:val="auto"/>
        </w:rPr>
      </w:pPr>
    </w:p>
    <w:p>
      <w:pPr>
        <w:ind w:left="240" w:right="359" w:firstLine="568"/>
        <w:spacing w:after="0" w:line="268" w:lineRule="auto"/>
        <w:rPr>
          <w:sz w:val="20"/>
          <w:szCs w:val="20"/>
          <w:color w:val="auto"/>
        </w:rPr>
      </w:pPr>
      <w:r>
        <w:rPr>
          <w:rFonts w:ascii="Arial" w:cs="Arial" w:eastAsia="Arial" w:hAnsi="Arial"/>
          <w:sz w:val="16"/>
          <w:szCs w:val="16"/>
          <w:color w:val="auto"/>
        </w:rPr>
        <w:t>The Company did not include the renewal periods in determining the lease term, as the Company was not reasonably certain to exercise either the amended Original Lease or the Expansion Lease renewal options.</w:t>
      </w:r>
    </w:p>
    <w:p>
      <w:pPr>
        <w:spacing w:after="0" w:line="157" w:lineRule="exact"/>
        <w:rPr>
          <w:sz w:val="20"/>
          <w:szCs w:val="20"/>
          <w:color w:val="auto"/>
        </w:rPr>
      </w:pPr>
    </w:p>
    <w:p>
      <w:pPr>
        <w:jc w:val="both"/>
        <w:ind w:left="240" w:right="499" w:firstLine="568"/>
        <w:spacing w:after="0" w:line="251" w:lineRule="auto"/>
        <w:rPr>
          <w:sz w:val="20"/>
          <w:szCs w:val="20"/>
          <w:color w:val="auto"/>
        </w:rPr>
      </w:pPr>
      <w:r>
        <w:rPr>
          <w:rFonts w:ascii="Arial" w:cs="Arial" w:eastAsia="Arial" w:hAnsi="Arial"/>
          <w:sz w:val="16"/>
          <w:szCs w:val="16"/>
          <w:color w:val="auto"/>
        </w:rPr>
        <w:t>In connection with the Company's lease agreements, the Company paid security deposits of $0.1 million and is required to maintain a letter of credit of $1.0 million until 2027 at which time it can be reduced to $0.5 million throughout the end of the lease term.</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13" w:name="page14"/>
    <w:bookmarkEnd w:id="13"/>
    <w:p>
      <w:pPr>
        <w:ind w:left="240" w:right="299" w:firstLine="568"/>
        <w:spacing w:after="0" w:line="268" w:lineRule="auto"/>
        <w:rPr>
          <w:sz w:val="20"/>
          <w:szCs w:val="20"/>
          <w:color w:val="auto"/>
        </w:rPr>
      </w:pPr>
      <w:r>
        <w:rPr>
          <w:rFonts w:ascii="Arial" w:cs="Arial" w:eastAsia="Arial" w:hAnsi="Arial"/>
          <w:sz w:val="16"/>
          <w:szCs w:val="16"/>
          <w:color w:val="auto"/>
        </w:rPr>
        <w:t>Cash paid for amounts included in the measurement of lease liabilities was $0.1 million and $0.1 million for the three months ended March 31, 2023 and 2022, respectively.</w:t>
      </w:r>
    </w:p>
    <w:p>
      <w:pPr>
        <w:spacing w:after="0" w:line="157" w:lineRule="exact"/>
        <w:rPr>
          <w:sz w:val="20"/>
          <w:szCs w:val="20"/>
          <w:color w:val="auto"/>
        </w:rPr>
      </w:pPr>
    </w:p>
    <w:p>
      <w:pPr>
        <w:ind w:left="240" w:right="559" w:firstLine="568"/>
        <w:spacing w:after="0" w:line="311" w:lineRule="auto"/>
        <w:rPr>
          <w:sz w:val="20"/>
          <w:szCs w:val="20"/>
          <w:color w:val="auto"/>
        </w:rPr>
      </w:pPr>
      <w:r>
        <w:rPr>
          <w:rFonts w:ascii="Arial" w:cs="Arial" w:eastAsia="Arial" w:hAnsi="Arial"/>
          <w:sz w:val="14"/>
          <w:szCs w:val="14"/>
          <w:color w:val="auto"/>
        </w:rPr>
        <w:t>The components of lease expense include operating, short-term, and variable lease costs. Amortization is recorded within research and development and general and administrative expenses in the statements of operations and comprehensive loss. Components of lease cost for the three months ended March 31, 2023 and 2022, respectively, were as follows (in thousands):</w:t>
      </w:r>
    </w:p>
    <w:p>
      <w:pPr>
        <w:spacing w:after="0" w:line="130" w:lineRule="exact"/>
        <w:rPr>
          <w:sz w:val="20"/>
          <w:szCs w:val="20"/>
          <w:color w:val="auto"/>
        </w:rPr>
      </w:pPr>
    </w:p>
    <w:p>
      <w:pPr>
        <w:jc w:val="center"/>
        <w:ind w:left="4500"/>
        <w:spacing w:after="0"/>
        <w:rPr>
          <w:sz w:val="20"/>
          <w:szCs w:val="20"/>
          <w:color w:val="auto"/>
        </w:rPr>
      </w:pPr>
      <w:r>
        <w:rPr>
          <w:rFonts w:ascii="Arial" w:cs="Arial" w:eastAsia="Arial" w:hAnsi="Arial"/>
          <w:sz w:val="13"/>
          <w:szCs w:val="13"/>
          <w:b w:val="1"/>
          <w:bCs w:val="1"/>
          <w:color w:val="auto"/>
        </w:rPr>
        <w:t>Three Months Ended</w:t>
      </w:r>
    </w:p>
    <w:p>
      <w:pPr>
        <w:jc w:val="center"/>
        <w:ind w:left="4500"/>
        <w:spacing w:after="0" w:line="237" w:lineRule="auto"/>
        <w:rPr>
          <w:sz w:val="20"/>
          <w:szCs w:val="20"/>
          <w:color w:val="auto"/>
        </w:rPr>
      </w:pPr>
      <w:r>
        <w:rPr>
          <w:rFonts w:ascii="Arial" w:cs="Arial" w:eastAsia="Arial" w:hAnsi="Arial"/>
          <w:sz w:val="13"/>
          <w:szCs w:val="13"/>
          <w:b w:val="1"/>
          <w:bCs w:val="1"/>
          <w:color w:val="auto"/>
        </w:rPr>
        <w:t>March 31,</w:t>
      </w:r>
    </w:p>
    <w:tbl>
      <w:tblPr>
        <w:tblLayout w:type="fixed"/>
        <w:tblInd w:w="1320" w:type="dxa"/>
        <w:tblCellMar>
          <w:top w:w="0" w:type="dxa"/>
          <w:left w:w="0" w:type="dxa"/>
          <w:bottom w:w="0" w:type="dxa"/>
          <w:right w:w="0" w:type="dxa"/>
        </w:tblCellMar>
      </w:tblPr>
      <w:tr>
        <w:trPr>
          <w:trHeight w:val="146"/>
        </w:trPr>
        <w:tc>
          <w:tcPr>
            <w:tcW w:w="45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4"/>
              <w:spacing w:after="0" w:line="146"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2"/>
                <w:szCs w:val="12"/>
                <w:color w:val="auto"/>
              </w:rPr>
            </w:pPr>
          </w:p>
        </w:tc>
      </w:tr>
      <w:tr>
        <w:trPr>
          <w:trHeight w:val="205"/>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560" w:type="dxa"/>
            <w:vAlign w:val="bottom"/>
            <w:shd w:val="clear" w:color="auto" w:fill="CFF0FC"/>
          </w:tcPr>
          <w:p>
            <w:pPr>
              <w:jc w:val="right"/>
              <w:ind w:right="386"/>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60" w:type="dxa"/>
            <w:vAlign w:val="bottom"/>
            <w:shd w:val="clear" w:color="auto" w:fill="CFF0FC"/>
          </w:tcPr>
          <w:p>
            <w:pPr>
              <w:spacing w:after="0"/>
              <w:rPr>
                <w:sz w:val="17"/>
                <w:szCs w:val="17"/>
                <w:color w:val="auto"/>
              </w:rPr>
            </w:pPr>
          </w:p>
        </w:tc>
      </w:tr>
      <w:tr>
        <w:trPr>
          <w:trHeight w:val="207"/>
        </w:trPr>
        <w:tc>
          <w:tcPr>
            <w:tcW w:w="4560" w:type="dxa"/>
            <w:vAlign w:val="bottom"/>
          </w:tcPr>
          <w:p>
            <w:pPr>
              <w:spacing w:after="0"/>
              <w:rPr>
                <w:sz w:val="20"/>
                <w:szCs w:val="20"/>
                <w:color w:val="auto"/>
              </w:rPr>
            </w:pPr>
            <w:r>
              <w:rPr>
                <w:rFonts w:ascii="Arial" w:cs="Arial" w:eastAsia="Arial" w:hAnsi="Arial"/>
                <w:sz w:val="16"/>
                <w:szCs w:val="16"/>
                <w:color w:val="auto"/>
              </w:rPr>
              <w:t>Short-term lease cost</w:t>
            </w:r>
          </w:p>
        </w:tc>
        <w:tc>
          <w:tcPr>
            <w:tcW w:w="5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7"/>
                <w:szCs w:val="17"/>
                <w:color w:val="auto"/>
              </w:rPr>
            </w:pPr>
          </w:p>
        </w:tc>
      </w:tr>
      <w:tr>
        <w:trPr>
          <w:trHeight w:val="21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Variable lease cost</w:t>
            </w:r>
          </w:p>
        </w:tc>
        <w:tc>
          <w:tcPr>
            <w:tcW w:w="5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5"/>
        </w:trPr>
        <w:tc>
          <w:tcPr>
            <w:tcW w:w="4560" w:type="dxa"/>
            <w:vAlign w:val="bottom"/>
          </w:tcPr>
          <w:p>
            <w:pPr>
              <w:spacing w:after="0"/>
              <w:rPr>
                <w:sz w:val="20"/>
                <w:szCs w:val="20"/>
                <w:color w:val="auto"/>
              </w:rPr>
            </w:pPr>
            <w:r>
              <w:rPr>
                <w:rFonts w:ascii="Arial" w:cs="Arial" w:eastAsia="Arial" w:hAnsi="Arial"/>
                <w:sz w:val="16"/>
                <w:szCs w:val="16"/>
                <w:color w:val="auto"/>
              </w:rPr>
              <w:t>Total lease cost</w:t>
            </w:r>
          </w:p>
        </w:tc>
        <w:tc>
          <w:tcPr>
            <w:tcW w:w="560" w:type="dxa"/>
            <w:vAlign w:val="bottom"/>
          </w:tcPr>
          <w:p>
            <w:pPr>
              <w:jc w:val="right"/>
              <w:ind w:right="386"/>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119</w:t>
            </w:r>
          </w:p>
        </w:tc>
        <w:tc>
          <w:tcPr>
            <w:tcW w:w="3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-164465</wp:posOffset>
            </wp:positionV>
            <wp:extent cx="37465" cy="165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465" cy="16510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-164465</wp:posOffset>
            </wp:positionV>
            <wp:extent cx="37465" cy="165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465" cy="165100"/>
                    </a:xfrm>
                    <a:prstGeom prst="rect">
                      <a:avLst/>
                    </a:prstGeom>
                    <a:noFill/>
                  </pic:spPr>
                </pic:pic>
              </a:graphicData>
            </a:graphic>
          </wp:anchor>
        </w:drawing>
      </w:r>
    </w:p>
    <w:p>
      <w:pPr>
        <w:spacing w:after="0" w:line="157" w:lineRule="exact"/>
        <w:rPr>
          <w:sz w:val="20"/>
          <w:szCs w:val="20"/>
          <w:color w:val="auto"/>
        </w:rPr>
      </w:pPr>
    </w:p>
    <w:p>
      <w:pPr>
        <w:ind w:left="240" w:right="679" w:firstLine="568"/>
        <w:spacing w:after="0" w:line="268" w:lineRule="auto"/>
        <w:rPr>
          <w:sz w:val="20"/>
          <w:szCs w:val="20"/>
          <w:color w:val="auto"/>
        </w:rPr>
      </w:pPr>
      <w:r>
        <w:rPr>
          <w:rFonts w:ascii="Arial" w:cs="Arial" w:eastAsia="Arial" w:hAnsi="Arial"/>
          <w:sz w:val="16"/>
          <w:szCs w:val="16"/>
          <w:color w:val="auto"/>
        </w:rPr>
        <w:t>Maturities of lease liabilities, weighted-average remaining term and weighted-average discount rate were as follows (in thousands):</w:t>
      </w:r>
    </w:p>
    <w:p>
      <w:pPr>
        <w:spacing w:after="0" w:line="18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87"/>
              </w:rPr>
              <w:t>As of March 31,</w:t>
            </w: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Year ending December 31,</w:t>
            </w:r>
          </w:p>
        </w:tc>
        <w:tc>
          <w:tcPr>
            <w:tcW w:w="7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CFF0FC"/>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20" w:type="dxa"/>
            <w:vAlign w:val="bottom"/>
          </w:tcPr>
          <w:p>
            <w:pPr>
              <w:ind w:left="160"/>
              <w:spacing w:after="0"/>
              <w:rPr>
                <w:sz w:val="20"/>
                <w:szCs w:val="20"/>
                <w:color w:val="auto"/>
              </w:rPr>
            </w:pPr>
            <w:r>
              <w:rPr>
                <w:rFonts w:ascii="Arial" w:cs="Arial" w:eastAsia="Arial" w:hAnsi="Arial"/>
                <w:sz w:val="16"/>
                <w:szCs w:val="16"/>
                <w:color w:val="auto"/>
              </w:rPr>
              <w:t>2023 (remaining nine months)</w:t>
            </w:r>
          </w:p>
        </w:tc>
        <w:tc>
          <w:tcPr>
            <w:tcW w:w="94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2024</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ind w:right="3"/>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20" w:type="dxa"/>
            <w:vAlign w:val="bottom"/>
          </w:tcPr>
          <w:p>
            <w:pPr>
              <w:ind w:left="160"/>
              <w:spacing w:after="0"/>
              <w:rPr>
                <w:sz w:val="20"/>
                <w:szCs w:val="20"/>
                <w:color w:val="auto"/>
              </w:rPr>
            </w:pPr>
            <w:r>
              <w:rPr>
                <w:rFonts w:ascii="Arial" w:cs="Arial" w:eastAsia="Arial" w:hAnsi="Arial"/>
                <w:sz w:val="16"/>
                <w:szCs w:val="16"/>
                <w:color w:val="auto"/>
              </w:rPr>
              <w:t>2025</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2026</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ind w:right="3"/>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20" w:type="dxa"/>
            <w:vAlign w:val="bottom"/>
          </w:tcPr>
          <w:p>
            <w:pPr>
              <w:ind w:left="160"/>
              <w:spacing w:after="0"/>
              <w:rPr>
                <w:sz w:val="20"/>
                <w:szCs w:val="20"/>
                <w:color w:val="auto"/>
              </w:rPr>
            </w:pPr>
            <w:r>
              <w:rPr>
                <w:rFonts w:ascii="Arial" w:cs="Arial" w:eastAsia="Arial" w:hAnsi="Arial"/>
                <w:sz w:val="16"/>
                <w:szCs w:val="16"/>
                <w:color w:val="auto"/>
              </w:rPr>
              <w:t>2027</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ind w:right="3"/>
              <w:spacing w:after="0"/>
              <w:rPr>
                <w:sz w:val="20"/>
                <w:szCs w:val="20"/>
                <w:color w:val="auto"/>
              </w:rPr>
            </w:pPr>
            <w:r>
              <w:rPr>
                <w:rFonts w:ascii="Arial" w:cs="Arial" w:eastAsia="Arial" w:hAnsi="Arial"/>
                <w:sz w:val="16"/>
                <w:szCs w:val="16"/>
                <w:color w:val="auto"/>
              </w:rPr>
              <w:t>2,044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line="211" w:lineRule="exact"/>
              <w:rPr>
                <w:sz w:val="20"/>
                <w:szCs w:val="20"/>
                <w:color w:val="auto"/>
              </w:rPr>
            </w:pPr>
            <w:r>
              <w:rPr>
                <w:rFonts w:ascii="Arial" w:cs="Arial" w:eastAsia="Arial" w:hAnsi="Arial"/>
                <w:sz w:val="16"/>
                <w:szCs w:val="16"/>
                <w:color w:val="auto"/>
              </w:rPr>
              <w:t xml:space="preserve">Total minimum lease payments </w:t>
            </w:r>
            <w:r>
              <w:rPr>
                <w:rFonts w:ascii="Arial" w:cs="Arial" w:eastAsia="Arial" w:hAnsi="Arial"/>
                <w:sz w:val="21"/>
                <w:szCs w:val="21"/>
                <w:color w:val="auto"/>
                <w:vertAlign w:val="superscript"/>
              </w:rPr>
              <w:t>(1)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Less: amount representing interest</w:t>
            </w: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(973 )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2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Present value of lease liabilities</w:t>
            </w:r>
          </w:p>
        </w:tc>
        <w:tc>
          <w:tcPr>
            <w:tcW w:w="7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2,588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Less: current portion of lease liabilities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(144 )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Lease liabilities, noncurrent</w:t>
            </w:r>
          </w:p>
        </w:tc>
        <w:tc>
          <w:tcPr>
            <w:tcW w:w="7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2,444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3"/>
                <w:szCs w:val="13"/>
                <w:color w:val="auto"/>
                <w:w w:val="90"/>
              </w:rPr>
              <w:t>(1) Excludes $5.5 million of legally binding minimum lease payments for leases not yet commenced</w:t>
            </w: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4420" w:type="dxa"/>
            <w:vAlign w:val="bottom"/>
          </w:tcPr>
          <w:p>
            <w:pPr>
              <w:spacing w:after="0"/>
              <w:rPr>
                <w:sz w:val="24"/>
                <w:szCs w:val="24"/>
                <w:color w:val="auto"/>
              </w:rPr>
            </w:pPr>
          </w:p>
        </w:tc>
        <w:tc>
          <w:tcPr>
            <w:tcW w:w="1080" w:type="dxa"/>
            <w:vAlign w:val="bottom"/>
            <w:gridSpan w:val="3"/>
          </w:tcPr>
          <w:p>
            <w:pPr>
              <w:jc w:val="center"/>
              <w:ind w:right="97"/>
              <w:spacing w:after="0"/>
              <w:rPr>
                <w:sz w:val="20"/>
                <w:szCs w:val="20"/>
                <w:color w:val="auto"/>
              </w:rPr>
            </w:pPr>
            <w:r>
              <w:rPr>
                <w:rFonts w:ascii="Arial" w:cs="Arial" w:eastAsia="Arial" w:hAnsi="Arial"/>
                <w:sz w:val="13"/>
                <w:szCs w:val="13"/>
                <w:b w:val="1"/>
                <w:bCs w:val="1"/>
                <w:color w:val="auto"/>
                <w:w w:val="93"/>
              </w:rPr>
              <w:t>March 31,</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w w:val="93"/>
              </w:rPr>
              <w:t>Weighted-average remaining lease term (years) - operating leases</w:t>
            </w:r>
          </w:p>
        </w:tc>
        <w:tc>
          <w:tcPr>
            <w:tcW w:w="9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w w:val="89"/>
              </w:rPr>
              <w:t>10.3</w:t>
            </w:r>
          </w:p>
        </w:tc>
        <w:tc>
          <w:tcPr>
            <w:tcW w:w="14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ind w:right="3"/>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6"/>
                <w:szCs w:val="16"/>
                <w:color w:val="auto"/>
                <w:w w:val="96"/>
              </w:rPr>
              <w:t>Weighted-average incremental borrowing rate - operating leases</w:t>
            </w:r>
          </w:p>
        </w:tc>
        <w:tc>
          <w:tcPr>
            <w:tcW w:w="1080" w:type="dxa"/>
            <w:vAlign w:val="bottom"/>
            <w:gridSpan w:val="3"/>
          </w:tcPr>
          <w:p>
            <w:pPr>
              <w:ind w:left="640"/>
              <w:spacing w:after="0"/>
              <w:rPr>
                <w:sz w:val="20"/>
                <w:szCs w:val="20"/>
                <w:color w:val="auto"/>
              </w:rPr>
            </w:pPr>
            <w:r>
              <w:rPr>
                <w:rFonts w:ascii="Arial" w:cs="Arial" w:eastAsia="Arial" w:hAnsi="Arial"/>
                <w:sz w:val="16"/>
                <w:szCs w:val="16"/>
                <w:color w:val="auto"/>
                <w:w w:val="84"/>
              </w:rPr>
              <w:t>6.50 %</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4879975</wp:posOffset>
            </wp:positionH>
            <wp:positionV relativeFrom="paragraph">
              <wp:posOffset>-1403350</wp:posOffset>
            </wp:positionV>
            <wp:extent cx="37465" cy="142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465" cy="14287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-1125220</wp:posOffset>
            </wp:positionV>
            <wp:extent cx="37465" cy="142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465" cy="14287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-847725</wp:posOffset>
            </wp:positionV>
            <wp:extent cx="37465" cy="165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465" cy="165100"/>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10. Commitments and Contingencies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Other Funding Commitments</w:t>
      </w:r>
    </w:p>
    <w:p>
      <w:pPr>
        <w:spacing w:after="0" w:line="194" w:lineRule="exact"/>
        <w:rPr>
          <w:sz w:val="20"/>
          <w:szCs w:val="20"/>
          <w:color w:val="auto"/>
        </w:rPr>
      </w:pPr>
    </w:p>
    <w:p>
      <w:pPr>
        <w:ind w:left="240" w:right="419" w:firstLine="568"/>
        <w:spacing w:after="0" w:line="301" w:lineRule="auto"/>
        <w:rPr>
          <w:sz w:val="20"/>
          <w:szCs w:val="20"/>
          <w:color w:val="auto"/>
        </w:rPr>
      </w:pPr>
      <w:r>
        <w:rPr>
          <w:rFonts w:ascii="Arial" w:cs="Arial" w:eastAsia="Arial" w:hAnsi="Arial"/>
          <w:sz w:val="14"/>
          <w:szCs w:val="14"/>
          <w:color w:val="auto"/>
        </w:rPr>
        <w:t>As of March 31, 2023, the Company had ongoing clinical and pre-clinical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Litigation</w:t>
      </w:r>
    </w:p>
    <w:p>
      <w:pPr>
        <w:spacing w:after="0" w:line="194" w:lineRule="exact"/>
        <w:rPr>
          <w:sz w:val="20"/>
          <w:szCs w:val="20"/>
          <w:color w:val="auto"/>
        </w:rPr>
      </w:pPr>
    </w:p>
    <w:p>
      <w:pPr>
        <w:ind w:left="240" w:right="319" w:firstLine="568"/>
        <w:spacing w:after="0" w:line="250" w:lineRule="auto"/>
        <w:rPr>
          <w:sz w:val="20"/>
          <w:szCs w:val="20"/>
          <w:color w:val="auto"/>
        </w:rPr>
      </w:pPr>
      <w:r>
        <w:rPr>
          <w:rFonts w:ascii="Arial" w:cs="Arial" w:eastAsia="Arial" w:hAnsi="Arial"/>
          <w:sz w:val="16"/>
          <w:szCs w:val="16"/>
          <w:color w:val="auto"/>
        </w:rPr>
        <w:t>The Company, from time to time, may be party to litigation arising in the ordinary course of business. The Company was not subject to any material legal proceedings as of March 31, 2023, and no material legal proceedings are currently pending or threatened. If the potential loss from any claim, asserted or unasserted, or legal proceeding is considered probable and the amount is reasonably estimable, the Company will accrue a liability for the estimated loss.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4" w:name="page15"/>
    <w:bookmarkEnd w:id="14"/>
    <w:p>
      <w:pPr>
        <w:ind w:left="2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8" w:lineRule="exact"/>
        <w:rPr>
          <w:sz w:val="20"/>
          <w:szCs w:val="20"/>
          <w:color w:val="auto"/>
        </w:rPr>
      </w:pPr>
    </w:p>
    <w:p>
      <w:pPr>
        <w:jc w:val="both"/>
        <w:ind w:left="240" w:right="399" w:firstLine="568"/>
        <w:spacing w:after="0" w:line="276" w:lineRule="auto"/>
        <w:rPr>
          <w:sz w:val="20"/>
          <w:szCs w:val="20"/>
          <w:color w:val="auto"/>
        </w:rPr>
      </w:pPr>
      <w:r>
        <w:rPr>
          <w:rFonts w:ascii="Arial" w:cs="Arial" w:eastAsia="Arial" w:hAnsi="Arial"/>
          <w:sz w:val="15"/>
          <w:szCs w:val="15"/>
          <w:i w:val="1"/>
          <w:iCs w:val="1"/>
          <w:color w:val="auto"/>
        </w:rPr>
        <w:t>The following discussion and analysis and the unaudited interim financial statements included in this Quarterly Report on Form 10-Q should be read in conjunction with the financial statements and notes thereto for the year ended December 31, 2022 and the related Management’s Discussion and Analysis of Financial Condition and Results of Operations, both of which are contained in the Annual Report on Form 10-K for the year ended December 31, 2022 (the 2022 Annual Report).</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Forward-Looking Statements</w:t>
      </w:r>
    </w:p>
    <w:p>
      <w:pPr>
        <w:spacing w:after="0" w:line="198" w:lineRule="exact"/>
        <w:rPr>
          <w:sz w:val="20"/>
          <w:szCs w:val="20"/>
          <w:color w:val="auto"/>
        </w:rPr>
      </w:pPr>
    </w:p>
    <w:p>
      <w:pPr>
        <w:ind w:left="240" w:right="279" w:firstLine="568"/>
        <w:spacing w:after="0" w:line="287" w:lineRule="auto"/>
        <w:rPr>
          <w:sz w:val="20"/>
          <w:szCs w:val="20"/>
          <w:color w:val="auto"/>
        </w:rPr>
      </w:pPr>
      <w:r>
        <w:rPr>
          <w:rFonts w:ascii="Arial" w:cs="Arial" w:eastAsia="Arial" w:hAnsi="Arial"/>
          <w:sz w:val="14"/>
          <w:szCs w:val="14"/>
          <w:color w:val="auto"/>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timing and likelihood of regulatory filings and approvals for our product candidates, the potential to develop product candidates and the safety and therapeutic benefits of our product candidates, our ability to commercialize our product candidates, if approved, the impact on our business from the COVID-19 pandemic and other epidemic diseases on our business,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0" w:lineRule="exact"/>
        <w:rPr>
          <w:sz w:val="20"/>
          <w:szCs w:val="20"/>
          <w:color w:val="auto"/>
        </w:rPr>
      </w:pPr>
    </w:p>
    <w:p>
      <w:pPr>
        <w:ind w:left="240" w:right="259" w:firstLine="607"/>
        <w:spacing w:after="0" w:line="266" w:lineRule="auto"/>
        <w:rPr>
          <w:sz w:val="20"/>
          <w:szCs w:val="20"/>
          <w:color w:val="auto"/>
        </w:rPr>
      </w:pPr>
      <w:r>
        <w:rPr>
          <w:rFonts w:ascii="Arial" w:cs="Arial" w:eastAsia="Arial" w:hAnsi="Arial"/>
          <w:sz w:val="15"/>
          <w:szCs w:val="15"/>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Overview</w:t>
      </w:r>
    </w:p>
    <w:p>
      <w:pPr>
        <w:spacing w:after="0" w:line="198" w:lineRule="exact"/>
        <w:rPr>
          <w:sz w:val="20"/>
          <w:szCs w:val="20"/>
          <w:color w:val="auto"/>
        </w:rPr>
      </w:pPr>
    </w:p>
    <w:p>
      <w:pPr>
        <w:ind w:left="240" w:right="379" w:firstLine="568"/>
        <w:spacing w:after="0" w:line="273" w:lineRule="auto"/>
        <w:rPr>
          <w:sz w:val="20"/>
          <w:szCs w:val="20"/>
          <w:color w:val="auto"/>
        </w:rPr>
      </w:pPr>
      <w:r>
        <w:rPr>
          <w:rFonts w:ascii="Arial" w:cs="Arial" w:eastAsia="Arial" w:hAnsi="Arial"/>
          <w:sz w:val="15"/>
          <w:szCs w:val="15"/>
          <w:color w:val="auto"/>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spacing w:after="0" w:line="154" w:lineRule="exact"/>
        <w:rPr>
          <w:sz w:val="20"/>
          <w:szCs w:val="20"/>
          <w:color w:val="auto"/>
        </w:rPr>
      </w:pPr>
    </w:p>
    <w:p>
      <w:pPr>
        <w:ind w:left="240" w:right="359" w:firstLine="568"/>
        <w:spacing w:after="0" w:line="291" w:lineRule="auto"/>
        <w:rPr>
          <w:sz w:val="20"/>
          <w:szCs w:val="20"/>
          <w:color w:val="auto"/>
        </w:rPr>
      </w:pPr>
      <w:r>
        <w:rPr>
          <w:rFonts w:ascii="Arial" w:cs="Arial" w:eastAsia="Arial" w:hAnsi="Arial"/>
          <w:sz w:val="14"/>
          <w:szCs w:val="14"/>
          <w:color w:val="auto"/>
        </w:rPr>
        <w:t>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which is optimized to enable rapid and precise refinement of structural design through iterative molecular SNÅPshots, in order to generate novel product candidates that are specifically designed to limit off-target toxicities and address acquired drug resistance to provide next-generation treatment options. Genomic alterations in FGFR family members occur in approximately 7% of all human cancers, representing about 126,000 new cases per year.</w:t>
      </w:r>
    </w:p>
    <w:p>
      <w:pPr>
        <w:spacing w:after="0" w:line="147" w:lineRule="exact"/>
        <w:rPr>
          <w:sz w:val="20"/>
          <w:szCs w:val="20"/>
          <w:color w:val="auto"/>
        </w:rPr>
      </w:pPr>
    </w:p>
    <w:p>
      <w:pPr>
        <w:ind w:left="240" w:right="359" w:firstLine="568"/>
        <w:spacing w:after="0" w:line="284" w:lineRule="auto"/>
        <w:rPr>
          <w:sz w:val="20"/>
          <w:szCs w:val="20"/>
          <w:color w:val="auto"/>
        </w:rPr>
      </w:pPr>
      <w:r>
        <w:rPr>
          <w:rFonts w:ascii="Arial" w:cs="Arial" w:eastAsia="Arial" w:hAnsi="Arial"/>
          <w:sz w:val="14"/>
          <w:szCs w:val="14"/>
          <w:color w:val="auto"/>
        </w:rPr>
        <w:t>We are advancing multiple oncology product candidates toward the clinic, including our lead product candidate TYRA-300, an FGFR3 selective inhibitor with an initial focus on patients with metastatic urothelial carcinoma of the bladder and urinary tract (mUC). We submitted an Investigational New Drug application (IND) to the U.S. Food and Drug Administration (FDA) for TYRA-300 in June 2022 and received clearance in July 2022 to proceed with our Phase 1/2 clinical trial of TYRA-300, SURF301 (Study in Untreated and Resistant FGFR3+ Advanced Solid Tumors), a multi-center, open label study designed to determine the optimal and maximum tolerated doses and the recommended Phase 2 dose of TYRA-300, as well as to evaluate the preliminary antitumor activity of TYRA-300. In November 2022, the first patient was dosed with TYRA-300 in our Phase 1/2 study SURF301.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15" w:name="page16"/>
    <w:bookmarkEnd w:id="15"/>
    <w:p>
      <w:pPr>
        <w:ind w:left="240" w:right="319" w:firstLine="568"/>
        <w:spacing w:after="0" w:line="289" w:lineRule="auto"/>
        <w:rPr>
          <w:sz w:val="20"/>
          <w:szCs w:val="20"/>
          <w:color w:val="auto"/>
        </w:rPr>
      </w:pPr>
      <w:r>
        <w:rPr>
          <w:rFonts w:ascii="Arial" w:cs="Arial" w:eastAsia="Arial" w:hAnsi="Arial"/>
          <w:sz w:val="14"/>
          <w:szCs w:val="14"/>
          <w:color w:val="auto"/>
        </w:rPr>
        <w:t>Beyond oncology, FGFR3 is implicated in many developmental conditions, such as achondroplasia (ACH) and other skeletal dysplasias, due to its role in regulating bone and cartilage formation. In March 2023, we announced we were expanding development of TYRA-300 into achondroplasia based on positive preclinical results demonstrated in a study performed in collaboration with the Imagine Institute in Paris, France. Achondroplasia, the most common form of dwarfism, is a skeletal dysplasia in which growth plate cartilage is affected, resulting in decreased growth of the long bones, vertebral bodies and skull base. These growth differences can result in health complications such as cranial and spinal stenosis, hydrocephalus, genu varum (bowed legs), and sleep apnea. A specific mutation in FGFR3 causes an estimated 97% of achondroplasia. We believe that the design of TYRA-300 may have a meaningful impact on achondroplasia and other skeletal dysplasias. We are planning additional IND-enabling studies and anticipate submitting an IND to the FDA to enable a Phase 2 study in pediatric achondroplasia in 2024.</w:t>
      </w:r>
    </w:p>
    <w:p>
      <w:pPr>
        <w:spacing w:after="0" w:line="147" w:lineRule="exact"/>
        <w:rPr>
          <w:sz w:val="20"/>
          <w:szCs w:val="20"/>
          <w:color w:val="auto"/>
        </w:rPr>
      </w:pPr>
    </w:p>
    <w:p>
      <w:pPr>
        <w:ind w:left="240" w:right="319" w:firstLine="568"/>
        <w:spacing w:after="0" w:line="273" w:lineRule="auto"/>
        <w:rPr>
          <w:sz w:val="20"/>
          <w:szCs w:val="20"/>
          <w:color w:val="auto"/>
        </w:rPr>
      </w:pPr>
      <w:r>
        <w:rPr>
          <w:rFonts w:ascii="Arial" w:cs="Arial" w:eastAsia="Arial" w:hAnsi="Arial"/>
          <w:sz w:val="15"/>
          <w:szCs w:val="15"/>
          <w:color w:val="auto"/>
        </w:rPr>
        <w:t>We are also advancing our second oncology product candidate, TYRA-200, an FGFR1/2/3 inhibitor with potency against activating FGFR2 gene alterations, as well as clinically important molecular brake and gatekeeper resistance mutations. In December 2022, we submitted an IND to the FDA for TYRA-200 and received clearance in January 2023 to proceed with a Phase 1 clinical trial of TYRA-200, which will be focused on intrahepatic cholangiocarcinoma resistant to other FGFR inhibitors. We anticipate dosing the first patient in this trial in the second half of 2023.</w:t>
      </w:r>
    </w:p>
    <w:p>
      <w:pPr>
        <w:spacing w:after="0" w:line="154" w:lineRule="exact"/>
        <w:rPr>
          <w:sz w:val="20"/>
          <w:szCs w:val="20"/>
          <w:color w:val="auto"/>
        </w:rPr>
      </w:pPr>
    </w:p>
    <w:p>
      <w:pPr>
        <w:ind w:left="240" w:right="299" w:firstLine="568"/>
        <w:spacing w:after="0" w:line="268" w:lineRule="auto"/>
        <w:rPr>
          <w:sz w:val="20"/>
          <w:szCs w:val="20"/>
          <w:color w:val="auto"/>
        </w:rPr>
      </w:pPr>
      <w:r>
        <w:rPr>
          <w:rFonts w:ascii="Arial" w:cs="Arial" w:eastAsia="Arial" w:hAnsi="Arial"/>
          <w:sz w:val="15"/>
          <w:szCs w:val="15"/>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three months ended March 31, 2023 and 2022 were $11.9 million and $14.8 million, respectively. As of March 31, 2023, we had an accumulated deficit of $107.6 million. As of March 31, 2023, we had cash and cash equivalents of $241.7 million.</w:t>
      </w:r>
    </w:p>
    <w:p>
      <w:pPr>
        <w:spacing w:after="0" w:line="162" w:lineRule="exact"/>
        <w:rPr>
          <w:sz w:val="20"/>
          <w:szCs w:val="20"/>
          <w:color w:val="auto"/>
        </w:rPr>
      </w:pPr>
    </w:p>
    <w:p>
      <w:pPr>
        <w:ind w:left="240" w:right="299" w:firstLine="568"/>
        <w:spacing w:after="0" w:line="271" w:lineRule="auto"/>
        <w:rPr>
          <w:sz w:val="20"/>
          <w:szCs w:val="20"/>
          <w:color w:val="auto"/>
        </w:rPr>
      </w:pPr>
      <w:r>
        <w:rPr>
          <w:rFonts w:ascii="Arial" w:cs="Arial" w:eastAsia="Arial" w:hAnsi="Arial"/>
          <w:sz w:val="15"/>
          <w:szCs w:val="15"/>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56" w:lineRule="exact"/>
        <w:rPr>
          <w:sz w:val="20"/>
          <w:szCs w:val="20"/>
          <w:color w:val="auto"/>
        </w:rPr>
      </w:pPr>
    </w:p>
    <w:p>
      <w:pPr>
        <w:ind w:left="240" w:right="279" w:firstLine="568"/>
        <w:spacing w:after="0" w:line="266" w:lineRule="auto"/>
        <w:rPr>
          <w:sz w:val="20"/>
          <w:szCs w:val="20"/>
          <w:color w:val="auto"/>
        </w:rPr>
      </w:pPr>
      <w:r>
        <w:rPr>
          <w:rFonts w:ascii="Arial" w:cs="Arial" w:eastAsia="Arial" w:hAnsi="Arial"/>
          <w:sz w:val="15"/>
          <w:szCs w:val="15"/>
          <w:color w:val="auto"/>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Components of Results of Operations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Research and Development Expenses</w:t>
      </w:r>
    </w:p>
    <w:p>
      <w:pPr>
        <w:spacing w:after="0" w:line="194" w:lineRule="exact"/>
        <w:rPr>
          <w:sz w:val="20"/>
          <w:szCs w:val="20"/>
          <w:color w:val="auto"/>
        </w:rPr>
      </w:pPr>
    </w:p>
    <w:p>
      <w:pPr>
        <w:ind w:left="240" w:right="299" w:firstLine="568"/>
        <w:spacing w:after="0" w:line="257" w:lineRule="auto"/>
        <w:rPr>
          <w:sz w:val="20"/>
          <w:szCs w:val="20"/>
          <w:color w:val="auto"/>
        </w:rPr>
      </w:pPr>
      <w:r>
        <w:rPr>
          <w:rFonts w:ascii="Arial" w:cs="Arial" w:eastAsia="Arial" w:hAnsi="Arial"/>
          <w:sz w:val="16"/>
          <w:szCs w:val="16"/>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66" w:lineRule="exact"/>
        <w:rPr>
          <w:sz w:val="20"/>
          <w:szCs w:val="20"/>
          <w:color w:val="auto"/>
        </w:rPr>
      </w:pPr>
    </w:p>
    <w:p>
      <w:pPr>
        <w:ind w:left="1060" w:hanging="246"/>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external costs, including:</w:t>
      </w:r>
    </w:p>
    <w:p>
      <w:pPr>
        <w:spacing w:after="0" w:line="194" w:lineRule="exact"/>
        <w:rPr>
          <w:rFonts w:ascii="Arial" w:cs="Arial" w:eastAsia="Arial" w:hAnsi="Arial"/>
          <w:sz w:val="16"/>
          <w:szCs w:val="16"/>
          <w:color w:val="auto"/>
        </w:rPr>
      </w:pPr>
    </w:p>
    <w:p>
      <w:pPr>
        <w:ind w:left="1300" w:right="519" w:hanging="247"/>
        <w:spacing w:after="0" w:line="290" w:lineRule="auto"/>
        <w:tabs>
          <w:tab w:leader="none" w:pos="1300" w:val="left"/>
        </w:tabs>
        <w:numPr>
          <w:ilvl w:val="1"/>
          <w:numId w:val="4"/>
        </w:numPr>
        <w:rPr>
          <w:rFonts w:ascii="Arial" w:cs="Arial" w:eastAsia="Arial" w:hAnsi="Arial"/>
          <w:sz w:val="14"/>
          <w:szCs w:val="14"/>
          <w:color w:val="auto"/>
        </w:rPr>
      </w:pPr>
      <w:r>
        <w:rPr>
          <w:rFonts w:ascii="Arial" w:cs="Arial" w:eastAsia="Arial" w:hAnsi="Arial"/>
          <w:sz w:val="14"/>
          <w:szCs w:val="14"/>
          <w:color w:val="auto"/>
        </w:rPr>
        <w:t>expenses incurred in connection with conducting clinical trials, including investigator grants and site payments for time and pass-through expenses and expenses incurred under agreements with contract research organizations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(CROs), central laboratories and other vendors and service providers engaged to conduct our trials;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6" w:name="page17"/>
    <w:bookmarkEnd w:id="16"/>
    <w:p>
      <w:pPr>
        <w:ind w:left="1300" w:right="359" w:hanging="247"/>
        <w:spacing w:after="0" w:line="268"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expenses incurred in connection with the discovery and preclinical development of our product candidates, including under agreements with third parties, such as consultants and CROs;</w:t>
      </w:r>
    </w:p>
    <w:p>
      <w:pPr>
        <w:spacing w:after="0" w:line="156" w:lineRule="exact"/>
        <w:rPr>
          <w:rFonts w:ascii="Arial" w:cs="Arial" w:eastAsia="Arial" w:hAnsi="Arial"/>
          <w:sz w:val="16"/>
          <w:szCs w:val="16"/>
          <w:color w:val="auto"/>
        </w:rPr>
      </w:pPr>
    </w:p>
    <w:p>
      <w:pPr>
        <w:ind w:left="1300" w:hanging="247"/>
        <w:spacing w:after="0"/>
        <w:tabs>
          <w:tab w:leader="none" w:pos="1300" w:val="left"/>
        </w:tabs>
        <w:numPr>
          <w:ilvl w:val="1"/>
          <w:numId w:val="5"/>
        </w:numPr>
        <w:rPr>
          <w:rFonts w:ascii="Arial" w:cs="Arial" w:eastAsia="Arial" w:hAnsi="Arial"/>
          <w:sz w:val="14"/>
          <w:szCs w:val="14"/>
          <w:color w:val="auto"/>
        </w:rPr>
      </w:pPr>
      <w:r>
        <w:rPr>
          <w:rFonts w:ascii="Arial" w:cs="Arial" w:eastAsia="Arial" w:hAnsi="Arial"/>
          <w:sz w:val="14"/>
          <w:szCs w:val="14"/>
          <w:color w:val="auto"/>
        </w:rPr>
        <w:t>costs associated with consultants for chemistry, manufacturing and controls (CMC) development, and other services;</w:t>
      </w:r>
    </w:p>
    <w:p>
      <w:pPr>
        <w:spacing w:after="0" w:line="217" w:lineRule="exact"/>
        <w:rPr>
          <w:rFonts w:ascii="Arial" w:cs="Arial" w:eastAsia="Arial" w:hAnsi="Arial"/>
          <w:sz w:val="14"/>
          <w:szCs w:val="14"/>
          <w:color w:val="auto"/>
        </w:rPr>
      </w:pPr>
    </w:p>
    <w:p>
      <w:pPr>
        <w:ind w:left="1300" w:right="299" w:hanging="247"/>
        <w:spacing w:after="0" w:line="268"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cost of manufacturing compounds for use in our preclinical studies, including under agreements with third parties, such as consultants and third-party manufacturers; and</w:t>
      </w:r>
    </w:p>
    <w:p>
      <w:pPr>
        <w:spacing w:after="0" w:line="156" w:lineRule="exact"/>
        <w:rPr>
          <w:rFonts w:ascii="Arial" w:cs="Arial" w:eastAsia="Arial" w:hAnsi="Arial"/>
          <w:sz w:val="16"/>
          <w:szCs w:val="16"/>
          <w:color w:val="auto"/>
        </w:rPr>
      </w:pPr>
    </w:p>
    <w:p>
      <w:pPr>
        <w:ind w:left="1300" w:hanging="247"/>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costs related to compliance with drug development regulatory requirements; and</w:t>
      </w:r>
    </w:p>
    <w:p>
      <w:pPr>
        <w:spacing w:after="0" w:line="194" w:lineRule="exact"/>
        <w:rPr>
          <w:rFonts w:ascii="Arial" w:cs="Arial" w:eastAsia="Arial" w:hAnsi="Arial"/>
          <w:sz w:val="16"/>
          <w:szCs w:val="16"/>
          <w:color w:val="auto"/>
        </w:rPr>
      </w:pPr>
    </w:p>
    <w:p>
      <w:pPr>
        <w:ind w:left="1100" w:hanging="286"/>
        <w:spacing w:after="0"/>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internal costs, including:</w:t>
      </w:r>
    </w:p>
    <w:p>
      <w:pPr>
        <w:spacing w:after="0" w:line="194" w:lineRule="exact"/>
        <w:rPr>
          <w:rFonts w:ascii="Arial" w:cs="Arial" w:eastAsia="Arial" w:hAnsi="Arial"/>
          <w:sz w:val="16"/>
          <w:szCs w:val="16"/>
          <w:color w:val="auto"/>
        </w:rPr>
      </w:pPr>
    </w:p>
    <w:p>
      <w:pPr>
        <w:ind w:left="1300" w:right="559" w:hanging="247"/>
        <w:spacing w:after="0" w:line="268"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employee-related expenses, including salaries, related benefits, travel and share-based compensation expenses for employees engaged in research and development functions;</w:t>
      </w:r>
    </w:p>
    <w:p>
      <w:pPr>
        <w:spacing w:after="0" w:line="156" w:lineRule="exact"/>
        <w:rPr>
          <w:rFonts w:ascii="Arial" w:cs="Arial" w:eastAsia="Arial" w:hAnsi="Arial"/>
          <w:sz w:val="16"/>
          <w:szCs w:val="16"/>
          <w:color w:val="auto"/>
        </w:rPr>
      </w:pPr>
    </w:p>
    <w:p>
      <w:pPr>
        <w:ind w:left="1300" w:hanging="247"/>
        <w:spacing w:after="0"/>
        <w:tabs>
          <w:tab w:leader="none" w:pos="13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the costs of laboratory supplies and acquiring, developing and manufacturing preclinical study materials; and</w:t>
      </w:r>
    </w:p>
    <w:p>
      <w:pPr>
        <w:spacing w:after="0" w:line="205" w:lineRule="exact"/>
        <w:rPr>
          <w:rFonts w:ascii="Arial" w:cs="Arial" w:eastAsia="Arial" w:hAnsi="Arial"/>
          <w:sz w:val="15"/>
          <w:szCs w:val="15"/>
          <w:color w:val="auto"/>
        </w:rPr>
      </w:pPr>
    </w:p>
    <w:p>
      <w:pPr>
        <w:ind w:left="1300" w:right="499" w:hanging="247"/>
        <w:spacing w:after="0" w:line="268"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allocated expenses for rent and maintenance of facilities, and supplies.</w:t>
      </w:r>
    </w:p>
    <w:p>
      <w:pPr>
        <w:spacing w:after="0" w:line="157" w:lineRule="exact"/>
        <w:rPr>
          <w:sz w:val="20"/>
          <w:szCs w:val="20"/>
          <w:color w:val="auto"/>
        </w:rPr>
      </w:pPr>
    </w:p>
    <w:p>
      <w:pPr>
        <w:ind w:left="240" w:right="299" w:firstLine="568"/>
        <w:spacing w:after="0" w:line="296" w:lineRule="auto"/>
        <w:rPr>
          <w:sz w:val="20"/>
          <w:szCs w:val="20"/>
          <w:color w:val="auto"/>
        </w:rPr>
      </w:pPr>
      <w:r>
        <w:rPr>
          <w:rFonts w:ascii="Arial" w:cs="Arial" w:eastAsia="Arial" w:hAnsi="Arial"/>
          <w:sz w:val="14"/>
          <w:szCs w:val="14"/>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43" w:lineRule="exact"/>
        <w:rPr>
          <w:sz w:val="20"/>
          <w:szCs w:val="20"/>
          <w:color w:val="auto"/>
        </w:rPr>
      </w:pPr>
    </w:p>
    <w:p>
      <w:pPr>
        <w:ind w:left="240" w:right="339" w:firstLine="568"/>
        <w:spacing w:after="0" w:line="290" w:lineRule="auto"/>
        <w:rPr>
          <w:sz w:val="20"/>
          <w:szCs w:val="20"/>
          <w:color w:val="auto"/>
        </w:rPr>
      </w:pPr>
      <w:r>
        <w:rPr>
          <w:rFonts w:ascii="Arial" w:cs="Arial" w:eastAsia="Arial" w:hAnsi="Arial"/>
          <w:sz w:val="14"/>
          <w:szCs w:val="14"/>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Our future research and development expenses may vary significantly based on a wide variety of factors such as:</w:t>
      </w:r>
    </w:p>
    <w:p>
      <w:pPr>
        <w:spacing w:after="0" w:line="206" w:lineRule="exact"/>
        <w:rPr>
          <w:sz w:val="20"/>
          <w:szCs w:val="20"/>
          <w:color w:val="auto"/>
        </w:rPr>
      </w:pPr>
    </w:p>
    <w:p>
      <w:pPr>
        <w:ind w:left="1060" w:right="459" w:hanging="246"/>
        <w:spacing w:after="0" w:line="268"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and scope, rate of progress, expense and results of our discovery and preclinical development activities and clinical trials;</w:t>
      </w:r>
    </w:p>
    <w:p>
      <w:pPr>
        <w:spacing w:after="0" w:line="156"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trials required for approval;</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sites included in each of our trials;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countries in which the trials are conducted;</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length of time required to enroll eligible patients;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patients that participate in the trials;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to identify appropriate patients eligible for our clinical trials;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doses that patients receive;</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drop-out or discontinuation rates of patients;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additional safety monitoring requested by regulatory agencies;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7" w:name="page18"/>
    <w:bookmarkEnd w:id="17"/>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duration of patient participation in the trials and follow-up;</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phase of development of the product candidate;</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efficacy and safety profile of the product candidate;</w:t>
      </w:r>
    </w:p>
    <w:p>
      <w:pPr>
        <w:spacing w:after="0" w:line="194" w:lineRule="exact"/>
        <w:rPr>
          <w:rFonts w:ascii="Arial" w:cs="Arial" w:eastAsia="Arial" w:hAnsi="Arial"/>
          <w:sz w:val="16"/>
          <w:szCs w:val="16"/>
          <w:color w:val="auto"/>
        </w:rPr>
      </w:pPr>
    </w:p>
    <w:p>
      <w:pPr>
        <w:ind w:left="1060" w:right="499" w:hanging="246"/>
        <w:spacing w:after="0" w:line="268"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timing, receipt, and terms of any approvals from applicable regulatory authorities including the FDA and non-U.S. regulators;</w:t>
      </w:r>
    </w:p>
    <w:p>
      <w:pPr>
        <w:spacing w:after="0" w:line="156" w:lineRule="exact"/>
        <w:rPr>
          <w:rFonts w:ascii="Arial" w:cs="Arial" w:eastAsia="Arial" w:hAnsi="Arial"/>
          <w:sz w:val="16"/>
          <w:szCs w:val="16"/>
          <w:color w:val="auto"/>
        </w:rPr>
      </w:pPr>
    </w:p>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product candidates following approval, if any;</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 and timing of manufacturing our product candidates;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significant and changing government regulation and regulatory guidance;</w:t>
      </w:r>
    </w:p>
    <w:p>
      <w:pPr>
        <w:spacing w:after="0" w:line="194" w:lineRule="exact"/>
        <w:rPr>
          <w:rFonts w:ascii="Arial" w:cs="Arial" w:eastAsia="Arial" w:hAnsi="Arial"/>
          <w:sz w:val="16"/>
          <w:szCs w:val="16"/>
          <w:color w:val="auto"/>
        </w:rPr>
      </w:pPr>
    </w:p>
    <w:p>
      <w:pPr>
        <w:ind w:left="1060" w:right="419" w:hanging="246"/>
        <w:spacing w:after="0" w:line="268"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or to those of the third parties with whom we work, including the COVID-19 pandemic or other epidemic diseases;</w:t>
      </w:r>
    </w:p>
    <w:p>
      <w:pPr>
        <w:spacing w:after="0" w:line="156" w:lineRule="exact"/>
        <w:rPr>
          <w:rFonts w:ascii="Arial" w:cs="Arial" w:eastAsia="Arial" w:hAnsi="Arial"/>
          <w:sz w:val="16"/>
          <w:szCs w:val="16"/>
          <w:color w:val="auto"/>
        </w:rPr>
      </w:pPr>
    </w:p>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geopolitical instability, such as the war in Ukraine;</w:t>
      </w:r>
    </w:p>
    <w:p>
      <w:pPr>
        <w:spacing w:after="0" w:line="194" w:lineRule="exact"/>
        <w:rPr>
          <w:rFonts w:ascii="Arial" w:cs="Arial" w:eastAsia="Arial" w:hAnsi="Arial"/>
          <w:sz w:val="16"/>
          <w:szCs w:val="16"/>
          <w:color w:val="auto"/>
        </w:rPr>
      </w:pPr>
    </w:p>
    <w:p>
      <w:pPr>
        <w:ind w:left="1060" w:right="519" w:hanging="246"/>
        <w:spacing w:after="0" w:line="340" w:lineRule="auto"/>
        <w:tabs>
          <w:tab w:leader="none" w:pos="10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adverse effects on the financial markets, the global economy, the supply chain and our expenses due to the COVID-19 pandemic or other epidemic diseases, geopolitical instability, inflation, rising interest rates and other factors; and</w:t>
      </w:r>
    </w:p>
    <w:p>
      <w:pPr>
        <w:spacing w:after="0" w:line="111" w:lineRule="exact"/>
        <w:rPr>
          <w:rFonts w:ascii="Arial" w:cs="Arial" w:eastAsia="Arial" w:hAnsi="Arial"/>
          <w:sz w:val="14"/>
          <w:szCs w:val="14"/>
          <w:color w:val="auto"/>
        </w:rPr>
      </w:pPr>
    </w:p>
    <w:p>
      <w:pPr>
        <w:ind w:left="1060" w:hanging="24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extent to which we establish additional strategic collaborations or other arrangements.</w:t>
      </w:r>
    </w:p>
    <w:p>
      <w:pPr>
        <w:spacing w:after="0" w:line="194" w:lineRule="exact"/>
        <w:rPr>
          <w:sz w:val="20"/>
          <w:szCs w:val="20"/>
          <w:color w:val="auto"/>
        </w:rPr>
      </w:pPr>
    </w:p>
    <w:p>
      <w:pPr>
        <w:ind w:left="240" w:right="519" w:firstLine="568"/>
        <w:spacing w:after="0" w:line="302" w:lineRule="auto"/>
        <w:rPr>
          <w:sz w:val="20"/>
          <w:szCs w:val="20"/>
          <w:color w:val="auto"/>
        </w:rPr>
      </w:pPr>
      <w:r>
        <w:rPr>
          <w:rFonts w:ascii="Arial" w:cs="Arial" w:eastAsia="Arial" w:hAnsi="Arial"/>
          <w:sz w:val="15"/>
          <w:szCs w:val="15"/>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34" w:lineRule="exact"/>
        <w:rPr>
          <w:sz w:val="20"/>
          <w:szCs w:val="20"/>
          <w:color w:val="auto"/>
        </w:rPr>
      </w:pPr>
    </w:p>
    <w:p>
      <w:pPr>
        <w:ind w:left="240" w:right="539" w:firstLine="568"/>
        <w:spacing w:after="0" w:line="311" w:lineRule="auto"/>
        <w:rPr>
          <w:sz w:val="20"/>
          <w:szCs w:val="20"/>
          <w:color w:val="auto"/>
        </w:rPr>
      </w:pPr>
      <w:r>
        <w:rPr>
          <w:rFonts w:ascii="Arial" w:cs="Arial" w:eastAsia="Arial" w:hAnsi="Arial"/>
          <w:sz w:val="14"/>
          <w:szCs w:val="14"/>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31"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General and Administrative Expenses</w:t>
      </w:r>
    </w:p>
    <w:p>
      <w:pPr>
        <w:spacing w:after="0" w:line="194" w:lineRule="exact"/>
        <w:rPr>
          <w:sz w:val="20"/>
          <w:szCs w:val="20"/>
          <w:color w:val="auto"/>
        </w:rPr>
      </w:pPr>
    </w:p>
    <w:p>
      <w:pPr>
        <w:ind w:left="240" w:right="259" w:firstLine="568"/>
        <w:spacing w:after="0" w:line="290" w:lineRule="auto"/>
        <w:rPr>
          <w:sz w:val="20"/>
          <w:szCs w:val="20"/>
          <w:color w:val="auto"/>
        </w:rPr>
      </w:pPr>
      <w:r>
        <w:rPr>
          <w:rFonts w:ascii="Arial" w:cs="Arial" w:eastAsia="Arial" w:hAnsi="Arial"/>
          <w:sz w:val="14"/>
          <w:szCs w:val="14"/>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the Securities and Exchange Commission (SEC) requirements, director and officer insurance costs, and investor and public relations costs.</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Other Income and Expenses</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Other income (expense) consists primarily of interest income from our cash and cash equivalents.</w:t>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8" w:name="page19"/>
    <w:bookmarkEnd w:id="18"/>
    <w:p>
      <w:pPr>
        <w:ind w:left="240"/>
        <w:spacing w:after="0"/>
        <w:rPr>
          <w:sz w:val="20"/>
          <w:szCs w:val="20"/>
          <w:color w:val="auto"/>
        </w:rPr>
      </w:pPr>
      <w:r>
        <w:rPr>
          <w:rFonts w:ascii="Arial" w:cs="Arial" w:eastAsia="Arial" w:hAnsi="Arial"/>
          <w:sz w:val="16"/>
          <w:szCs w:val="16"/>
          <w:b w:val="1"/>
          <w:bCs w:val="1"/>
          <w:color w:val="auto"/>
        </w:rPr>
        <w:t>Results of Operations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Three Months Ended March 31, 2023 and 2022</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summarizes our results of operations for the periods indicated (in thousands):</w:t>
      </w:r>
    </w:p>
    <w:p>
      <w:pPr>
        <w:spacing w:after="0" w:line="282"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0"/>
              </w:rPr>
              <w:t>Three Months Ended March 31,</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64"/>
              <w:spacing w:after="0" w:line="146" w:lineRule="exact"/>
              <w:rPr>
                <w:sz w:val="20"/>
                <w:szCs w:val="20"/>
                <w:color w:val="auto"/>
              </w:rPr>
            </w:pPr>
            <w:r>
              <w:rPr>
                <w:rFonts w:ascii="Arial" w:cs="Arial" w:eastAsia="Arial" w:hAnsi="Arial"/>
                <w:sz w:val="13"/>
                <w:szCs w:val="13"/>
                <w:b w:val="1"/>
                <w:bCs w:val="1"/>
                <w:color w:val="auto"/>
              </w:rPr>
              <w:t>2023</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3"/>
              <w:spacing w:after="0" w:line="146"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100"/>
              <w:spacing w:after="0" w:line="146"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5"/>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8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10,408</w:t>
            </w:r>
          </w:p>
        </w:tc>
        <w:tc>
          <w:tcPr>
            <w:tcW w:w="16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9,645</w:t>
            </w:r>
          </w:p>
        </w:tc>
        <w:tc>
          <w:tcPr>
            <w:tcW w:w="16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(1,263 )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8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14,834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(14,334 )</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(14,834 )</w:t>
            </w:r>
          </w:p>
        </w:tc>
        <w:tc>
          <w:tcPr>
            <w:tcW w:w="1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tcPr>
          <w:p>
            <w:pPr>
              <w:ind w:left="180"/>
              <w:spacing w:after="0"/>
              <w:rPr>
                <w:sz w:val="20"/>
                <w:szCs w:val="20"/>
                <w:color w:val="auto"/>
              </w:rPr>
            </w:pPr>
            <w:r>
              <w:rPr>
                <w:rFonts w:ascii="Arial" w:cs="Arial" w:eastAsia="Arial" w:hAnsi="Arial"/>
                <w:sz w:val="16"/>
                <w:szCs w:val="16"/>
                <w:color w:val="auto"/>
              </w:rPr>
              <w:t>Other expense</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(10 )</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other income</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2,454</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8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(11,880 )</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(14,826 )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-990600</wp:posOffset>
            </wp:positionV>
            <wp:extent cx="45085" cy="142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085" cy="14287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-990600</wp:posOffset>
            </wp:positionV>
            <wp:extent cx="37465" cy="142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465" cy="14287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-164465</wp:posOffset>
            </wp:positionV>
            <wp:extent cx="45085" cy="165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085" cy="16510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-164465</wp:posOffset>
            </wp:positionV>
            <wp:extent cx="37465" cy="165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7465" cy="1651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-164465</wp:posOffset>
            </wp:positionV>
            <wp:extent cx="37465" cy="165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465" cy="165100"/>
                    </a:xfrm>
                    <a:prstGeom prst="rect">
                      <a:avLst/>
                    </a:prstGeom>
                    <a:noFill/>
                  </pic:spPr>
                </pic:pic>
              </a:graphicData>
            </a:graphic>
          </wp:anchor>
        </w:drawing>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4" w:lineRule="exact"/>
        <w:rPr>
          <w:sz w:val="20"/>
          <w:szCs w:val="20"/>
          <w:color w:val="auto"/>
        </w:rPr>
      </w:pPr>
    </w:p>
    <w:p>
      <w:pPr>
        <w:ind w:left="240" w:right="539" w:firstLine="568"/>
        <w:spacing w:after="0" w:line="268" w:lineRule="auto"/>
        <w:rPr>
          <w:sz w:val="20"/>
          <w:szCs w:val="20"/>
          <w:color w:val="auto"/>
        </w:rPr>
      </w:pPr>
      <w:r>
        <w:rPr>
          <w:rFonts w:ascii="Arial" w:cs="Arial" w:eastAsia="Arial" w:hAnsi="Arial"/>
          <w:sz w:val="16"/>
          <w:szCs w:val="16"/>
          <w:color w:val="auto"/>
        </w:rPr>
        <w:t>Research and development expenses were $10.4 million and $9.6 million for the three months ended March 31, 2023 and 2022, respectively. The increase of $0.8 million was primarily due to higher personnel-related costs.</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The following table summarizes our research and development expenses by development program for the three months ended</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March 31, 2023 and 2022 (in thousands):</w:t>
      </w:r>
    </w:p>
    <w:p>
      <w:pPr>
        <w:spacing w:after="0" w:line="211"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3"/>
                <w:szCs w:val="13"/>
                <w:b w:val="1"/>
                <w:bCs w:val="1"/>
                <w:color w:val="auto"/>
                <w:w w:val="92"/>
              </w:rPr>
              <w:t>Three Months Ended March 31,</w:t>
            </w:r>
          </w:p>
        </w:tc>
        <w:tc>
          <w:tcPr>
            <w:tcW w:w="60" w:type="dxa"/>
            <w:vAlign w:val="bottom"/>
          </w:tcPr>
          <w:p>
            <w:pPr>
              <w:spacing w:after="0"/>
              <w:rPr>
                <w:sz w:val="14"/>
                <w:szCs w:val="14"/>
                <w:color w:val="auto"/>
              </w:rPr>
            </w:pPr>
          </w:p>
        </w:tc>
      </w:tr>
      <w:tr>
        <w:trPr>
          <w:trHeight w:val="146"/>
        </w:trPr>
        <w:tc>
          <w:tcPr>
            <w:tcW w:w="3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4"/>
              <w:spacing w:after="0" w:line="146" w:lineRule="exact"/>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3"/>
              <w:spacing w:after="0" w:line="146"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2"/>
                <w:szCs w:val="12"/>
                <w:color w:val="auto"/>
              </w:rPr>
            </w:pPr>
          </w:p>
        </w:tc>
      </w:tr>
      <w:tr>
        <w:trPr>
          <w:trHeight w:val="180"/>
        </w:trPr>
        <w:tc>
          <w:tcPr>
            <w:tcW w:w="368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External research and development expense by</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14"/>
        </w:trPr>
        <w:tc>
          <w:tcPr>
            <w:tcW w:w="3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program</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7"/>
        </w:trPr>
        <w:tc>
          <w:tcPr>
            <w:tcW w:w="3680" w:type="dxa"/>
            <w:vAlign w:val="bottom"/>
          </w:tcPr>
          <w:p>
            <w:pPr>
              <w:ind w:left="180"/>
              <w:spacing w:after="0"/>
              <w:rPr>
                <w:sz w:val="20"/>
                <w:szCs w:val="20"/>
                <w:color w:val="auto"/>
              </w:rPr>
            </w:pPr>
            <w:r>
              <w:rPr>
                <w:rFonts w:ascii="Arial" w:cs="Arial" w:eastAsia="Arial" w:hAnsi="Arial"/>
                <w:sz w:val="16"/>
                <w:szCs w:val="16"/>
                <w:color w:val="auto"/>
              </w:rPr>
              <w:t>TYRA-300 ONC</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2,006</w:t>
            </w:r>
          </w:p>
        </w:tc>
        <w:tc>
          <w:tcPr>
            <w:tcW w:w="40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2,292</w:t>
            </w:r>
          </w:p>
        </w:tc>
        <w:tc>
          <w:tcPr>
            <w:tcW w:w="60" w:type="dxa"/>
            <w:vAlign w:val="bottom"/>
          </w:tcPr>
          <w:p>
            <w:pPr>
              <w:spacing w:after="0"/>
              <w:rPr>
                <w:sz w:val="17"/>
                <w:szCs w:val="17"/>
                <w:color w:val="auto"/>
              </w:rPr>
            </w:pPr>
          </w:p>
        </w:tc>
      </w:tr>
      <w:tr>
        <w:trPr>
          <w:trHeight w:val="219"/>
        </w:trPr>
        <w:tc>
          <w:tcPr>
            <w:tcW w:w="3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TYRA-200</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w:t>
            </w:r>
          </w:p>
        </w:tc>
        <w:tc>
          <w:tcPr>
            <w:tcW w:w="60" w:type="dxa"/>
            <w:vAlign w:val="bottom"/>
            <w:shd w:val="clear" w:color="auto" w:fill="CFF0FC"/>
          </w:tcPr>
          <w:p>
            <w:pPr>
              <w:spacing w:after="0"/>
              <w:rPr>
                <w:sz w:val="19"/>
                <w:szCs w:val="19"/>
                <w:color w:val="auto"/>
              </w:rPr>
            </w:pPr>
          </w:p>
        </w:tc>
      </w:tr>
      <w:tr>
        <w:trPr>
          <w:trHeight w:val="207"/>
        </w:trPr>
        <w:tc>
          <w:tcPr>
            <w:tcW w:w="3680" w:type="dxa"/>
            <w:vAlign w:val="bottom"/>
          </w:tcPr>
          <w:p>
            <w:pPr>
              <w:ind w:left="180"/>
              <w:spacing w:after="0"/>
              <w:rPr>
                <w:sz w:val="20"/>
                <w:szCs w:val="20"/>
                <w:color w:val="auto"/>
              </w:rPr>
            </w:pPr>
            <w:r>
              <w:rPr>
                <w:rFonts w:ascii="Arial" w:cs="Arial" w:eastAsia="Arial" w:hAnsi="Arial"/>
                <w:sz w:val="16"/>
                <w:szCs w:val="16"/>
                <w:color w:val="auto"/>
              </w:rPr>
              <w:t>TYRA-300 ACH</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w:t>
            </w:r>
          </w:p>
        </w:tc>
        <w:tc>
          <w:tcPr>
            <w:tcW w:w="60" w:type="dxa"/>
            <w:vAlign w:val="bottom"/>
          </w:tcPr>
          <w:p>
            <w:pPr>
              <w:spacing w:after="0"/>
              <w:rPr>
                <w:sz w:val="17"/>
                <w:szCs w:val="17"/>
                <w:color w:val="auto"/>
              </w:rPr>
            </w:pPr>
          </w:p>
        </w:tc>
      </w:tr>
      <w:tr>
        <w:trPr>
          <w:trHeight w:val="219"/>
        </w:trPr>
        <w:tc>
          <w:tcPr>
            <w:tcW w:w="3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1,466</w:t>
            </w:r>
          </w:p>
        </w:tc>
        <w:tc>
          <w:tcPr>
            <w:tcW w:w="60" w:type="dxa"/>
            <w:vAlign w:val="bottom"/>
            <w:shd w:val="clear" w:color="auto" w:fill="CFF0FC"/>
          </w:tcPr>
          <w:p>
            <w:pPr>
              <w:spacing w:after="0"/>
              <w:rPr>
                <w:sz w:val="19"/>
                <w:szCs w:val="19"/>
                <w:color w:val="auto"/>
              </w:rPr>
            </w:pPr>
          </w:p>
        </w:tc>
      </w:tr>
      <w:tr>
        <w:trPr>
          <w:trHeight w:val="207"/>
        </w:trPr>
        <w:tc>
          <w:tcPr>
            <w:tcW w:w="3680" w:type="dxa"/>
            <w:vAlign w:val="bottom"/>
          </w:tcPr>
          <w:p>
            <w:pPr>
              <w:ind w:left="180"/>
              <w:spacing w:after="0"/>
              <w:rPr>
                <w:sz w:val="20"/>
                <w:szCs w:val="20"/>
                <w:color w:val="auto"/>
              </w:rPr>
            </w:pPr>
            <w:r>
              <w:rPr>
                <w:rFonts w:ascii="Arial" w:cs="Arial" w:eastAsia="Arial" w:hAnsi="Arial"/>
                <w:sz w:val="16"/>
                <w:szCs w:val="16"/>
                <w:color w:val="auto"/>
              </w:rPr>
              <w:t>FGFR4</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486</w:t>
            </w:r>
          </w:p>
        </w:tc>
        <w:tc>
          <w:tcPr>
            <w:tcW w:w="60" w:type="dxa"/>
            <w:vAlign w:val="bottom"/>
          </w:tcPr>
          <w:p>
            <w:pPr>
              <w:spacing w:after="0"/>
              <w:rPr>
                <w:sz w:val="17"/>
                <w:szCs w:val="17"/>
                <w:color w:val="auto"/>
              </w:rPr>
            </w:pPr>
          </w:p>
        </w:tc>
      </w:tr>
      <w:tr>
        <w:trPr>
          <w:trHeight w:val="219"/>
        </w:trPr>
        <w:tc>
          <w:tcPr>
            <w:tcW w:w="3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development programs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w:t>
            </w:r>
          </w:p>
        </w:tc>
        <w:tc>
          <w:tcPr>
            <w:tcW w:w="60" w:type="dxa"/>
            <w:vAlign w:val="bottom"/>
            <w:shd w:val="clear" w:color="auto" w:fill="CFF0FC"/>
          </w:tcPr>
          <w:p>
            <w:pPr>
              <w:spacing w:after="0"/>
              <w:rPr>
                <w:sz w:val="19"/>
                <w:szCs w:val="19"/>
                <w:color w:val="auto"/>
              </w:rPr>
            </w:pPr>
          </w:p>
        </w:tc>
      </w:tr>
      <w:tr>
        <w:trPr>
          <w:trHeight w:val="207"/>
        </w:trPr>
        <w:tc>
          <w:tcPr>
            <w:tcW w:w="3680" w:type="dxa"/>
            <w:vAlign w:val="bottom"/>
          </w:tcPr>
          <w:p>
            <w:pPr>
              <w:ind w:left="20"/>
              <w:spacing w:after="0"/>
              <w:rPr>
                <w:sz w:val="20"/>
                <w:szCs w:val="20"/>
                <w:color w:val="auto"/>
              </w:rPr>
            </w:pPr>
            <w:r>
              <w:rPr>
                <w:rFonts w:ascii="Arial" w:cs="Arial" w:eastAsia="Arial" w:hAnsi="Arial"/>
                <w:sz w:val="16"/>
                <w:szCs w:val="16"/>
                <w:color w:val="auto"/>
              </w:rPr>
              <w:t>Unallocated research and development expense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3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research and development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60" w:type="dxa"/>
            <w:vAlign w:val="bottom"/>
            <w:shd w:val="clear" w:color="auto" w:fill="CFF0FC"/>
          </w:tcPr>
          <w:p>
            <w:pPr>
              <w:spacing w:after="0"/>
              <w:rPr>
                <w:sz w:val="19"/>
                <w:szCs w:val="19"/>
                <w:color w:val="auto"/>
              </w:rPr>
            </w:pPr>
          </w:p>
        </w:tc>
      </w:tr>
      <w:tr>
        <w:trPr>
          <w:trHeight w:val="207"/>
        </w:trPr>
        <w:tc>
          <w:tcPr>
            <w:tcW w:w="3680" w:type="dxa"/>
            <w:vAlign w:val="bottom"/>
          </w:tcPr>
          <w:p>
            <w:pPr>
              <w:ind w:left="180"/>
              <w:spacing w:after="0"/>
              <w:rPr>
                <w:sz w:val="20"/>
                <w:szCs w:val="20"/>
                <w:color w:val="auto"/>
              </w:rPr>
            </w:pPr>
            <w:r>
              <w:rPr>
                <w:rFonts w:ascii="Arial" w:cs="Arial" w:eastAsia="Arial" w:hAnsi="Arial"/>
                <w:sz w:val="16"/>
                <w:szCs w:val="16"/>
                <w:color w:val="auto"/>
              </w:rPr>
              <w:t>Compensation and stock-based compensation</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w:t>
            </w:r>
          </w:p>
        </w:tc>
        <w:tc>
          <w:tcPr>
            <w:tcW w:w="60" w:type="dxa"/>
            <w:vAlign w:val="bottom"/>
          </w:tcPr>
          <w:p>
            <w:pPr>
              <w:spacing w:after="0"/>
              <w:rPr>
                <w:sz w:val="17"/>
                <w:szCs w:val="17"/>
                <w:color w:val="auto"/>
              </w:rPr>
            </w:pPr>
          </w:p>
        </w:tc>
      </w:tr>
      <w:tr>
        <w:trPr>
          <w:trHeight w:val="245"/>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10,408</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9,645</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-21590</wp:posOffset>
            </wp:positionV>
            <wp:extent cx="3746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-6985</wp:posOffset>
            </wp:positionV>
            <wp:extent cx="3746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-21590</wp:posOffset>
            </wp:positionV>
            <wp:extent cx="3746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-6985</wp:posOffset>
            </wp:positionV>
            <wp:extent cx="3746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94" w:lineRule="exact"/>
        <w:rPr>
          <w:sz w:val="20"/>
          <w:szCs w:val="20"/>
          <w:color w:val="auto"/>
        </w:rPr>
      </w:pPr>
    </w:p>
    <w:p>
      <w:pPr>
        <w:jc w:val="both"/>
        <w:ind w:left="240" w:right="619" w:firstLine="568"/>
        <w:spacing w:after="0" w:line="282" w:lineRule="auto"/>
        <w:rPr>
          <w:sz w:val="20"/>
          <w:szCs w:val="20"/>
          <w:color w:val="auto"/>
        </w:rPr>
      </w:pPr>
      <w:r>
        <w:rPr>
          <w:rFonts w:ascii="Arial" w:cs="Arial" w:eastAsia="Arial" w:hAnsi="Arial"/>
          <w:sz w:val="15"/>
          <w:szCs w:val="15"/>
          <w:color w:val="auto"/>
        </w:rPr>
        <w:t>General and administrative expenses were $3.9 million and $5.2 million for the three months ended March 31, 2023 and 2022, respectively. The decrease of $1.3 million was primarily due to decreases of $1.5 million in compensation and stock-based compensation costs, partially offset by increase of $0.2 million in other operating expenses.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Other Income</w:t>
      </w:r>
    </w:p>
    <w:p>
      <w:pPr>
        <w:spacing w:after="0" w:line="194" w:lineRule="exact"/>
        <w:rPr>
          <w:sz w:val="20"/>
          <w:szCs w:val="20"/>
          <w:color w:val="auto"/>
        </w:rPr>
      </w:pPr>
    </w:p>
    <w:p>
      <w:pPr>
        <w:ind w:left="240" w:right="579" w:firstLine="568"/>
        <w:spacing w:after="0" w:line="271" w:lineRule="auto"/>
        <w:rPr>
          <w:sz w:val="20"/>
          <w:szCs w:val="20"/>
          <w:color w:val="auto"/>
        </w:rPr>
      </w:pPr>
      <w:r>
        <w:rPr>
          <w:rFonts w:ascii="Arial" w:cs="Arial" w:eastAsia="Arial" w:hAnsi="Arial"/>
          <w:sz w:val="15"/>
          <w:szCs w:val="15"/>
          <w:color w:val="auto"/>
        </w:rPr>
        <w:t>Other income was $2.5 million and $0.1 million for the three months ended March 31, 2023 and 2022, respectively. The increase of $2.4 million was primarily related to an increase in interest rate return on our cash and cash equivalents.</w:t>
      </w: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19" w:name="page20"/>
    <w:bookmarkEnd w:id="19"/>
    <w:p>
      <w:pPr>
        <w:ind w:left="240"/>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94" w:lineRule="exact"/>
        <w:rPr>
          <w:sz w:val="20"/>
          <w:szCs w:val="20"/>
          <w:color w:val="auto"/>
        </w:rPr>
      </w:pPr>
    </w:p>
    <w:p>
      <w:pPr>
        <w:ind w:left="240" w:right="459" w:firstLine="568"/>
        <w:spacing w:after="0" w:line="282" w:lineRule="auto"/>
        <w:rPr>
          <w:sz w:val="20"/>
          <w:szCs w:val="20"/>
          <w:color w:val="auto"/>
        </w:rPr>
      </w:pPr>
      <w:r>
        <w:rPr>
          <w:rFonts w:ascii="Arial" w:cs="Arial" w:eastAsia="Arial" w:hAnsi="Arial"/>
          <w:sz w:val="15"/>
          <w:szCs w:val="15"/>
          <w:color w:val="auto"/>
        </w:rPr>
        <w:t>On September 17, 2021, we completed our IPO and issued 12,420,000 shares of common stock for net proceeds of approximately $181.2 million. Prior to our initial public offering, we funded our operations primarily through private placements of our convertible preferred stock with net proceeds of $157.2 million excluding issuance costs of $0.4 million.</w:t>
      </w:r>
    </w:p>
    <w:p>
      <w:pPr>
        <w:spacing w:after="0" w:line="149" w:lineRule="exact"/>
        <w:rPr>
          <w:sz w:val="20"/>
          <w:szCs w:val="20"/>
          <w:color w:val="auto"/>
        </w:rPr>
      </w:pPr>
    </w:p>
    <w:p>
      <w:pPr>
        <w:ind w:left="240" w:right="279" w:firstLine="568"/>
        <w:spacing w:after="0" w:line="282" w:lineRule="auto"/>
        <w:rPr>
          <w:sz w:val="20"/>
          <w:szCs w:val="20"/>
          <w:color w:val="auto"/>
        </w:rPr>
      </w:pPr>
      <w:r>
        <w:rPr>
          <w:rFonts w:ascii="Arial" w:cs="Arial" w:eastAsia="Arial" w:hAnsi="Arial"/>
          <w:sz w:val="15"/>
          <w:szCs w:val="15"/>
          <w:color w:val="auto"/>
        </w:rPr>
        <w:t>Our primary uses of cash to date have been to fund our research and development activities, including with respect to TYRA-300 and TYRA-200 and other research programs, business planning, establishing and maintaining our intellectual property portfolio, hiring personnel, raising capital, and providing general and administrative support for these operations.</w:t>
      </w:r>
    </w:p>
    <w:p>
      <w:pPr>
        <w:spacing w:after="0" w:line="149" w:lineRule="exact"/>
        <w:rPr>
          <w:sz w:val="20"/>
          <w:szCs w:val="20"/>
          <w:color w:val="auto"/>
        </w:rPr>
      </w:pPr>
    </w:p>
    <w:p>
      <w:pPr>
        <w:ind w:left="240" w:right="299" w:firstLine="568"/>
        <w:spacing w:after="0" w:line="273" w:lineRule="auto"/>
        <w:rPr>
          <w:sz w:val="20"/>
          <w:szCs w:val="20"/>
          <w:color w:val="auto"/>
        </w:rPr>
      </w:pPr>
      <w:r>
        <w:rPr>
          <w:rFonts w:ascii="Arial" w:cs="Arial" w:eastAsia="Arial" w:hAnsi="Arial"/>
          <w:sz w:val="15"/>
          <w:szCs w:val="15"/>
          <w:color w:val="auto"/>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w:t>
      </w:r>
    </w:p>
    <w:p>
      <w:pPr>
        <w:spacing w:after="0" w:line="154" w:lineRule="exact"/>
        <w:rPr>
          <w:sz w:val="20"/>
          <w:szCs w:val="20"/>
          <w:color w:val="auto"/>
        </w:rPr>
      </w:pPr>
    </w:p>
    <w:p>
      <w:pPr>
        <w:ind w:left="240" w:right="299" w:firstLine="568"/>
        <w:spacing w:after="0" w:line="282" w:lineRule="auto"/>
        <w:rPr>
          <w:sz w:val="20"/>
          <w:szCs w:val="20"/>
          <w:color w:val="auto"/>
        </w:rPr>
      </w:pPr>
      <w:r>
        <w:rPr>
          <w:rFonts w:ascii="Arial" w:cs="Arial" w:eastAsia="Arial" w:hAnsi="Arial"/>
          <w:sz w:val="15"/>
          <w:szCs w:val="15"/>
          <w:color w:val="auto"/>
        </w:rPr>
        <w:t>We are not obligated to sell, and the Agent is not obligated to buy or sell, any shares of common stock under the Sales Agreement. No assurance can be given that we will sell any shares of common stock under the Sales Agreement, or, if we do, as to the price or amount of shares of common stock that we may sell or the dates when such sales will take place.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sets forth a summary of our cash flows for the periods indicated (in thousands):</w:t>
      </w:r>
    </w:p>
    <w:p>
      <w:pPr>
        <w:spacing w:after="0" w:line="223"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580" w:type="dxa"/>
            <w:vAlign w:val="bottom"/>
            <w:gridSpan w:val="7"/>
          </w:tcPr>
          <w:p>
            <w:pPr>
              <w:ind w:left="380"/>
              <w:spacing w:after="0"/>
              <w:rPr>
                <w:sz w:val="20"/>
                <w:szCs w:val="20"/>
                <w:color w:val="auto"/>
              </w:rPr>
            </w:pPr>
            <w:r>
              <w:rPr>
                <w:rFonts w:ascii="Arial" w:cs="Arial" w:eastAsia="Arial" w:hAnsi="Arial"/>
                <w:sz w:val="13"/>
                <w:szCs w:val="13"/>
                <w:b w:val="1"/>
                <w:bCs w:val="1"/>
                <w:color w:val="auto"/>
              </w:rPr>
              <w:t>Three Months Ended March 31,</w:t>
            </w:r>
          </w:p>
        </w:tc>
      </w:tr>
      <w:tr>
        <w:trPr>
          <w:trHeight w:val="146"/>
        </w:trPr>
        <w:tc>
          <w:tcPr>
            <w:tcW w:w="3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4"/>
              <w:spacing w:after="0" w:line="146"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8"/>
              </w:rPr>
              <w:t>(9,847</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(8,925</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720" w:type="dxa"/>
            <w:vAlign w:val="bottom"/>
          </w:tcPr>
          <w:p>
            <w:pPr>
              <w:spacing w:after="0"/>
              <w:rPr>
                <w:sz w:val="17"/>
                <w:szCs w:val="17"/>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6"/>
                <w:szCs w:val="16"/>
                <w:color w:val="auto"/>
              </w:rPr>
              <w:t>(41 )</w:t>
            </w:r>
          </w:p>
        </w:tc>
        <w:tc>
          <w:tcPr>
            <w:tcW w:w="2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(239 )</w:t>
            </w:r>
          </w:p>
        </w:tc>
        <w:tc>
          <w:tcPr>
            <w:tcW w:w="20" w:type="dxa"/>
            <w:vAlign w:val="bottom"/>
          </w:tcPr>
          <w:p>
            <w:pPr>
              <w:spacing w:after="0"/>
              <w:rPr>
                <w:sz w:val="17"/>
                <w:szCs w:val="17"/>
                <w:color w:val="auto"/>
              </w:rPr>
            </w:pPr>
          </w:p>
        </w:tc>
      </w:tr>
      <w:tr>
        <w:trPr>
          <w:trHeight w:val="213"/>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7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color w:val="auto"/>
              </w:rPr>
              <w:t>Net cash decrease for the period</w:t>
            </w:r>
          </w:p>
        </w:tc>
        <w:tc>
          <w:tcPr>
            <w:tcW w:w="720" w:type="dxa"/>
            <w:vAlign w:val="bottom"/>
          </w:tcPr>
          <w:p>
            <w:pPr>
              <w:jc w:val="right"/>
              <w:ind w:right="57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1"/>
              <w:spacing w:after="0"/>
              <w:rPr>
                <w:sz w:val="20"/>
                <w:szCs w:val="20"/>
                <w:color w:val="auto"/>
              </w:rPr>
            </w:pPr>
            <w:r>
              <w:rPr>
                <w:rFonts w:ascii="Arial" w:cs="Arial" w:eastAsia="Arial" w:hAnsi="Arial"/>
                <w:sz w:val="16"/>
                <w:szCs w:val="16"/>
                <w:color w:val="auto"/>
                <w:w w:val="86"/>
              </w:rPr>
              <w:t>(9,512 )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(8,926 )</w:t>
            </w:r>
          </w:p>
        </w:tc>
        <w:tc>
          <w:tcPr>
            <w:tcW w:w="20" w:type="dxa"/>
            <w:vAlign w:val="bottom"/>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-164465</wp:posOffset>
            </wp:positionV>
            <wp:extent cx="37465" cy="165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465" cy="1651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-164465</wp:posOffset>
            </wp:positionV>
            <wp:extent cx="37465" cy="165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465" cy="165100"/>
                    </a:xfrm>
                    <a:prstGeom prst="rect">
                      <a:avLst/>
                    </a:prstGeom>
                    <a:noFill/>
                  </pic:spPr>
                </pic:pic>
              </a:graphicData>
            </a:graphic>
          </wp:anchor>
        </w:drawing>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Operating Activities</w:t>
      </w:r>
    </w:p>
    <w:p>
      <w:pPr>
        <w:spacing w:after="0" w:line="194" w:lineRule="exact"/>
        <w:rPr>
          <w:sz w:val="20"/>
          <w:szCs w:val="20"/>
          <w:color w:val="auto"/>
        </w:rPr>
      </w:pPr>
    </w:p>
    <w:p>
      <w:pPr>
        <w:ind w:left="240" w:right="299" w:firstLine="568"/>
        <w:spacing w:after="0" w:line="257" w:lineRule="auto"/>
        <w:rPr>
          <w:sz w:val="20"/>
          <w:szCs w:val="20"/>
          <w:color w:val="auto"/>
        </w:rPr>
      </w:pPr>
      <w:r>
        <w:rPr>
          <w:rFonts w:ascii="Arial" w:cs="Arial" w:eastAsia="Arial" w:hAnsi="Arial"/>
          <w:sz w:val="16"/>
          <w:szCs w:val="16"/>
          <w:color w:val="auto"/>
        </w:rPr>
        <w:t>Net cash used in operating activities for the three months ended March 31, 2023 was $9.8 million, consisting primarily of our net loss of $11.9 million, adjusted for $2.5 million of non-cash charges primarily related to stock-based compensation expense and $0.4 million for net changes in operating assets and liabilities.</w:t>
      </w:r>
    </w:p>
    <w:p>
      <w:pPr>
        <w:spacing w:after="0" w:line="166" w:lineRule="exact"/>
        <w:rPr>
          <w:sz w:val="20"/>
          <w:szCs w:val="20"/>
          <w:color w:val="auto"/>
        </w:rPr>
      </w:pPr>
    </w:p>
    <w:p>
      <w:pPr>
        <w:ind w:left="240" w:right="299" w:firstLine="568"/>
        <w:spacing w:after="0" w:line="257" w:lineRule="auto"/>
        <w:rPr>
          <w:sz w:val="20"/>
          <w:szCs w:val="20"/>
          <w:color w:val="auto"/>
        </w:rPr>
      </w:pPr>
      <w:r>
        <w:rPr>
          <w:rFonts w:ascii="Arial" w:cs="Arial" w:eastAsia="Arial" w:hAnsi="Arial"/>
          <w:sz w:val="16"/>
          <w:szCs w:val="16"/>
          <w:color w:val="auto"/>
        </w:rPr>
        <w:t>Net cash used in operating activities for the three months ended March 31, 2022 was $8.9 million, consisting primarily of our net loss of $14.8 million, adjusted for $4.0 million of non-cash charges primarily related to stock-based compensation expense and $1.9 million for net changes in operating assets and liabilities.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Investing Activities</w:t>
      </w:r>
    </w:p>
    <w:p>
      <w:pPr>
        <w:spacing w:after="0" w:line="194" w:lineRule="exact"/>
        <w:rPr>
          <w:sz w:val="20"/>
          <w:szCs w:val="20"/>
          <w:color w:val="auto"/>
        </w:rPr>
      </w:pPr>
    </w:p>
    <w:p>
      <w:pPr>
        <w:ind w:left="240" w:right="599" w:firstLine="568"/>
        <w:spacing w:after="0" w:line="268" w:lineRule="auto"/>
        <w:rPr>
          <w:sz w:val="20"/>
          <w:szCs w:val="20"/>
          <w:color w:val="auto"/>
        </w:rPr>
      </w:pPr>
      <w:r>
        <w:rPr>
          <w:rFonts w:ascii="Arial" w:cs="Arial" w:eastAsia="Arial" w:hAnsi="Arial"/>
          <w:sz w:val="16"/>
          <w:szCs w:val="16"/>
          <w:color w:val="auto"/>
        </w:rPr>
        <w:t>Net cash used in investing activities for the three months ended March 31, 2023 and 2022 was $41,000 and $0.2 million, respectively, consisting of purchases of property and equipment.</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Financing Activities</w:t>
      </w:r>
    </w:p>
    <w:p>
      <w:pPr>
        <w:spacing w:after="0" w:line="194" w:lineRule="exact"/>
        <w:rPr>
          <w:sz w:val="20"/>
          <w:szCs w:val="20"/>
          <w:color w:val="auto"/>
        </w:rPr>
      </w:pPr>
    </w:p>
    <w:p>
      <w:pPr>
        <w:ind w:left="240" w:right="539" w:firstLine="568"/>
        <w:spacing w:after="0" w:line="302" w:lineRule="auto"/>
        <w:rPr>
          <w:sz w:val="20"/>
          <w:szCs w:val="20"/>
          <w:color w:val="auto"/>
        </w:rPr>
      </w:pPr>
      <w:r>
        <w:rPr>
          <w:rFonts w:ascii="Arial" w:cs="Arial" w:eastAsia="Arial" w:hAnsi="Arial"/>
          <w:sz w:val="15"/>
          <w:szCs w:val="15"/>
          <w:color w:val="auto"/>
        </w:rPr>
        <w:t>Net cash provided by financing activities for the three months ended March 31, 2023 and 2022 was $0.4 million and $0.2 million, respectively, primarily related to proceeds from issuances of common stock under benefit plans.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194" w:lineRule="exact"/>
        <w:rPr>
          <w:sz w:val="20"/>
          <w:szCs w:val="20"/>
          <w:color w:val="auto"/>
        </w:rPr>
      </w:pPr>
    </w:p>
    <w:p>
      <w:pPr>
        <w:ind w:left="240" w:right="459" w:firstLine="568"/>
        <w:spacing w:after="0" w:line="286" w:lineRule="auto"/>
        <w:rPr>
          <w:sz w:val="20"/>
          <w:szCs w:val="20"/>
          <w:color w:val="auto"/>
        </w:rPr>
      </w:pPr>
      <w:r>
        <w:rPr>
          <w:rFonts w:ascii="Arial" w:cs="Arial" w:eastAsia="Arial" w:hAnsi="Arial"/>
          <w:sz w:val="14"/>
          <w:szCs w:val="14"/>
          <w:color w:val="auto"/>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20" w:name="page21"/>
    <w:bookmarkEnd w:id="20"/>
    <w:p>
      <w:pPr>
        <w:ind w:left="240" w:right="439"/>
        <w:spacing w:after="0" w:line="340" w:lineRule="auto"/>
        <w:rPr>
          <w:sz w:val="20"/>
          <w:szCs w:val="20"/>
          <w:color w:val="auto"/>
        </w:rPr>
      </w:pPr>
      <w:r>
        <w:rPr>
          <w:rFonts w:ascii="Arial" w:cs="Arial" w:eastAsia="Arial" w:hAnsi="Arial"/>
          <w:sz w:val="14"/>
          <w:szCs w:val="14"/>
          <w:color w:val="auto"/>
        </w:rPr>
        <w:t>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Our future capital requirements will depend on many factors, including:</w:t>
      </w:r>
    </w:p>
    <w:p>
      <w:pPr>
        <w:spacing w:after="0" w:line="194" w:lineRule="exact"/>
        <w:rPr>
          <w:sz w:val="20"/>
          <w:szCs w:val="20"/>
          <w:color w:val="auto"/>
        </w:rPr>
      </w:pPr>
    </w:p>
    <w:p>
      <w:pPr>
        <w:ind w:left="1060" w:right="319" w:hanging="246"/>
        <w:spacing w:after="0" w:line="257"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65" w:lineRule="exact"/>
        <w:rPr>
          <w:rFonts w:ascii="Arial" w:cs="Arial" w:eastAsia="Arial" w:hAnsi="Arial"/>
          <w:sz w:val="16"/>
          <w:szCs w:val="16"/>
          <w:color w:val="auto"/>
        </w:rPr>
      </w:pPr>
    </w:p>
    <w:p>
      <w:pPr>
        <w:ind w:left="1060" w:right="279" w:hanging="246"/>
        <w:spacing w:after="0" w:line="26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and timing of manufacturing for current or future product candidates, including commercial scale manufacturing if any product candidate is approved;</w:t>
      </w:r>
    </w:p>
    <w:p>
      <w:pPr>
        <w:spacing w:after="0" w:line="156" w:lineRule="exact"/>
        <w:rPr>
          <w:rFonts w:ascii="Arial" w:cs="Arial" w:eastAsia="Arial" w:hAnsi="Arial"/>
          <w:sz w:val="16"/>
          <w:szCs w:val="16"/>
          <w:color w:val="auto"/>
        </w:rPr>
      </w:pPr>
    </w:p>
    <w:p>
      <w:pPr>
        <w:ind w:left="1060" w:hanging="24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current or future product candidates;</w:t>
      </w:r>
    </w:p>
    <w:p>
      <w:pPr>
        <w:spacing w:after="0" w:line="194" w:lineRule="exact"/>
        <w:rPr>
          <w:rFonts w:ascii="Arial" w:cs="Arial" w:eastAsia="Arial" w:hAnsi="Arial"/>
          <w:sz w:val="16"/>
          <w:szCs w:val="16"/>
          <w:color w:val="auto"/>
        </w:rPr>
      </w:pPr>
    </w:p>
    <w:p>
      <w:pPr>
        <w:ind w:left="1060" w:hanging="24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of obtaining, maintaining and enforcing our patents and other intellectual property rights;</w:t>
      </w:r>
    </w:p>
    <w:p>
      <w:pPr>
        <w:spacing w:after="0" w:line="194" w:lineRule="exact"/>
        <w:rPr>
          <w:rFonts w:ascii="Arial" w:cs="Arial" w:eastAsia="Arial" w:hAnsi="Arial"/>
          <w:sz w:val="16"/>
          <w:szCs w:val="16"/>
          <w:color w:val="auto"/>
        </w:rPr>
      </w:pPr>
    </w:p>
    <w:p>
      <w:pPr>
        <w:ind w:left="1060" w:right="459" w:hanging="246"/>
        <w:spacing w:after="0" w:line="26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efforts to enhance operational systems and hire additional personnel to satisfy our obligations as a public company, including enhanced internal controls over financial reporting;</w:t>
      </w:r>
    </w:p>
    <w:p>
      <w:pPr>
        <w:spacing w:after="0" w:line="156" w:lineRule="exact"/>
        <w:rPr>
          <w:rFonts w:ascii="Arial" w:cs="Arial" w:eastAsia="Arial" w:hAnsi="Arial"/>
          <w:sz w:val="16"/>
          <w:szCs w:val="16"/>
          <w:color w:val="auto"/>
        </w:rPr>
      </w:pPr>
    </w:p>
    <w:p>
      <w:pPr>
        <w:ind w:left="1060" w:right="899" w:hanging="246"/>
        <w:spacing w:after="0" w:line="26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associated with hiring additional personnel and consultants as our business grows, including additional executive officers and clinical development personnel;</w:t>
      </w:r>
    </w:p>
    <w:p>
      <w:pPr>
        <w:spacing w:after="0" w:line="156" w:lineRule="exact"/>
        <w:rPr>
          <w:rFonts w:ascii="Arial" w:cs="Arial" w:eastAsia="Arial" w:hAnsi="Arial"/>
          <w:sz w:val="16"/>
          <w:szCs w:val="16"/>
          <w:color w:val="auto"/>
        </w:rPr>
      </w:pPr>
    </w:p>
    <w:p>
      <w:pPr>
        <w:ind w:left="1060" w:right="299" w:hanging="246"/>
        <w:spacing w:after="0" w:line="26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and timing of establishing or securing sales and marketing capabilities if any current or future product candidate is approved;</w:t>
      </w:r>
    </w:p>
    <w:p>
      <w:pPr>
        <w:spacing w:after="0" w:line="156" w:lineRule="exact"/>
        <w:rPr>
          <w:rFonts w:ascii="Arial" w:cs="Arial" w:eastAsia="Arial" w:hAnsi="Arial"/>
          <w:sz w:val="16"/>
          <w:szCs w:val="16"/>
          <w:color w:val="auto"/>
        </w:rPr>
      </w:pPr>
    </w:p>
    <w:p>
      <w:pPr>
        <w:ind w:left="1060" w:right="499" w:hanging="246"/>
        <w:spacing w:after="0" w:line="26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achieve sufficient market acceptance, coverage and adequate reimbursement from third-party payors and adequate market share and revenue for any approved products;</w:t>
      </w:r>
    </w:p>
    <w:p>
      <w:pPr>
        <w:spacing w:after="0" w:line="156" w:lineRule="exact"/>
        <w:rPr>
          <w:rFonts w:ascii="Arial" w:cs="Arial" w:eastAsia="Arial" w:hAnsi="Arial"/>
          <w:sz w:val="16"/>
          <w:szCs w:val="16"/>
          <w:color w:val="auto"/>
        </w:rPr>
      </w:pPr>
    </w:p>
    <w:p>
      <w:pPr>
        <w:ind w:left="1060" w:hanging="24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costs associated with any products or technologies that we may in-license or acquire; and</w:t>
      </w:r>
    </w:p>
    <w:p>
      <w:pPr>
        <w:spacing w:after="0" w:line="194" w:lineRule="exact"/>
        <w:rPr>
          <w:rFonts w:ascii="Arial" w:cs="Arial" w:eastAsia="Arial" w:hAnsi="Arial"/>
          <w:sz w:val="16"/>
          <w:szCs w:val="16"/>
          <w:color w:val="auto"/>
        </w:rPr>
      </w:pPr>
    </w:p>
    <w:p>
      <w:pPr>
        <w:ind w:left="1060" w:right="599" w:hanging="246"/>
        <w:spacing w:after="0" w:line="340" w:lineRule="auto"/>
        <w:tabs>
          <w:tab w:leader="none" w:pos="106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delays or issues with any of the above, including that the risk of each may be exacerbated by the ongoing COVID-19 pandemic, any future epidemic diseases, potential geopolitical instability, inflation or rising interest rates.</w:t>
      </w:r>
    </w:p>
    <w:p>
      <w:pPr>
        <w:spacing w:after="0" w:line="112" w:lineRule="exact"/>
        <w:rPr>
          <w:sz w:val="20"/>
          <w:szCs w:val="20"/>
          <w:color w:val="auto"/>
        </w:rPr>
      </w:pPr>
    </w:p>
    <w:p>
      <w:pPr>
        <w:ind w:left="240" w:right="259" w:firstLine="568"/>
        <w:spacing w:after="0" w:line="286" w:lineRule="auto"/>
        <w:rPr>
          <w:sz w:val="20"/>
          <w:szCs w:val="20"/>
          <w:color w:val="auto"/>
        </w:rPr>
      </w:pPr>
      <w:r>
        <w:rPr>
          <w:rFonts w:ascii="Arial" w:cs="Arial" w:eastAsia="Arial" w:hAnsi="Arial"/>
          <w:sz w:val="14"/>
          <w:szCs w:val="14"/>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98" w:lineRule="exact"/>
        <w:rPr>
          <w:sz w:val="20"/>
          <w:szCs w:val="20"/>
          <w:color w:val="auto"/>
        </w:rPr>
      </w:pPr>
    </w:p>
    <w:p>
      <w:pPr>
        <w:ind w:left="240" w:right="679" w:firstLine="568"/>
        <w:spacing w:after="0" w:line="311" w:lineRule="auto"/>
        <w:rPr>
          <w:sz w:val="20"/>
          <w:szCs w:val="20"/>
          <w:color w:val="auto"/>
        </w:rPr>
      </w:pPr>
      <w:r>
        <w:rPr>
          <w:rFonts w:ascii="Arial" w:cs="Arial" w:eastAsia="Arial" w:hAnsi="Arial"/>
          <w:sz w:val="14"/>
          <w:szCs w:val="14"/>
          <w:color w:val="auto"/>
        </w:rPr>
        <w:t>Other than disclosed below, there were no material changes outside the ordinary course of our business during the three months ended March 31, 2023 to the information regarding our contractual obligations that was disclosed in “Management’s Discussion and Analysis of Financial Condition and Results of Operations” included in the 2022 Annual Report.</w:t>
      </w:r>
    </w:p>
    <w:p>
      <w:pPr>
        <w:spacing w:after="0" w:line="131" w:lineRule="exact"/>
        <w:rPr>
          <w:sz w:val="20"/>
          <w:szCs w:val="20"/>
          <w:color w:val="auto"/>
        </w:rPr>
      </w:pPr>
    </w:p>
    <w:p>
      <w:pPr>
        <w:ind w:left="240" w:right="419" w:firstLine="568"/>
        <w:spacing w:after="0" w:line="290" w:lineRule="auto"/>
        <w:rPr>
          <w:sz w:val="20"/>
          <w:szCs w:val="20"/>
          <w:color w:val="auto"/>
        </w:rPr>
      </w:pPr>
      <w:r>
        <w:rPr>
          <w:rFonts w:ascii="Arial" w:cs="Arial" w:eastAsia="Arial" w:hAnsi="Arial"/>
          <w:sz w:val="14"/>
          <w:szCs w:val="14"/>
          <w:color w:val="auto"/>
        </w:rPr>
        <w:t>As of March 31, 2023, total future aggregate operating lease commitments were $9.0 million, including payments on leases not yet commenced, with approximately $0.5 million due in 2023, and the remaining due in periods from 2024 through 2033.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1" w:name="page22"/>
    <w:bookmarkEnd w:id="21"/>
    <w:p>
      <w:pPr>
        <w:ind w:left="24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8" w:lineRule="exact"/>
        <w:rPr>
          <w:sz w:val="20"/>
          <w:szCs w:val="20"/>
          <w:color w:val="auto"/>
        </w:rPr>
      </w:pPr>
    </w:p>
    <w:p>
      <w:pPr>
        <w:ind w:left="240" w:right="419" w:firstLine="568"/>
        <w:spacing w:after="0" w:line="282" w:lineRule="auto"/>
        <w:rPr>
          <w:sz w:val="20"/>
          <w:szCs w:val="20"/>
          <w:color w:val="auto"/>
        </w:rPr>
      </w:pPr>
      <w:r>
        <w:rPr>
          <w:rFonts w:ascii="Arial" w:cs="Arial" w:eastAsia="Arial" w:hAnsi="Arial"/>
          <w:sz w:val="15"/>
          <w:szCs w:val="15"/>
          <w:color w:val="auto"/>
        </w:rPr>
        <w:t>There have been no material changes to our critical accounting policies and estimates during the three months ended March 31, 2023, as compared to the critical accounting policies and estimates disclosed in “Management’s Discussion and Analysis of Financial Condition and Results of Operations” included in the 2022 Annual Report.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98" w:lineRule="exact"/>
        <w:rPr>
          <w:sz w:val="20"/>
          <w:szCs w:val="20"/>
          <w:color w:val="auto"/>
        </w:rPr>
      </w:pPr>
    </w:p>
    <w:p>
      <w:pPr>
        <w:ind w:left="240" w:right="859" w:firstLine="568"/>
        <w:spacing w:after="0" w:line="302" w:lineRule="auto"/>
        <w:rPr>
          <w:sz w:val="20"/>
          <w:szCs w:val="20"/>
          <w:color w:val="auto"/>
        </w:rPr>
      </w:pPr>
      <w:r>
        <w:rPr>
          <w:rFonts w:ascii="Arial" w:cs="Arial" w:eastAsia="Arial" w:hAnsi="Arial"/>
          <w:sz w:val="15"/>
          <w:szCs w:val="15"/>
          <w:color w:val="auto"/>
        </w:rPr>
        <w:t>See Note 2 to our financial statements included elsewhere in this Quarterly Report on Form 10-Q for recently issued accounting pronouncements that may potentially impact our financial position and results of operations.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8" w:lineRule="exact"/>
        <w:rPr>
          <w:sz w:val="20"/>
          <w:szCs w:val="20"/>
          <w:color w:val="auto"/>
        </w:rPr>
      </w:pPr>
    </w:p>
    <w:p>
      <w:pPr>
        <w:ind w:left="240" w:right="379" w:firstLine="568"/>
        <w:spacing w:after="0" w:line="311" w:lineRule="auto"/>
        <w:rPr>
          <w:sz w:val="20"/>
          <w:szCs w:val="20"/>
          <w:color w:val="auto"/>
        </w:rPr>
      </w:pPr>
      <w:r>
        <w:rPr>
          <w:rFonts w:ascii="Arial" w:cs="Arial" w:eastAsia="Arial" w:hAnsi="Arial"/>
          <w:sz w:val="14"/>
          <w:szCs w:val="14"/>
          <w:color w:val="auto"/>
        </w:rPr>
        <w:t>As of March 31, 2023,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2022 Annual Report.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ind w:left="240" w:right="339" w:firstLine="568"/>
        <w:spacing w:after="0" w:line="269" w:lineRule="auto"/>
        <w:rPr>
          <w:sz w:val="20"/>
          <w:szCs w:val="20"/>
          <w:color w:val="auto"/>
        </w:rPr>
      </w:pPr>
      <w:r>
        <w:rPr>
          <w:rFonts w:ascii="Arial" w:cs="Arial" w:eastAsia="Arial" w:hAnsi="Arial"/>
          <w:sz w:val="15"/>
          <w:szCs w:val="15"/>
          <w:color w:val="auto"/>
        </w:rPr>
        <w:t>Our management, with the participation of our Chief Executive Officer (principal executive officer) and Chief Financial Officer (principal financial officer), has evaluated the effectiveness of our disclosure controls and procedures as defined in Rules 13a-15(e) and 15d-15(e) under the Securities Exchange Act of 1934, as amended, as of the end of the period covered by this quarterly report.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61" w:lineRule="exact"/>
        <w:rPr>
          <w:sz w:val="20"/>
          <w:szCs w:val="20"/>
          <w:color w:val="auto"/>
        </w:rPr>
      </w:pPr>
    </w:p>
    <w:p>
      <w:pPr>
        <w:ind w:left="240" w:right="399" w:firstLine="568"/>
        <w:spacing w:after="0" w:line="252" w:lineRule="auto"/>
        <w:rPr>
          <w:sz w:val="20"/>
          <w:szCs w:val="20"/>
          <w:color w:val="auto"/>
        </w:rPr>
      </w:pPr>
      <w:r>
        <w:rPr>
          <w:rFonts w:ascii="Arial" w:cs="Arial" w:eastAsia="Arial" w:hAnsi="Arial"/>
          <w:sz w:val="16"/>
          <w:szCs w:val="16"/>
          <w:color w:val="auto"/>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such evaluation, our Chief Executive Officer and Chief Financial Officer concluded that our disclosure controls and procedures were effective at the reasonable assurance level.</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231F20"/>
        </w:rPr>
        <w:t>Changes in Internal Control Over Financial Reporting</w:t>
      </w:r>
    </w:p>
    <w:p>
      <w:pPr>
        <w:spacing w:after="0" w:line="198" w:lineRule="exact"/>
        <w:rPr>
          <w:sz w:val="20"/>
          <w:szCs w:val="20"/>
          <w:color w:val="auto"/>
        </w:rPr>
      </w:pPr>
    </w:p>
    <w:p>
      <w:pPr>
        <w:ind w:left="240" w:right="379" w:firstLine="568"/>
        <w:spacing w:after="0" w:line="271" w:lineRule="auto"/>
        <w:rPr>
          <w:sz w:val="20"/>
          <w:szCs w:val="20"/>
          <w:color w:val="auto"/>
        </w:rPr>
      </w:pPr>
      <w:r>
        <w:rPr>
          <w:rFonts w:ascii="Arial" w:cs="Arial" w:eastAsia="Arial" w:hAnsi="Arial"/>
          <w:sz w:val="15"/>
          <w:szCs w:val="15"/>
          <w:color w:val="auto"/>
        </w:rPr>
        <w:t>There have been no changes in our internal control over financial reporting that occurred during our most recent quarter that have materially affected, or are reasonably likely to materially affect, our internal control over financial reporting.</w:t>
      </w: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6"/>
          <w:szCs w:val="16"/>
          <w:b w:val="1"/>
          <w:bCs w:val="1"/>
          <w:color w:val="auto"/>
        </w:rPr>
        <w:t>PART II—OTHER INFORMATION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1. Legal Proceedings</w:t>
      </w:r>
    </w:p>
    <w:p>
      <w:pPr>
        <w:spacing w:after="0" w:line="198" w:lineRule="exact"/>
        <w:rPr>
          <w:sz w:val="20"/>
          <w:szCs w:val="20"/>
          <w:color w:val="auto"/>
        </w:rPr>
      </w:pPr>
    </w:p>
    <w:p>
      <w:pPr>
        <w:ind w:left="240" w:right="319" w:firstLine="568"/>
        <w:spacing w:after="0" w:line="253"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1A. Risk Factors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There have been no material changes to the risk factors disclosed in Item 1A of our 2022 Annual Report.</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None.</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Use of Proceeds from Initial Public Offering</w:t>
      </w:r>
    </w:p>
    <w:p>
      <w:pPr>
        <w:spacing w:after="0" w:line="198" w:lineRule="exact"/>
        <w:rPr>
          <w:sz w:val="20"/>
          <w:szCs w:val="20"/>
          <w:color w:val="auto"/>
        </w:rPr>
      </w:pPr>
    </w:p>
    <w:p>
      <w:pPr>
        <w:ind w:left="240" w:right="299" w:firstLine="568"/>
        <w:spacing w:after="0" w:line="268" w:lineRule="auto"/>
        <w:rPr>
          <w:sz w:val="20"/>
          <w:szCs w:val="20"/>
          <w:color w:val="auto"/>
        </w:rPr>
      </w:pPr>
      <w:r>
        <w:rPr>
          <w:rFonts w:ascii="Arial" w:cs="Arial" w:eastAsia="Arial" w:hAnsi="Arial"/>
          <w:sz w:val="15"/>
          <w:szCs w:val="15"/>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62" w:lineRule="exact"/>
        <w:rPr>
          <w:sz w:val="20"/>
          <w:szCs w:val="20"/>
          <w:color w:val="auto"/>
        </w:rPr>
      </w:pPr>
    </w:p>
    <w:p>
      <w:pPr>
        <w:ind w:left="240" w:right="299" w:firstLine="568"/>
        <w:spacing w:after="0" w:line="253" w:lineRule="auto"/>
        <w:rPr>
          <w:sz w:val="20"/>
          <w:szCs w:val="20"/>
          <w:color w:val="auto"/>
        </w:rPr>
      </w:pPr>
      <w:r>
        <w:rPr>
          <w:rFonts w:ascii="Arial" w:cs="Arial" w:eastAsia="Arial" w:hAnsi="Arial"/>
          <w:sz w:val="16"/>
          <w:szCs w:val="16"/>
          <w:color w:val="auto"/>
        </w:rPr>
        <w:t>As of March 31, 2023, we estimate that we have used approximately $71.4 million of the proceeds from our IPO for general corporate purposes, including to fund the development of TYRA-300, TYRA-200 and our other development programs. There has been no material change in the planned use of proceeds from that described in the final prospectus filed with the SEC pursuant to Rule 424(b)(4) under the Securities Act on September 15, 2021.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None.</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98" w:lineRule="exact"/>
        <w:rPr>
          <w:sz w:val="20"/>
          <w:szCs w:val="20"/>
          <w:color w:val="auto"/>
        </w:rPr>
      </w:pPr>
    </w:p>
    <w:p>
      <w:pPr>
        <w:jc w:val="center"/>
        <w:ind w:right="6439"/>
        <w:spacing w:after="0"/>
        <w:rPr>
          <w:sz w:val="20"/>
          <w:szCs w:val="20"/>
          <w:color w:val="auto"/>
        </w:rPr>
      </w:pPr>
      <w:r>
        <w:rPr>
          <w:rFonts w:ascii="Arial" w:cs="Arial" w:eastAsia="Arial" w:hAnsi="Arial"/>
          <w:sz w:val="16"/>
          <w:szCs w:val="16"/>
          <w:color w:val="auto"/>
        </w:rPr>
        <w:t>Not applicable.</w:t>
      </w:r>
    </w:p>
    <w:p>
      <w:pPr>
        <w:spacing w:after="0" w:line="190" w:lineRule="exact"/>
        <w:rPr>
          <w:sz w:val="20"/>
          <w:szCs w:val="20"/>
          <w:color w:val="auto"/>
        </w:rPr>
      </w:pPr>
    </w:p>
    <w:p>
      <w:pPr>
        <w:jc w:val="center"/>
        <w:ind w:right="6419"/>
        <w:spacing w:after="0"/>
        <w:rPr>
          <w:sz w:val="20"/>
          <w:szCs w:val="20"/>
          <w:color w:val="auto"/>
        </w:rPr>
      </w:pPr>
      <w:r>
        <w:rPr>
          <w:rFonts w:ascii="Arial" w:cs="Arial" w:eastAsia="Arial" w:hAnsi="Arial"/>
          <w:sz w:val="14"/>
          <w:szCs w:val="14"/>
          <w:b w:val="1"/>
          <w:bCs w:val="1"/>
          <w:color w:val="auto"/>
        </w:rPr>
        <w:t>Item 4. Mine Safety Disclosures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Not applicable.</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5. Other Information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51435</wp:posOffset>
            </wp:positionV>
            <wp:extent cx="543242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3" w:name="page24"/>
    <w:bookmarkEnd w:id="23"/>
    <w:tbl>
      <w:tblPr>
        <w:tblLayout w:type="fixed"/>
        <w:tblInd w:w="240" w:type="dxa"/>
        <w:tblCellMar>
          <w:top w:w="0" w:type="dxa"/>
          <w:left w:w="0" w:type="dxa"/>
          <w:bottom w:w="0" w:type="dxa"/>
          <w:right w:w="0" w:type="dxa"/>
        </w:tblCellMar>
      </w:tblPr>
      <w:tr>
        <w:trPr>
          <w:trHeight w:val="204"/>
        </w:trPr>
        <w:tc>
          <w:tcPr>
            <w:tcW w:w="5360" w:type="dxa"/>
            <w:vAlign w:val="bottom"/>
            <w:gridSpan w:val="16"/>
          </w:tcPr>
          <w:p>
            <w:pPr>
              <w:spacing w:after="0"/>
              <w:rPr>
                <w:sz w:val="20"/>
                <w:szCs w:val="20"/>
                <w:color w:val="auto"/>
              </w:rPr>
            </w:pPr>
            <w:r>
              <w:rPr>
                <w:rFonts w:ascii="Arial" w:cs="Arial" w:eastAsia="Arial" w:hAnsi="Arial"/>
                <w:sz w:val="16"/>
                <w:szCs w:val="16"/>
                <w:b w:val="1"/>
                <w:bCs w:val="1"/>
                <w:color w:val="auto"/>
              </w:rPr>
              <w:t>Item 6. Exhibits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63"/>
        </w:trPr>
        <w:tc>
          <w:tcPr>
            <w:tcW w:w="840" w:type="dxa"/>
            <w:vAlign w:val="bottom"/>
          </w:tcPr>
          <w:p>
            <w:pPr>
              <w:ind w:left="16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3"/>
          </w:tcPr>
          <w:p>
            <w:pPr>
              <w:ind w:left="1540"/>
              <w:spacing w:after="0"/>
              <w:rPr>
                <w:sz w:val="20"/>
                <w:szCs w:val="20"/>
                <w:color w:val="auto"/>
              </w:rPr>
            </w:pPr>
            <w:r>
              <w:rPr>
                <w:rFonts w:ascii="Arial" w:cs="Arial" w:eastAsia="Arial" w:hAnsi="Arial"/>
                <w:sz w:val="16"/>
                <w:szCs w:val="16"/>
                <w:b w:val="1"/>
                <w:bCs w:val="1"/>
                <w:color w:val="auto"/>
              </w:rPr>
              <w:t>Exhibit Description</w:t>
            </w:r>
          </w:p>
        </w:tc>
        <w:tc>
          <w:tcPr>
            <w:tcW w:w="120" w:type="dxa"/>
            <w:vAlign w:val="bottom"/>
          </w:tcPr>
          <w:p>
            <w:pPr>
              <w:spacing w:after="0"/>
              <w:rPr>
                <w:sz w:val="24"/>
                <w:szCs w:val="24"/>
                <w:color w:val="auto"/>
              </w:rPr>
            </w:pPr>
          </w:p>
        </w:tc>
        <w:tc>
          <w:tcPr>
            <w:tcW w:w="2220" w:type="dxa"/>
            <w:vAlign w:val="bottom"/>
            <w:gridSpan w:val="5"/>
          </w:tcPr>
          <w:p>
            <w:pPr>
              <w:ind w:left="200"/>
              <w:spacing w:after="0"/>
              <w:rPr>
                <w:sz w:val="20"/>
                <w:szCs w:val="20"/>
                <w:color w:val="auto"/>
              </w:rPr>
            </w:pPr>
            <w:r>
              <w:rPr>
                <w:rFonts w:ascii="Arial" w:cs="Arial" w:eastAsia="Arial" w:hAnsi="Arial"/>
                <w:sz w:val="16"/>
                <w:szCs w:val="16"/>
                <w:b w:val="1"/>
                <w:bCs w:val="1"/>
                <w:color w:val="auto"/>
                <w:w w:val="98"/>
              </w:rPr>
              <w:t>Incorporated by Reference</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0"/>
              </w:rPr>
              <w:t>Filed</w:t>
            </w:r>
          </w:p>
        </w:tc>
      </w:tr>
      <w:tr>
        <w:trPr>
          <w:trHeight w:val="209"/>
        </w:trPr>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Herewith</w:t>
            </w:r>
          </w:p>
        </w:tc>
      </w:tr>
      <w:tr>
        <w:trPr>
          <w:trHeight w:val="201"/>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80" w:type="dxa"/>
            <w:vAlign w:val="bottom"/>
          </w:tcPr>
          <w:p>
            <w:pPr>
              <w:spacing w:after="0"/>
              <w:rPr>
                <w:sz w:val="17"/>
                <w:szCs w:val="17"/>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Date</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46"/>
        </w:trPr>
        <w:tc>
          <w:tcPr>
            <w:tcW w:w="840" w:type="dxa"/>
            <w:vAlign w:val="bottom"/>
          </w:tcPr>
          <w:p>
            <w:pPr>
              <w:jc w:val="center"/>
              <w:spacing w:after="0" w:line="145" w:lineRule="exact"/>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gridSpan w:val="13"/>
          </w:tcPr>
          <w:p>
            <w:pPr>
              <w:spacing w:after="0" w:line="145" w:lineRule="exact"/>
              <w:rPr>
                <w:rFonts w:ascii="Arial" w:cs="Arial" w:eastAsia="Arial" w:hAnsi="Arial"/>
                <w:sz w:val="16"/>
                <w:szCs w:val="16"/>
                <w:color w:val="0000FF"/>
              </w:rPr>
            </w:pPr>
            <w:hyperlink r:id="rId107">
              <w:r>
                <w:rPr>
                  <w:rFonts w:ascii="Arial" w:cs="Arial" w:eastAsia="Arial" w:hAnsi="Arial"/>
                  <w:sz w:val="16"/>
                  <w:szCs w:val="16"/>
                  <w:color w:val="0000FF"/>
                </w:rPr>
                <w:t>Amended and Restated Certificate of Incorporation</w:t>
              </w:r>
            </w:hyperlink>
          </w:p>
        </w:tc>
        <w:tc>
          <w:tcPr>
            <w:tcW w:w="12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6"/>
                <w:szCs w:val="16"/>
                <w:color w:val="auto"/>
                <w:w w:val="94"/>
              </w:rPr>
              <w:t>10-K</w:t>
            </w:r>
          </w:p>
        </w:tc>
        <w:tc>
          <w:tcPr>
            <w:tcW w:w="8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6"/>
                <w:szCs w:val="16"/>
                <w:color w:val="auto"/>
                <w:w w:val="89"/>
              </w:rPr>
              <w:t>3/22/23</w:t>
            </w:r>
          </w:p>
        </w:tc>
        <w:tc>
          <w:tcPr>
            <w:tcW w:w="8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5"/>
        </w:trPr>
        <w:tc>
          <w:tcPr>
            <w:tcW w:w="8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FF"/>
            </w:tcBorders>
            <w:gridSpan w:val="6"/>
          </w:tcPr>
          <w:p>
            <w:pPr>
              <w:spacing w:after="0"/>
              <w:rPr>
                <w:rFonts w:ascii="Arial" w:cs="Arial" w:eastAsia="Arial" w:hAnsi="Arial"/>
                <w:sz w:val="16"/>
                <w:szCs w:val="16"/>
                <w:color w:val="0000FF"/>
              </w:rPr>
            </w:pPr>
            <w:hyperlink r:id="rId108">
              <w:r>
                <w:rPr>
                  <w:rFonts w:ascii="Arial" w:cs="Arial" w:eastAsia="Arial" w:hAnsi="Arial"/>
                  <w:sz w:val="16"/>
                  <w:szCs w:val="16"/>
                  <w:color w:val="0000FF"/>
                </w:rPr>
                <w:t>Amended and Restated Bylaws</w:t>
              </w:r>
            </w:hyperlink>
          </w:p>
        </w:tc>
        <w:tc>
          <w:tcPr>
            <w:tcW w:w="11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860" w:type="dxa"/>
            <w:vAlign w:val="bottom"/>
            <w:gridSpan w:val="2"/>
          </w:tcPr>
          <w:p>
            <w:pPr>
              <w:jc w:val="center"/>
              <w:ind w:left="21"/>
              <w:spacing w:after="0"/>
              <w:rPr>
                <w:sz w:val="20"/>
                <w:szCs w:val="20"/>
                <w:color w:val="auto"/>
              </w:rPr>
            </w:pPr>
            <w:r>
              <w:rPr>
                <w:rFonts w:ascii="Arial" w:cs="Arial" w:eastAsia="Arial" w:hAnsi="Arial"/>
                <w:sz w:val="16"/>
                <w:szCs w:val="16"/>
                <w:color w:val="auto"/>
                <w:w w:val="89"/>
              </w:rPr>
              <w:t>9/17/21</w:t>
            </w:r>
          </w:p>
        </w:tc>
        <w:tc>
          <w:tcPr>
            <w:tcW w:w="920" w:type="dxa"/>
            <w:vAlign w:val="bottom"/>
            <w:gridSpan w:val="2"/>
          </w:tcPr>
          <w:p>
            <w:pPr>
              <w:jc w:val="center"/>
              <w:ind w:left="1"/>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5"/>
        </w:trPr>
        <w:tc>
          <w:tcPr>
            <w:tcW w:w="8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13"/>
          </w:tcPr>
          <w:p>
            <w:pPr>
              <w:spacing w:after="0"/>
              <w:rPr>
                <w:rFonts w:ascii="Arial" w:cs="Arial" w:eastAsia="Arial" w:hAnsi="Arial"/>
                <w:sz w:val="16"/>
                <w:szCs w:val="16"/>
                <w:color w:val="0000FF"/>
                <w:w w:val="92"/>
              </w:rPr>
            </w:pPr>
            <w:hyperlink r:id="rId109">
              <w:r>
                <w:rPr>
                  <w:rFonts w:ascii="Arial" w:cs="Arial" w:eastAsia="Arial" w:hAnsi="Arial"/>
                  <w:sz w:val="16"/>
                  <w:szCs w:val="16"/>
                  <w:color w:val="0000FF"/>
                  <w:w w:val="92"/>
                </w:rPr>
                <w:t>Specimen stock certificate evidencing the shares of common stock</w:t>
              </w:r>
            </w:hyperlink>
          </w:p>
        </w:tc>
        <w:tc>
          <w:tcPr>
            <w:tcW w:w="12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60" w:type="dxa"/>
            <w:vAlign w:val="bottom"/>
            <w:gridSpan w:val="2"/>
          </w:tcPr>
          <w:p>
            <w:pPr>
              <w:jc w:val="center"/>
              <w:ind w:left="21"/>
              <w:spacing w:after="0"/>
              <w:rPr>
                <w:sz w:val="20"/>
                <w:szCs w:val="20"/>
                <w:color w:val="auto"/>
              </w:rPr>
            </w:pPr>
            <w:r>
              <w:rPr>
                <w:rFonts w:ascii="Arial" w:cs="Arial" w:eastAsia="Arial" w:hAnsi="Arial"/>
                <w:sz w:val="16"/>
                <w:szCs w:val="16"/>
                <w:color w:val="auto"/>
                <w:w w:val="89"/>
              </w:rPr>
              <w:t>8/20/21</w:t>
            </w:r>
          </w:p>
        </w:tc>
        <w:tc>
          <w:tcPr>
            <w:tcW w:w="920" w:type="dxa"/>
            <w:vAlign w:val="bottom"/>
            <w:gridSpan w:val="2"/>
          </w:tcPr>
          <w:p>
            <w:pPr>
              <w:jc w:val="center"/>
              <w:ind w:left="1"/>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5"/>
        </w:trPr>
        <w:tc>
          <w:tcPr>
            <w:tcW w:w="84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12"/>
          </w:tcPr>
          <w:p>
            <w:pPr>
              <w:spacing w:after="0"/>
              <w:rPr>
                <w:rFonts w:ascii="Arial" w:cs="Arial" w:eastAsia="Arial" w:hAnsi="Arial"/>
                <w:sz w:val="16"/>
                <w:szCs w:val="16"/>
                <w:color w:val="0000FF"/>
                <w:w w:val="89"/>
              </w:rPr>
            </w:pPr>
            <w:hyperlink r:id="rId110">
              <w:r>
                <w:rPr>
                  <w:rFonts w:ascii="Arial" w:cs="Arial" w:eastAsia="Arial" w:hAnsi="Arial"/>
                  <w:sz w:val="16"/>
                  <w:szCs w:val="16"/>
                  <w:color w:val="0000FF"/>
                  <w:w w:val="89"/>
                </w:rPr>
                <w:t>Amended and Restated Investors’ Rights Agreement, dated March 5,</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860" w:type="dxa"/>
            <w:vAlign w:val="bottom"/>
            <w:gridSpan w:val="2"/>
          </w:tcPr>
          <w:p>
            <w:pPr>
              <w:jc w:val="center"/>
              <w:ind w:left="21"/>
              <w:spacing w:after="0"/>
              <w:rPr>
                <w:sz w:val="20"/>
                <w:szCs w:val="20"/>
                <w:color w:val="auto"/>
              </w:rPr>
            </w:pPr>
            <w:r>
              <w:rPr>
                <w:rFonts w:ascii="Arial" w:cs="Arial" w:eastAsia="Arial" w:hAnsi="Arial"/>
                <w:sz w:val="16"/>
                <w:szCs w:val="16"/>
                <w:color w:val="auto"/>
                <w:w w:val="89"/>
              </w:rPr>
              <w:t>9/9/21</w:t>
            </w:r>
          </w:p>
        </w:tc>
        <w:tc>
          <w:tcPr>
            <w:tcW w:w="920" w:type="dxa"/>
            <w:vAlign w:val="bottom"/>
            <w:gridSpan w:val="2"/>
          </w:tcPr>
          <w:p>
            <w:pPr>
              <w:jc w:val="center"/>
              <w:ind w:left="1"/>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gridSpan w:val="13"/>
          </w:tcPr>
          <w:p>
            <w:pPr>
              <w:spacing w:after="0" w:line="169" w:lineRule="exact"/>
              <w:rPr>
                <w:rFonts w:ascii="Arial" w:cs="Arial" w:eastAsia="Arial" w:hAnsi="Arial"/>
                <w:sz w:val="16"/>
                <w:szCs w:val="16"/>
                <w:color w:val="0000FF"/>
                <w:w w:val="93"/>
              </w:rPr>
            </w:pPr>
            <w:hyperlink r:id="rId110">
              <w:r>
                <w:rPr>
                  <w:rFonts w:ascii="Arial" w:cs="Arial" w:eastAsia="Arial" w:hAnsi="Arial"/>
                  <w:sz w:val="16"/>
                  <w:szCs w:val="16"/>
                  <w:color w:val="0000FF"/>
                  <w:w w:val="93"/>
                </w:rPr>
                <w:t>2021, by and among the Registrant and certain of its stockholders</w:t>
              </w:r>
            </w:hyperlink>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1"/>
        </w:trPr>
        <w:tc>
          <w:tcPr>
            <w:tcW w:w="840" w:type="dxa"/>
            <w:vAlign w:val="bottom"/>
          </w:tcPr>
          <w:p>
            <w:pPr>
              <w:jc w:val="center"/>
              <w:spacing w:after="0" w:line="181" w:lineRule="exact"/>
              <w:rPr>
                <w:sz w:val="20"/>
                <w:szCs w:val="20"/>
                <w:color w:val="auto"/>
              </w:rPr>
            </w:pPr>
            <w:r>
              <w:rPr>
                <w:rFonts w:ascii="Arial" w:cs="Arial" w:eastAsia="Arial" w:hAnsi="Arial"/>
                <w:sz w:val="16"/>
                <w:szCs w:val="16"/>
                <w:color w:val="auto"/>
                <w:w w:val="89"/>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bottom w:val="single" w:sz="8" w:color="0000FF"/>
            </w:tcBorders>
            <w:gridSpan w:val="8"/>
          </w:tcPr>
          <w:p>
            <w:pPr>
              <w:spacing w:after="0" w:line="181" w:lineRule="exact"/>
              <w:rPr>
                <w:sz w:val="20"/>
                <w:szCs w:val="20"/>
                <w:color w:val="auto"/>
              </w:rPr>
            </w:pPr>
            <w:r>
              <w:rPr>
                <w:rFonts w:ascii="Arial" w:cs="Arial" w:eastAsia="Arial" w:hAnsi="Arial"/>
                <w:sz w:val="16"/>
                <w:szCs w:val="16"/>
                <w:color w:val="0000FF"/>
                <w:w w:val="90"/>
              </w:rPr>
              <w:t>Certification of Chief Executive Officer, as required by Rule 13a-</w:t>
            </w:r>
          </w:p>
        </w:tc>
        <w:tc>
          <w:tcPr>
            <w:tcW w:w="60" w:type="dxa"/>
            <w:vAlign w:val="bottom"/>
            <w:tcBorders>
              <w:bottom w:val="single" w:sz="8" w:color="0000EE"/>
            </w:tcBorders>
          </w:tcPr>
          <w:p>
            <w:pPr>
              <w:spacing w:after="0"/>
              <w:rPr>
                <w:sz w:val="15"/>
                <w:szCs w:val="15"/>
                <w:color w:val="auto"/>
              </w:rPr>
            </w:pPr>
          </w:p>
        </w:tc>
        <w:tc>
          <w:tcPr>
            <w:tcW w:w="2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w w:val="88"/>
              </w:rPr>
              <w:t>14(a) or Rule 15d-14(a), as adopted pursuant to Section 302 of the</w:t>
            </w: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88"/>
              </w:rPr>
              <w:t>Sarbanes-Oxley Act of 2002</w:t>
            </w:r>
          </w:p>
        </w:tc>
        <w:tc>
          <w:tcPr>
            <w:tcW w:w="20" w:type="dxa"/>
            <w:vAlign w:val="bottom"/>
            <w:tcBorders>
              <w:bottom w:val="single" w:sz="8" w:color="0000EE"/>
            </w:tcBorders>
          </w:tcPr>
          <w:p>
            <w:pPr>
              <w:spacing w:after="0"/>
              <w:rPr>
                <w:sz w:val="14"/>
                <w:szCs w:val="14"/>
                <w:color w:val="auto"/>
              </w:rPr>
            </w:pPr>
          </w:p>
        </w:tc>
        <w:tc>
          <w:tcPr>
            <w:tcW w:w="2580" w:type="dxa"/>
            <w:vAlign w:val="bottom"/>
            <w:gridSpan w:val="11"/>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840" w:type="dxa"/>
            <w:vAlign w:val="bottom"/>
          </w:tcPr>
          <w:p>
            <w:pPr>
              <w:jc w:val="center"/>
              <w:spacing w:after="0" w:line="181" w:lineRule="exact"/>
              <w:rPr>
                <w:sz w:val="20"/>
                <w:szCs w:val="20"/>
                <w:color w:val="auto"/>
              </w:rPr>
            </w:pPr>
            <w:r>
              <w:rPr>
                <w:rFonts w:ascii="Arial" w:cs="Arial" w:eastAsia="Arial" w:hAnsi="Arial"/>
                <w:sz w:val="16"/>
                <w:szCs w:val="16"/>
                <w:color w:val="auto"/>
                <w:w w:val="89"/>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gridSpan w:val="13"/>
          </w:tcPr>
          <w:p>
            <w:pPr>
              <w:spacing w:after="0" w:line="181" w:lineRule="exact"/>
              <w:rPr>
                <w:sz w:val="20"/>
                <w:szCs w:val="20"/>
                <w:color w:val="auto"/>
              </w:rPr>
            </w:pPr>
            <w:r>
              <w:rPr>
                <w:rFonts w:ascii="Arial" w:cs="Arial" w:eastAsia="Arial" w:hAnsi="Arial"/>
                <w:sz w:val="16"/>
                <w:szCs w:val="16"/>
                <w:color w:val="0000FF"/>
                <w:w w:val="97"/>
              </w:rPr>
              <w:t>Certification of Chief Financial Officer, as required by Rule 13a-</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w w:val="88"/>
              </w:rPr>
              <w:t>14(a) or Rule 15d-14(a), as adopted pursuant to Section 302 of the</w:t>
            </w: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color w:val="0000FF"/>
                <w:w w:val="90"/>
              </w:rPr>
              <w:t>Sarbanes-Oxley Act of 2002</w:t>
            </w:r>
          </w:p>
        </w:tc>
        <w:tc>
          <w:tcPr>
            <w:tcW w:w="2560" w:type="dxa"/>
            <w:vAlign w:val="bottom"/>
            <w:gridSpan w:val="10"/>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840" w:type="dxa"/>
            <w:vAlign w:val="bottom"/>
          </w:tcPr>
          <w:p>
            <w:pPr>
              <w:jc w:val="center"/>
              <w:spacing w:after="0" w:line="181" w:lineRule="exact"/>
              <w:rPr>
                <w:sz w:val="20"/>
                <w:szCs w:val="20"/>
                <w:color w:val="auto"/>
              </w:rPr>
            </w:pPr>
            <w:r>
              <w:rPr>
                <w:rFonts w:ascii="Arial" w:cs="Arial" w:eastAsia="Arial" w:hAnsi="Arial"/>
                <w:sz w:val="16"/>
                <w:szCs w:val="16"/>
                <w:color w:val="auto"/>
                <w:w w:val="96"/>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bottom w:val="single" w:sz="8" w:color="0000FF"/>
            </w:tcBorders>
            <w:gridSpan w:val="11"/>
          </w:tcPr>
          <w:p>
            <w:pPr>
              <w:spacing w:after="0" w:line="181" w:lineRule="exact"/>
              <w:rPr>
                <w:sz w:val="20"/>
                <w:szCs w:val="20"/>
                <w:color w:val="auto"/>
              </w:rPr>
            </w:pPr>
            <w:r>
              <w:rPr>
                <w:rFonts w:ascii="Arial" w:cs="Arial" w:eastAsia="Arial" w:hAnsi="Arial"/>
                <w:sz w:val="16"/>
                <w:szCs w:val="16"/>
                <w:color w:val="0000FF"/>
                <w:w w:val="92"/>
              </w:rPr>
              <w:t>Certification of Chief Executive Officer pursuant to Section 906 of</w:t>
            </w:r>
          </w:p>
        </w:tc>
        <w:tc>
          <w:tcPr>
            <w:tcW w:w="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gridSpan w:val="13"/>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1"/>
        </w:trPr>
        <w:tc>
          <w:tcPr>
            <w:tcW w:w="840" w:type="dxa"/>
            <w:vAlign w:val="bottom"/>
          </w:tcPr>
          <w:p>
            <w:pPr>
              <w:jc w:val="center"/>
              <w:spacing w:after="0" w:line="181" w:lineRule="exact"/>
              <w:rPr>
                <w:sz w:val="20"/>
                <w:szCs w:val="20"/>
                <w:color w:val="auto"/>
              </w:rPr>
            </w:pPr>
            <w:r>
              <w:rPr>
                <w:rFonts w:ascii="Arial" w:cs="Arial" w:eastAsia="Arial" w:hAnsi="Arial"/>
                <w:sz w:val="16"/>
                <w:szCs w:val="16"/>
                <w:color w:val="auto"/>
                <w:w w:val="96"/>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9"/>
          </w:tcPr>
          <w:p>
            <w:pPr>
              <w:spacing w:after="0" w:line="181" w:lineRule="exact"/>
              <w:rPr>
                <w:sz w:val="20"/>
                <w:szCs w:val="20"/>
                <w:color w:val="auto"/>
              </w:rPr>
            </w:pPr>
            <w:r>
              <w:rPr>
                <w:rFonts w:ascii="Arial" w:cs="Arial" w:eastAsia="Arial" w:hAnsi="Arial"/>
                <w:sz w:val="16"/>
                <w:szCs w:val="16"/>
                <w:color w:val="0000FF"/>
                <w:w w:val="91"/>
              </w:rPr>
              <w:t>Certification of Chief Financial Officer pursuant to Section 906 of</w:t>
            </w:r>
          </w:p>
        </w:tc>
        <w:tc>
          <w:tcPr>
            <w:tcW w:w="2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gridSpan w:val="13"/>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5"/>
        </w:trPr>
        <w:tc>
          <w:tcPr>
            <w:tcW w:w="840" w:type="dxa"/>
            <w:vAlign w:val="bottom"/>
          </w:tcPr>
          <w:p>
            <w:pPr>
              <w:jc w:val="center"/>
              <w:ind w:left="21"/>
              <w:spacing w:after="0"/>
              <w:rPr>
                <w:sz w:val="20"/>
                <w:szCs w:val="20"/>
                <w:color w:val="auto"/>
              </w:rPr>
            </w:pPr>
            <w:r>
              <w:rPr>
                <w:rFonts w:ascii="Arial" w:cs="Arial" w:eastAsia="Arial" w:hAnsi="Arial"/>
                <w:sz w:val="16"/>
                <w:szCs w:val="16"/>
                <w:color w:val="auto"/>
                <w:w w:val="93"/>
              </w:rPr>
              <w:t>101.INS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rPr>
              <w:t>Inline XBRL Instance Document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1"/>
        </w:trPr>
        <w:tc>
          <w:tcPr>
            <w:tcW w:w="840" w:type="dxa"/>
            <w:vAlign w:val="bottom"/>
          </w:tcPr>
          <w:p>
            <w:pPr>
              <w:jc w:val="center"/>
              <w:ind w:left="21"/>
              <w:spacing w:after="0"/>
              <w:rPr>
                <w:sz w:val="20"/>
                <w:szCs w:val="20"/>
                <w:color w:val="auto"/>
              </w:rPr>
            </w:pPr>
            <w:r>
              <w:rPr>
                <w:rFonts w:ascii="Arial" w:cs="Arial" w:eastAsia="Arial" w:hAnsi="Arial"/>
                <w:sz w:val="16"/>
                <w:szCs w:val="16"/>
                <w:color w:val="auto"/>
                <w:w w:val="89"/>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1"/>
        </w:trPr>
        <w:tc>
          <w:tcPr>
            <w:tcW w:w="840" w:type="dxa"/>
            <w:vAlign w:val="bottom"/>
          </w:tcPr>
          <w:p>
            <w:pPr>
              <w:jc w:val="center"/>
              <w:ind w:left="21"/>
              <w:spacing w:after="0"/>
              <w:rPr>
                <w:sz w:val="20"/>
                <w:szCs w:val="20"/>
                <w:color w:val="auto"/>
              </w:rPr>
            </w:pPr>
            <w:r>
              <w:rPr>
                <w:rFonts w:ascii="Arial" w:cs="Arial" w:eastAsia="Arial" w:hAnsi="Arial"/>
                <w:sz w:val="16"/>
                <w:szCs w:val="16"/>
                <w:color w:val="auto"/>
                <w:w w:val="93"/>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rPr>
              <w:t>Inline XBRL Taxonomy Calculation Linkbase Document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1"/>
        </w:trPr>
        <w:tc>
          <w:tcPr>
            <w:tcW w:w="840" w:type="dxa"/>
            <w:vAlign w:val="bottom"/>
          </w:tcPr>
          <w:p>
            <w:pPr>
              <w:jc w:val="center"/>
              <w:ind w:left="21"/>
              <w:spacing w:after="0"/>
              <w:rPr>
                <w:sz w:val="20"/>
                <w:szCs w:val="20"/>
                <w:color w:val="auto"/>
              </w:rPr>
            </w:pPr>
            <w:r>
              <w:rPr>
                <w:rFonts w:ascii="Arial" w:cs="Arial" w:eastAsia="Arial" w:hAnsi="Arial"/>
                <w:sz w:val="16"/>
                <w:szCs w:val="16"/>
                <w:color w:val="auto"/>
                <w:w w:val="91"/>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w w:val="96"/>
              </w:rPr>
              <w:t>Inline XBRL Taxonomy Extension Definition Linkbase Document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1"/>
        </w:trPr>
        <w:tc>
          <w:tcPr>
            <w:tcW w:w="840" w:type="dxa"/>
            <w:vAlign w:val="bottom"/>
          </w:tcPr>
          <w:p>
            <w:pPr>
              <w:jc w:val="center"/>
              <w:ind w:left="21"/>
              <w:spacing w:after="0"/>
              <w:rPr>
                <w:sz w:val="20"/>
                <w:szCs w:val="20"/>
                <w:color w:val="auto"/>
              </w:rPr>
            </w:pPr>
            <w:r>
              <w:rPr>
                <w:rFonts w:ascii="Arial" w:cs="Arial" w:eastAsia="Arial" w:hAnsi="Arial"/>
                <w:sz w:val="16"/>
                <w:szCs w:val="16"/>
                <w:color w:val="auto"/>
                <w:w w:val="94"/>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rPr>
              <w:t>Inline XBRL Taxonomy Label Linkbase Document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1"/>
        </w:trPr>
        <w:tc>
          <w:tcPr>
            <w:tcW w:w="840" w:type="dxa"/>
            <w:vAlign w:val="bottom"/>
          </w:tcPr>
          <w:p>
            <w:pPr>
              <w:jc w:val="center"/>
              <w:ind w:left="1"/>
              <w:spacing w:after="0"/>
              <w:rPr>
                <w:sz w:val="20"/>
                <w:szCs w:val="20"/>
                <w:color w:val="auto"/>
              </w:rPr>
            </w:pPr>
            <w:r>
              <w:rPr>
                <w:rFonts w:ascii="Arial" w:cs="Arial" w:eastAsia="Arial" w:hAnsi="Arial"/>
                <w:sz w:val="16"/>
                <w:szCs w:val="16"/>
                <w:color w:val="auto"/>
                <w:w w:val="87"/>
              </w:rPr>
              <w:t>101.PRE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rPr>
              <w:t>Inline XBRL Presentation Linkbase Document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90"/>
        </w:trPr>
        <w:tc>
          <w:tcPr>
            <w:tcW w:w="84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w w:val="91"/>
              </w:rPr>
              <w:t>Cover Page Interactive Data File (embedded within the Inline XBRL</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0"/>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13"/>
          </w:tcPr>
          <w:p>
            <w:pPr>
              <w:spacing w:after="0"/>
              <w:rPr>
                <w:sz w:val="20"/>
                <w:szCs w:val="20"/>
                <w:color w:val="auto"/>
              </w:rPr>
            </w:pPr>
            <w:r>
              <w:rPr>
                <w:rFonts w:ascii="Arial" w:cs="Arial" w:eastAsia="Arial" w:hAnsi="Arial"/>
                <w:sz w:val="16"/>
                <w:szCs w:val="16"/>
                <w:color w:val="auto"/>
              </w:rPr>
              <w:t>document)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1" w:lineRule="exact"/>
        <w:rPr>
          <w:sz w:val="20"/>
          <w:szCs w:val="20"/>
          <w:color w:val="auto"/>
        </w:rPr>
      </w:pPr>
    </w:p>
    <w:p>
      <w:pPr>
        <w:ind w:left="240" w:right="399" w:firstLine="6"/>
        <w:spacing w:after="0" w:line="302" w:lineRule="auto"/>
        <w:tabs>
          <w:tab w:leader="none" w:pos="634" w:val="left"/>
        </w:tabs>
        <w:numPr>
          <w:ilvl w:val="0"/>
          <w:numId w:val="9"/>
        </w:numPr>
        <w:rPr>
          <w:rFonts w:ascii="Arial" w:cs="Arial" w:eastAsia="Arial" w:hAnsi="Arial"/>
          <w:sz w:val="15"/>
          <w:szCs w:val="15"/>
          <w:color w:val="auto"/>
        </w:rPr>
      </w:pPr>
      <w:r>
        <w:rPr>
          <w:rFonts w:ascii="Arial" w:cs="Arial" w:eastAsia="Arial" w:hAnsi="Arial"/>
          <w:sz w:val="15"/>
          <w:szCs w:val="15"/>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58420</wp:posOffset>
            </wp:positionV>
            <wp:extent cx="543242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left="240" w:right="459" w:firstLine="568"/>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5760" w:type="dxa"/>
            <w:vAlign w:val="bottom"/>
            <w:gridSpan w:val="2"/>
          </w:tcPr>
          <w:p>
            <w:pPr>
              <w:ind w:left="1580"/>
              <w:spacing w:after="0"/>
              <w:rPr>
                <w:sz w:val="20"/>
                <w:szCs w:val="20"/>
                <w:color w:val="auto"/>
              </w:rPr>
            </w:pPr>
            <w:r>
              <w:rPr>
                <w:rFonts w:ascii="Arial" w:cs="Arial" w:eastAsia="Arial" w:hAnsi="Arial"/>
                <w:sz w:val="16"/>
                <w:szCs w:val="16"/>
                <w:b w:val="1"/>
                <w:bCs w:val="1"/>
                <w:color w:val="auto"/>
              </w:rPr>
              <w:t>TYRA BIOSCIENCES, INC.</w:t>
            </w:r>
          </w:p>
        </w:tc>
        <w:tc>
          <w:tcPr>
            <w:tcW w:w="0" w:type="dxa"/>
            <w:vAlign w:val="bottom"/>
          </w:tcPr>
          <w:p>
            <w:pPr>
              <w:spacing w:after="0"/>
              <w:rPr>
                <w:sz w:val="1"/>
                <w:szCs w:val="1"/>
                <w:color w:val="auto"/>
              </w:rPr>
            </w:pPr>
          </w:p>
        </w:tc>
      </w:tr>
      <w:tr>
        <w:trPr>
          <w:trHeight w:val="415"/>
        </w:trPr>
        <w:tc>
          <w:tcPr>
            <w:tcW w:w="2740" w:type="dxa"/>
            <w:vAlign w:val="bottom"/>
          </w:tcPr>
          <w:p>
            <w:pPr>
              <w:spacing w:after="0"/>
              <w:rPr>
                <w:sz w:val="24"/>
                <w:szCs w:val="24"/>
                <w:color w:val="auto"/>
              </w:rPr>
            </w:pPr>
          </w:p>
        </w:tc>
        <w:tc>
          <w:tcPr>
            <w:tcW w:w="1820" w:type="dxa"/>
            <w:vAlign w:val="bottom"/>
          </w:tcPr>
          <w:p>
            <w:pPr>
              <w:ind w:left="1580"/>
              <w:spacing w:after="0"/>
              <w:rPr>
                <w:sz w:val="20"/>
                <w:szCs w:val="20"/>
                <w:color w:val="auto"/>
              </w:rPr>
            </w:pPr>
            <w:r>
              <w:rPr>
                <w:rFonts w:ascii="Arial" w:cs="Arial" w:eastAsia="Arial" w:hAnsi="Arial"/>
                <w:sz w:val="16"/>
                <w:szCs w:val="16"/>
                <w:color w:val="auto"/>
              </w:rPr>
              <w:t>By</w:t>
            </w:r>
          </w:p>
        </w:tc>
        <w:tc>
          <w:tcPr>
            <w:tcW w:w="3940" w:type="dxa"/>
            <w:vAlign w:val="bottom"/>
            <w:vMerge w:val="restart"/>
          </w:tcPr>
          <w:p>
            <w:pPr>
              <w:jc w:val="center"/>
              <w:spacing w:after="0"/>
              <w:rPr>
                <w:sz w:val="20"/>
                <w:szCs w:val="20"/>
                <w:color w:val="auto"/>
              </w:rPr>
            </w:pPr>
            <w:r>
              <w:rPr>
                <w:rFonts w:ascii="Arial" w:cs="Arial" w:eastAsia="Arial" w:hAnsi="Arial"/>
                <w:sz w:val="16"/>
                <w:szCs w:val="16"/>
                <w:color w:val="auto"/>
                <w:w w:val="89"/>
              </w:rPr>
              <w:t>/s/ Todd Harris, Ph.D.</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Date: May 4, 2023</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1"/>
              </w:rPr>
              <w:t>Todd Harris, Ph.D.</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9"/>
              </w:rPr>
              <w:t>President, Chief Executive Officer, and Director</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0"/>
              </w:rPr>
              <w:t>(Principal Executive Officer)</w:t>
            </w:r>
          </w:p>
        </w:tc>
        <w:tc>
          <w:tcPr>
            <w:tcW w:w="0" w:type="dxa"/>
            <w:vAlign w:val="bottom"/>
          </w:tcPr>
          <w:p>
            <w:pPr>
              <w:spacing w:after="0"/>
              <w:rPr>
                <w:sz w:val="1"/>
                <w:szCs w:val="1"/>
                <w:color w:val="auto"/>
              </w:rPr>
            </w:pPr>
          </w:p>
        </w:tc>
      </w:tr>
      <w:tr>
        <w:trPr>
          <w:trHeight w:val="415"/>
        </w:trPr>
        <w:tc>
          <w:tcPr>
            <w:tcW w:w="2740" w:type="dxa"/>
            <w:vAlign w:val="bottom"/>
          </w:tcPr>
          <w:p>
            <w:pPr>
              <w:spacing w:after="0"/>
              <w:rPr>
                <w:sz w:val="24"/>
                <w:szCs w:val="24"/>
                <w:color w:val="auto"/>
              </w:rPr>
            </w:pPr>
          </w:p>
        </w:tc>
        <w:tc>
          <w:tcPr>
            <w:tcW w:w="1820" w:type="dxa"/>
            <w:vAlign w:val="bottom"/>
          </w:tcPr>
          <w:p>
            <w:pPr>
              <w:ind w:left="1580"/>
              <w:spacing w:after="0"/>
              <w:rPr>
                <w:sz w:val="20"/>
                <w:szCs w:val="20"/>
                <w:color w:val="auto"/>
              </w:rPr>
            </w:pPr>
            <w:r>
              <w:rPr>
                <w:rFonts w:ascii="Arial" w:cs="Arial" w:eastAsia="Arial" w:hAnsi="Arial"/>
                <w:sz w:val="16"/>
                <w:szCs w:val="16"/>
                <w:color w:val="auto"/>
              </w:rPr>
              <w:t>By</w:t>
            </w:r>
          </w:p>
        </w:tc>
        <w:tc>
          <w:tcPr>
            <w:tcW w:w="3940" w:type="dxa"/>
            <w:vAlign w:val="bottom"/>
            <w:vMerge w:val="restart"/>
          </w:tcPr>
          <w:p>
            <w:pPr>
              <w:jc w:val="center"/>
              <w:spacing w:after="0"/>
              <w:rPr>
                <w:sz w:val="20"/>
                <w:szCs w:val="20"/>
                <w:color w:val="auto"/>
              </w:rPr>
            </w:pPr>
            <w:r>
              <w:rPr>
                <w:rFonts w:ascii="Arial" w:cs="Arial" w:eastAsia="Arial" w:hAnsi="Arial"/>
                <w:sz w:val="16"/>
                <w:szCs w:val="16"/>
                <w:color w:val="auto"/>
                <w:w w:val="90"/>
              </w:rPr>
              <w:t>/s/ Alan Fuhrman</w:t>
            </w: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6"/>
                <w:szCs w:val="16"/>
                <w:color w:val="auto"/>
              </w:rPr>
              <w:t>Date: May 4, 2023</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3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635</wp:posOffset>
            </wp:positionV>
            <wp:extent cx="250825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jc w:val="center"/>
        <w:ind w:left="4560"/>
        <w:spacing w:after="0"/>
        <w:rPr>
          <w:sz w:val="20"/>
          <w:szCs w:val="20"/>
          <w:color w:val="auto"/>
        </w:rPr>
      </w:pPr>
      <w:r>
        <w:rPr>
          <w:rFonts w:ascii="Arial" w:cs="Arial" w:eastAsia="Arial" w:hAnsi="Arial"/>
          <w:sz w:val="16"/>
          <w:szCs w:val="16"/>
          <w:b w:val="1"/>
          <w:bCs w:val="1"/>
          <w:color w:val="auto"/>
        </w:rPr>
        <w:t>Alan Fuhrman</w:t>
      </w:r>
    </w:p>
    <w:p>
      <w:pPr>
        <w:spacing w:after="0" w:line="29" w:lineRule="exact"/>
        <w:rPr>
          <w:sz w:val="20"/>
          <w:szCs w:val="20"/>
          <w:color w:val="auto"/>
        </w:rPr>
      </w:pPr>
    </w:p>
    <w:p>
      <w:pPr>
        <w:jc w:val="center"/>
        <w:ind w:left="4560"/>
        <w:spacing w:after="0"/>
        <w:rPr>
          <w:sz w:val="20"/>
          <w:szCs w:val="20"/>
          <w:color w:val="auto"/>
        </w:rPr>
      </w:pPr>
      <w:r>
        <w:rPr>
          <w:rFonts w:ascii="Arial" w:cs="Arial" w:eastAsia="Arial" w:hAnsi="Arial"/>
          <w:sz w:val="16"/>
          <w:szCs w:val="16"/>
          <w:b w:val="1"/>
          <w:bCs w:val="1"/>
          <w:color w:val="auto"/>
        </w:rPr>
        <w:t>Chief Financial Officer</w:t>
      </w:r>
    </w:p>
    <w:p>
      <w:pPr>
        <w:spacing w:after="0" w:line="29" w:lineRule="exact"/>
        <w:rPr>
          <w:sz w:val="20"/>
          <w:szCs w:val="20"/>
          <w:color w:val="auto"/>
        </w:rPr>
      </w:pPr>
    </w:p>
    <w:p>
      <w:pPr>
        <w:jc w:val="center"/>
        <w:ind w:left="4560"/>
        <w:spacing w:after="0"/>
        <w:rPr>
          <w:sz w:val="20"/>
          <w:szCs w:val="20"/>
          <w:color w:val="auto"/>
        </w:rPr>
      </w:pPr>
      <w:r>
        <w:rPr>
          <w:rFonts w:ascii="Arial" w:cs="Arial" w:eastAsia="Arial" w:hAnsi="Arial"/>
          <w:sz w:val="16"/>
          <w:szCs w:val="16"/>
          <w:b w:val="1"/>
          <w:bCs w:val="1"/>
          <w:color w:val="auto"/>
        </w:rPr>
        <w:t>(Principal Financial and Accounting Officer)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58420</wp:posOffset>
            </wp:positionV>
            <wp:extent cx="543242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5432425"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5" w:name="page26"/>
    <w:bookmarkEnd w:id="25"/>
    <w:p>
      <w:pPr>
        <w:jc w:val="right"/>
        <w:ind w:right="259"/>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Todd Harris, certify that:</w:t>
      </w:r>
    </w:p>
    <w:p>
      <w:pPr>
        <w:spacing w:after="0" w:line="194" w:lineRule="exact"/>
        <w:rPr>
          <w:sz w:val="20"/>
          <w:szCs w:val="20"/>
          <w:color w:val="auto"/>
        </w:rPr>
      </w:pPr>
    </w:p>
    <w:p>
      <w:pPr>
        <w:ind w:left="640" w:hanging="394"/>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Tyra Biosciences, Inc.;</w:t>
      </w:r>
    </w:p>
    <w:p>
      <w:pPr>
        <w:spacing w:after="0" w:line="194" w:lineRule="exact"/>
        <w:rPr>
          <w:rFonts w:ascii="Arial" w:cs="Arial" w:eastAsia="Arial" w:hAnsi="Arial"/>
          <w:sz w:val="16"/>
          <w:szCs w:val="16"/>
          <w:color w:val="auto"/>
        </w:rPr>
      </w:pPr>
    </w:p>
    <w:p>
      <w:pPr>
        <w:ind w:left="640" w:right="459" w:hanging="394"/>
        <w:spacing w:after="0" w:line="257"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6"/>
          <w:szCs w:val="16"/>
          <w:color w:val="auto"/>
        </w:rPr>
      </w:pPr>
    </w:p>
    <w:p>
      <w:pPr>
        <w:ind w:left="640" w:right="519" w:hanging="394"/>
        <w:spacing w:after="0" w:line="257"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6"/>
          <w:szCs w:val="16"/>
          <w:color w:val="auto"/>
        </w:rPr>
      </w:pPr>
    </w:p>
    <w:p>
      <w:pPr>
        <w:ind w:left="640" w:right="299" w:hanging="394"/>
        <w:spacing w:after="0" w:line="257"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6"/>
          <w:szCs w:val="16"/>
          <w:color w:val="auto"/>
        </w:rPr>
      </w:pPr>
    </w:p>
    <w:p>
      <w:pPr>
        <w:ind w:left="1020" w:right="279" w:hanging="388"/>
        <w:spacing w:after="0" w:line="311" w:lineRule="auto"/>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4"/>
          <w:szCs w:val="14"/>
          <w:color w:val="auto"/>
        </w:rPr>
      </w:pPr>
    </w:p>
    <w:p>
      <w:pPr>
        <w:ind w:left="1020" w:right="539" w:hanging="388"/>
        <w:spacing w:after="0" w:line="311" w:lineRule="auto"/>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4"/>
          <w:szCs w:val="14"/>
          <w:color w:val="auto"/>
        </w:rPr>
      </w:pPr>
    </w:p>
    <w:p>
      <w:pPr>
        <w:ind w:left="1020" w:right="419" w:hanging="388"/>
        <w:spacing w:after="0" w:line="257"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6"/>
          <w:szCs w:val="16"/>
          <w:color w:val="auto"/>
        </w:rPr>
      </w:pPr>
    </w:p>
    <w:p>
      <w:pPr>
        <w:ind w:left="1020" w:right="259" w:hanging="388"/>
        <w:spacing w:after="0" w:line="311" w:lineRule="auto"/>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4"/>
          <w:szCs w:val="14"/>
          <w:color w:val="auto"/>
        </w:rPr>
      </w:pPr>
    </w:p>
    <w:p>
      <w:pPr>
        <w:ind w:left="640" w:right="619" w:hanging="394"/>
        <w:spacing w:after="0" w:line="257"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6"/>
          <w:szCs w:val="16"/>
          <w:color w:val="auto"/>
        </w:rPr>
      </w:pPr>
    </w:p>
    <w:p>
      <w:pPr>
        <w:ind w:left="1020" w:right="359" w:hanging="388"/>
        <w:spacing w:after="0" w:line="257"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6"/>
          <w:szCs w:val="16"/>
          <w:color w:val="auto"/>
        </w:rPr>
      </w:pPr>
    </w:p>
    <w:p>
      <w:pPr>
        <w:ind w:left="1020" w:right="679" w:hanging="388"/>
        <w:spacing w:after="0" w:line="268"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820" w:type="dxa"/>
            <w:vAlign w:val="bottom"/>
          </w:tcPr>
          <w:p>
            <w:pPr>
              <w:ind w:left="1580"/>
              <w:spacing w:after="0"/>
              <w:rPr>
                <w:sz w:val="20"/>
                <w:szCs w:val="20"/>
                <w:color w:val="auto"/>
              </w:rPr>
            </w:pPr>
            <w:r>
              <w:rPr>
                <w:rFonts w:ascii="Arial" w:cs="Arial" w:eastAsia="Arial" w:hAnsi="Arial"/>
                <w:sz w:val="16"/>
                <w:szCs w:val="16"/>
                <w:color w:val="auto"/>
              </w:rPr>
              <w:t>By</w:t>
            </w:r>
          </w:p>
        </w:tc>
        <w:tc>
          <w:tcPr>
            <w:tcW w:w="3940" w:type="dxa"/>
            <w:vAlign w:val="bottom"/>
            <w:vMerge w:val="restart"/>
          </w:tcPr>
          <w:p>
            <w:pPr>
              <w:jc w:val="center"/>
              <w:spacing w:after="0"/>
              <w:rPr>
                <w:sz w:val="20"/>
                <w:szCs w:val="20"/>
                <w:color w:val="auto"/>
              </w:rPr>
            </w:pPr>
            <w:r>
              <w:rPr>
                <w:rFonts w:ascii="Arial" w:cs="Arial" w:eastAsia="Arial" w:hAnsi="Arial"/>
                <w:sz w:val="16"/>
                <w:szCs w:val="16"/>
                <w:color w:val="auto"/>
                <w:w w:val="89"/>
              </w:rPr>
              <w:t>/s/ Todd Harris, Ph.D.</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6"/>
                <w:szCs w:val="16"/>
                <w:color w:val="auto"/>
              </w:rPr>
              <w:t>Date: May 4, 2023</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9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3"/>
              </w:rPr>
              <w:t>Todd Harris, Ph.D.</w:t>
            </w: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9"/>
              </w:rPr>
              <w:t>President, Chief Executive Officer, and Director</w:t>
            </w:r>
          </w:p>
        </w:tc>
        <w:tc>
          <w:tcPr>
            <w:tcW w:w="0" w:type="dxa"/>
            <w:vAlign w:val="bottom"/>
          </w:tcPr>
          <w:p>
            <w:pPr>
              <w:spacing w:after="0"/>
              <w:rPr>
                <w:sz w:val="1"/>
                <w:szCs w:val="1"/>
                <w:color w:val="auto"/>
              </w:rPr>
            </w:pPr>
          </w:p>
        </w:tc>
      </w:tr>
      <w:tr>
        <w:trPr>
          <w:trHeight w:val="679"/>
        </w:trPr>
        <w:tc>
          <w:tcPr>
            <w:tcW w:w="27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6" w:name="page27"/>
    <w:bookmarkEnd w:id="26"/>
    <w:p>
      <w:pPr>
        <w:jc w:val="right"/>
        <w:ind w:right="259"/>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Alan Fuhrman, certify that:</w:t>
      </w:r>
    </w:p>
    <w:p>
      <w:pPr>
        <w:spacing w:after="0" w:line="194" w:lineRule="exact"/>
        <w:rPr>
          <w:sz w:val="20"/>
          <w:szCs w:val="20"/>
          <w:color w:val="auto"/>
        </w:rPr>
      </w:pPr>
    </w:p>
    <w:p>
      <w:pPr>
        <w:ind w:left="640" w:hanging="394"/>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Tyra Biosciences, Inc.;</w:t>
      </w:r>
    </w:p>
    <w:p>
      <w:pPr>
        <w:spacing w:after="0" w:line="194" w:lineRule="exact"/>
        <w:rPr>
          <w:rFonts w:ascii="Arial" w:cs="Arial" w:eastAsia="Arial" w:hAnsi="Arial"/>
          <w:sz w:val="16"/>
          <w:szCs w:val="16"/>
          <w:color w:val="auto"/>
        </w:rPr>
      </w:pPr>
    </w:p>
    <w:p>
      <w:pPr>
        <w:ind w:left="640" w:right="459" w:hanging="394"/>
        <w:spacing w:after="0" w:line="257"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6"/>
          <w:szCs w:val="16"/>
          <w:color w:val="auto"/>
        </w:rPr>
      </w:pPr>
    </w:p>
    <w:p>
      <w:pPr>
        <w:ind w:left="640" w:right="519" w:hanging="394"/>
        <w:spacing w:after="0" w:line="257"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6"/>
          <w:szCs w:val="16"/>
          <w:color w:val="auto"/>
        </w:rPr>
      </w:pPr>
    </w:p>
    <w:p>
      <w:pPr>
        <w:ind w:left="640" w:right="299" w:hanging="394"/>
        <w:spacing w:after="0" w:line="257"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6"/>
          <w:szCs w:val="16"/>
          <w:color w:val="auto"/>
        </w:rPr>
      </w:pPr>
    </w:p>
    <w:p>
      <w:pPr>
        <w:ind w:left="1020" w:right="279" w:hanging="388"/>
        <w:spacing w:after="0" w:line="311" w:lineRule="auto"/>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4"/>
          <w:szCs w:val="14"/>
          <w:color w:val="auto"/>
        </w:rPr>
      </w:pPr>
    </w:p>
    <w:p>
      <w:pPr>
        <w:ind w:left="1020" w:right="539" w:hanging="388"/>
        <w:spacing w:after="0" w:line="311" w:lineRule="auto"/>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4"/>
          <w:szCs w:val="14"/>
          <w:color w:val="auto"/>
        </w:rPr>
      </w:pPr>
    </w:p>
    <w:p>
      <w:pPr>
        <w:ind w:left="1020" w:right="419" w:hanging="388"/>
        <w:spacing w:after="0" w:line="257"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6"/>
          <w:szCs w:val="16"/>
          <w:color w:val="auto"/>
        </w:rPr>
      </w:pPr>
    </w:p>
    <w:p>
      <w:pPr>
        <w:ind w:left="1020" w:right="259" w:hanging="388"/>
        <w:spacing w:after="0" w:line="311" w:lineRule="auto"/>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4"/>
          <w:szCs w:val="14"/>
          <w:color w:val="auto"/>
        </w:rPr>
      </w:pPr>
    </w:p>
    <w:p>
      <w:pPr>
        <w:ind w:left="640" w:right="619" w:hanging="394"/>
        <w:spacing w:after="0" w:line="257"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6"/>
          <w:szCs w:val="16"/>
          <w:color w:val="auto"/>
        </w:rPr>
      </w:pPr>
    </w:p>
    <w:p>
      <w:pPr>
        <w:ind w:left="1020" w:right="359" w:hanging="388"/>
        <w:spacing w:after="0" w:line="257"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6"/>
          <w:szCs w:val="16"/>
          <w:color w:val="auto"/>
        </w:rPr>
      </w:pPr>
    </w:p>
    <w:p>
      <w:pPr>
        <w:ind w:left="1020" w:right="679" w:hanging="388"/>
        <w:spacing w:after="0" w:line="268"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820" w:type="dxa"/>
            <w:vAlign w:val="bottom"/>
          </w:tcPr>
          <w:p>
            <w:pPr>
              <w:ind w:left="1580"/>
              <w:spacing w:after="0"/>
              <w:rPr>
                <w:sz w:val="20"/>
                <w:szCs w:val="20"/>
                <w:color w:val="auto"/>
              </w:rPr>
            </w:pPr>
            <w:r>
              <w:rPr>
                <w:rFonts w:ascii="Arial" w:cs="Arial" w:eastAsia="Arial" w:hAnsi="Arial"/>
                <w:sz w:val="16"/>
                <w:szCs w:val="16"/>
                <w:color w:val="auto"/>
              </w:rPr>
              <w:t>By</w:t>
            </w:r>
          </w:p>
        </w:tc>
        <w:tc>
          <w:tcPr>
            <w:tcW w:w="3940" w:type="dxa"/>
            <w:vAlign w:val="bottom"/>
            <w:vMerge w:val="restart"/>
          </w:tcPr>
          <w:p>
            <w:pPr>
              <w:jc w:val="center"/>
              <w:spacing w:after="0"/>
              <w:rPr>
                <w:sz w:val="20"/>
                <w:szCs w:val="20"/>
                <w:color w:val="auto"/>
              </w:rPr>
            </w:pPr>
            <w:r>
              <w:rPr>
                <w:rFonts w:ascii="Arial" w:cs="Arial" w:eastAsia="Arial" w:hAnsi="Arial"/>
                <w:sz w:val="16"/>
                <w:szCs w:val="16"/>
                <w:color w:val="auto"/>
                <w:w w:val="90"/>
              </w:rPr>
              <w:t>/s/ Alan Fuhrman</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6"/>
                <w:szCs w:val="16"/>
                <w:color w:val="auto"/>
              </w:rPr>
              <w:t>Date: May 4, 2023</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9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2"/>
              </w:rPr>
              <w:t>Alan Fuhrman</w:t>
            </w: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1"/>
              </w:rPr>
              <w:t>Chief Financial Officer</w:t>
            </w:r>
          </w:p>
        </w:tc>
        <w:tc>
          <w:tcPr>
            <w:tcW w:w="0" w:type="dxa"/>
            <w:vAlign w:val="bottom"/>
          </w:tcPr>
          <w:p>
            <w:pPr>
              <w:spacing w:after="0"/>
              <w:rPr>
                <w:sz w:val="1"/>
                <w:szCs w:val="1"/>
                <w:color w:val="auto"/>
              </w:rPr>
            </w:pPr>
          </w:p>
        </w:tc>
      </w:tr>
      <w:tr>
        <w:trPr>
          <w:trHeight w:val="679"/>
        </w:trPr>
        <w:tc>
          <w:tcPr>
            <w:tcW w:w="27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7" w:name="page28"/>
    <w:bookmarkEnd w:id="27"/>
    <w:p>
      <w:pPr>
        <w:jc w:val="right"/>
        <w:ind w:right="259"/>
        <w:spacing w:after="0"/>
        <w:rPr>
          <w:sz w:val="20"/>
          <w:szCs w:val="20"/>
          <w:color w:val="auto"/>
        </w:rPr>
      </w:pPr>
      <w:r>
        <w:rPr>
          <w:rFonts w:ascii="Arial" w:cs="Arial" w:eastAsia="Arial" w:hAnsi="Arial"/>
          <w:sz w:val="16"/>
          <w:szCs w:val="16"/>
          <w:b w:val="1"/>
          <w:bCs w:val="1"/>
          <w:color w:val="auto"/>
        </w:rPr>
        <w:t>Exhibit 32.1</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0"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3" w:lineRule="exact"/>
        <w:rPr>
          <w:sz w:val="20"/>
          <w:szCs w:val="20"/>
          <w:color w:val="auto"/>
        </w:rPr>
      </w:pPr>
    </w:p>
    <w:p>
      <w:pPr>
        <w:ind w:left="240" w:right="359" w:firstLine="386"/>
        <w:spacing w:after="0" w:line="257" w:lineRule="auto"/>
        <w:rPr>
          <w:sz w:val="20"/>
          <w:szCs w:val="20"/>
          <w:color w:val="auto"/>
        </w:rPr>
      </w:pPr>
      <w:r>
        <w:rPr>
          <w:rFonts w:ascii="Arial" w:cs="Arial" w:eastAsia="Arial" w:hAnsi="Arial"/>
          <w:sz w:val="16"/>
          <w:szCs w:val="16"/>
          <w:color w:val="auto"/>
        </w:rPr>
        <w:t>In connection with the Quarterly Report of Tyra Biosciences, Inc. (the “Company”) on Form 10-Q for the period ending March 31, 2023 as filed with the Securities and Exchange Commission on the date hereof (the “Report”), I certify, pursuant to 18 U.S.C. § 1350, as adopted pursuant to § 906 of the Sarbanes-Oxley Act of 2002, that:</w:t>
      </w:r>
    </w:p>
    <w:p>
      <w:pPr>
        <w:spacing w:after="0" w:line="166" w:lineRule="exact"/>
        <w:rPr>
          <w:sz w:val="20"/>
          <w:szCs w:val="20"/>
          <w:color w:val="auto"/>
        </w:rPr>
      </w:pPr>
    </w:p>
    <w:p>
      <w:pPr>
        <w:ind w:left="1020" w:hanging="388"/>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17" w:lineRule="exact"/>
        <w:rPr>
          <w:rFonts w:ascii="Arial" w:cs="Arial" w:eastAsia="Arial" w:hAnsi="Arial"/>
          <w:sz w:val="14"/>
          <w:szCs w:val="14"/>
          <w:color w:val="auto"/>
        </w:rPr>
      </w:pPr>
    </w:p>
    <w:p>
      <w:pPr>
        <w:ind w:left="1020" w:right="699" w:hanging="388"/>
        <w:spacing w:after="0" w:line="268"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820" w:type="dxa"/>
            <w:vAlign w:val="bottom"/>
          </w:tcPr>
          <w:p>
            <w:pPr>
              <w:ind w:left="1580"/>
              <w:spacing w:after="0"/>
              <w:rPr>
                <w:sz w:val="20"/>
                <w:szCs w:val="20"/>
                <w:color w:val="auto"/>
              </w:rPr>
            </w:pPr>
            <w:r>
              <w:rPr>
                <w:rFonts w:ascii="Arial" w:cs="Arial" w:eastAsia="Arial" w:hAnsi="Arial"/>
                <w:sz w:val="16"/>
                <w:szCs w:val="16"/>
                <w:color w:val="auto"/>
              </w:rPr>
              <w:t>By</w:t>
            </w:r>
          </w:p>
        </w:tc>
        <w:tc>
          <w:tcPr>
            <w:tcW w:w="3940" w:type="dxa"/>
            <w:vAlign w:val="bottom"/>
            <w:vMerge w:val="restart"/>
          </w:tcPr>
          <w:p>
            <w:pPr>
              <w:jc w:val="center"/>
              <w:spacing w:after="0"/>
              <w:rPr>
                <w:sz w:val="20"/>
                <w:szCs w:val="20"/>
                <w:color w:val="auto"/>
              </w:rPr>
            </w:pPr>
            <w:r>
              <w:rPr>
                <w:rFonts w:ascii="Arial" w:cs="Arial" w:eastAsia="Arial" w:hAnsi="Arial"/>
                <w:sz w:val="16"/>
                <w:szCs w:val="16"/>
                <w:color w:val="auto"/>
                <w:w w:val="89"/>
              </w:rPr>
              <w:t>/s/ Todd Harris, Ph.D.</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6"/>
                <w:szCs w:val="16"/>
                <w:color w:val="auto"/>
              </w:rPr>
              <w:t>Date: May 4, 2023</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9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3"/>
              </w:rPr>
              <w:t>Todd Harris, Ph.D.</w:t>
            </w: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9"/>
              </w:rPr>
              <w:t>President, Chief Executive Officer, and Director</w:t>
            </w:r>
          </w:p>
        </w:tc>
        <w:tc>
          <w:tcPr>
            <w:tcW w:w="0" w:type="dxa"/>
            <w:vAlign w:val="bottom"/>
          </w:tcPr>
          <w:p>
            <w:pPr>
              <w:spacing w:after="0"/>
              <w:rPr>
                <w:sz w:val="1"/>
                <w:szCs w:val="1"/>
                <w:color w:val="auto"/>
              </w:rPr>
            </w:pPr>
          </w:p>
        </w:tc>
      </w:tr>
      <w:tr>
        <w:trPr>
          <w:trHeight w:val="490"/>
        </w:trPr>
        <w:tc>
          <w:tcPr>
            <w:tcW w:w="27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8" w:name="page29"/>
    <w:bookmarkEnd w:id="28"/>
    <w:p>
      <w:pPr>
        <w:jc w:val="right"/>
        <w:ind w:right="259"/>
        <w:spacing w:after="0"/>
        <w:rPr>
          <w:sz w:val="20"/>
          <w:szCs w:val="20"/>
          <w:color w:val="auto"/>
        </w:rPr>
      </w:pPr>
      <w:r>
        <w:rPr>
          <w:rFonts w:ascii="Arial" w:cs="Arial" w:eastAsia="Arial" w:hAnsi="Arial"/>
          <w:sz w:val="16"/>
          <w:szCs w:val="16"/>
          <w:b w:val="1"/>
          <w:bCs w:val="1"/>
          <w:color w:val="auto"/>
        </w:rPr>
        <w:t>Exhibit 32.2</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0"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3" w:lineRule="exact"/>
        <w:rPr>
          <w:sz w:val="20"/>
          <w:szCs w:val="20"/>
          <w:color w:val="auto"/>
        </w:rPr>
      </w:pPr>
    </w:p>
    <w:p>
      <w:pPr>
        <w:ind w:left="240" w:right="359" w:firstLine="386"/>
        <w:spacing w:after="0" w:line="257" w:lineRule="auto"/>
        <w:rPr>
          <w:sz w:val="20"/>
          <w:szCs w:val="20"/>
          <w:color w:val="auto"/>
        </w:rPr>
      </w:pPr>
      <w:r>
        <w:rPr>
          <w:rFonts w:ascii="Arial" w:cs="Arial" w:eastAsia="Arial" w:hAnsi="Arial"/>
          <w:sz w:val="16"/>
          <w:szCs w:val="16"/>
          <w:color w:val="auto"/>
        </w:rPr>
        <w:t>In connection with the Quarterly Report of Tyra Biosciences, Inc. (the “Company”) on Form 10-Q for the period ending March 31, 2023 as filed with the Securities and Exchange Commission on the date hereof (the “Report”), I certify, pursuant to 18 U.S.C. § 1350, as adopted pursuant to § 906 of the Sarbanes-Oxley Act of 2002, that:</w:t>
      </w:r>
    </w:p>
    <w:p>
      <w:pPr>
        <w:spacing w:after="0" w:line="166" w:lineRule="exact"/>
        <w:rPr>
          <w:sz w:val="20"/>
          <w:szCs w:val="20"/>
          <w:color w:val="auto"/>
        </w:rPr>
      </w:pPr>
    </w:p>
    <w:p>
      <w:pPr>
        <w:ind w:left="1020" w:hanging="388"/>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17" w:lineRule="exact"/>
        <w:rPr>
          <w:rFonts w:ascii="Arial" w:cs="Arial" w:eastAsia="Arial" w:hAnsi="Arial"/>
          <w:sz w:val="14"/>
          <w:szCs w:val="14"/>
          <w:color w:val="auto"/>
        </w:rPr>
      </w:pPr>
    </w:p>
    <w:p>
      <w:pPr>
        <w:ind w:left="1020" w:right="699" w:hanging="388"/>
        <w:spacing w:after="0" w:line="268"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820" w:type="dxa"/>
            <w:vAlign w:val="bottom"/>
          </w:tcPr>
          <w:p>
            <w:pPr>
              <w:ind w:left="1580"/>
              <w:spacing w:after="0"/>
              <w:rPr>
                <w:sz w:val="20"/>
                <w:szCs w:val="20"/>
                <w:color w:val="auto"/>
              </w:rPr>
            </w:pPr>
            <w:r>
              <w:rPr>
                <w:rFonts w:ascii="Arial" w:cs="Arial" w:eastAsia="Arial" w:hAnsi="Arial"/>
                <w:sz w:val="16"/>
                <w:szCs w:val="16"/>
                <w:color w:val="auto"/>
              </w:rPr>
              <w:t>By</w:t>
            </w:r>
          </w:p>
        </w:tc>
        <w:tc>
          <w:tcPr>
            <w:tcW w:w="3940" w:type="dxa"/>
            <w:vAlign w:val="bottom"/>
            <w:vMerge w:val="restart"/>
          </w:tcPr>
          <w:p>
            <w:pPr>
              <w:jc w:val="center"/>
              <w:spacing w:after="0"/>
              <w:rPr>
                <w:sz w:val="20"/>
                <w:szCs w:val="20"/>
                <w:color w:val="auto"/>
              </w:rPr>
            </w:pPr>
            <w:r>
              <w:rPr>
                <w:rFonts w:ascii="Arial" w:cs="Arial" w:eastAsia="Arial" w:hAnsi="Arial"/>
                <w:sz w:val="16"/>
                <w:szCs w:val="16"/>
                <w:color w:val="auto"/>
                <w:w w:val="90"/>
              </w:rPr>
              <w:t>/s/ Alan Fuhrman</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6"/>
                <w:szCs w:val="16"/>
                <w:color w:val="auto"/>
              </w:rPr>
              <w:t>Date: May 4, 2023</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9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2"/>
              </w:rPr>
              <w:t>Alan Fuhrman</w:t>
            </w: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1"/>
              </w:rPr>
              <w:t>Chief Financial Officer</w:t>
            </w:r>
          </w:p>
        </w:tc>
        <w:tc>
          <w:tcPr>
            <w:tcW w:w="0" w:type="dxa"/>
            <w:vAlign w:val="bottom"/>
          </w:tcPr>
          <w:p>
            <w:pPr>
              <w:spacing w:after="0"/>
              <w:rPr>
                <w:sz w:val="1"/>
                <w:szCs w:val="1"/>
                <w:color w:val="auto"/>
              </w:rPr>
            </w:pPr>
          </w:p>
        </w:tc>
      </w:tr>
      <w:tr>
        <w:trPr>
          <w:trHeight w:val="490"/>
        </w:trPr>
        <w:tc>
          <w:tcPr>
            <w:tcW w:w="27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07" Type="http://schemas.openxmlformats.org/officeDocument/2006/relationships/hyperlink" Target="https://www.sec.gov/Archives/edgar/data/1863127/000119312521276124/d220261dex31.htm" TargetMode="External"/><Relationship Id="rId108" Type="http://schemas.openxmlformats.org/officeDocument/2006/relationships/hyperlink" Target="https://www.sec.gov/Archives/edgar/data/1863127/000119312521276124/d220261dex32.htm" TargetMode="External"/><Relationship Id="rId109" Type="http://schemas.openxmlformats.org/officeDocument/2006/relationships/hyperlink" Target="https://www.sec.gov/Archives/edgar/data/1863127/000119312521252729/d189651dex41.htm" TargetMode="External"/><Relationship Id="rId110" Type="http://schemas.openxmlformats.org/officeDocument/2006/relationships/hyperlink" Target="https://www.sec.gov/Archives/edgar/data/1863127/000119312521268272/d18965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2023-05-04T15:53:58Z</dcterms:created>
  <dcterms:modified xsi:type="dcterms:W3CDTF">2023-05-04T15:53:58Z</dcterms:modified>
</cp:coreProperties>
</file>