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rFonts w:ascii="Times New Roman" w:hAnsi="Times New Roman"/>
          <w:b/>
          <w:color w:val="000000"/>
          <w:sz w:val="4"/>
        </w:rPr>
      </w:pPr>
      <w:bookmarkStart w:id="0" w:name="tyra-20230930.htm"/>
      <w:bookmarkStart w:id="1" w:name="kstyra20230930"/>
      <w:bookmarkEnd w:id="0"/>
      <w:bookmarkEnd w:id="1"/>
      <w:r>
        <w:rPr>
          <w:rFonts w:ascii="Times New Roman" w:hAnsi="Times New Roman"/>
          <w:b/>
          <w:color w:val="000000"/>
          <w:sz w:val="4"/>
        </w:rPr>
        <w:t>l</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ind w:left="4320" w:right="4320" w:hanging="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ind w:left="4320" w:right="4320" w:hanging="0"/>
        <w:jc w:val="center"/>
        <w:rPr/>
      </w:pPr>
      <w:r>
        <w:rPr/>
        <w:t> </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 to 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001-40800</w:t>
      </w:r>
    </w:p>
    <w:p>
      <w:pPr>
        <w:pStyle w:val="TextBody"/>
        <w:pBdr>
          <w:bottom w:val="single" w:sz="4" w:space="1" w:color="000000"/>
        </w:pBdr>
        <w:bidi w:val="0"/>
        <w:ind w:left="4320" w:right="4320" w:hanging="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TYRA BIOSCIENCES,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ind w:left="4320" w:right="4320" w:hanging="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83-1476348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2656 State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Carlsbad,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92008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(619) 728-4760</w:t>
      </w:r>
    </w:p>
    <w:p>
      <w:pPr>
        <w:pStyle w:val="TextBody"/>
        <w:pBdr>
          <w:bottom w:val="single" w:sz="4" w:space="1" w:color="000000"/>
        </w:pBdr>
        <w:bidi w:val="0"/>
        <w:ind w:left="4320" w:right="4320" w:hanging="0"/>
        <w:jc w:val="center"/>
        <w:rPr/>
      </w:pPr>
      <w:r>
        <w:rPr/>
        <w:t> </w:t>
      </w:r>
    </w:p>
    <w:p>
      <w:pPr>
        <w:pStyle w:val="TextBody"/>
        <w:bidi w:val="0"/>
        <w:spacing w:before="80" w:after="283"/>
        <w:ind w:left="0" w:right="0" w:firstLine="576"/>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60" w:type="dxa"/>
        <w:jc w:val="left"/>
        <w:tblInd w:w="0" w:type="dxa"/>
        <w:tblLayout w:type="fixed"/>
        <w:tblCellMar>
          <w:top w:w="28" w:type="dxa"/>
          <w:left w:w="28" w:type="dxa"/>
          <w:bottom w:w="28" w:type="dxa"/>
          <w:right w:w="28" w:type="dxa"/>
        </w:tblCellMar>
      </w:tblPr>
      <w:tblGrid>
        <w:gridCol w:w="3526"/>
        <w:gridCol w:w="146"/>
        <w:gridCol w:w="826"/>
        <w:gridCol w:w="146"/>
        <w:gridCol w:w="3316"/>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$0.0001 par value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TYRA</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Select Market</w:t>
            </w:r>
          </w:p>
        </w:tc>
      </w:tr>
    </w:tbl>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ind w:left="0" w:right="0" w:firstLine="576"/>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8"/>
        </w:rPr>
        <w:t>No ☐</w:t>
      </w:r>
    </w:p>
    <w:p>
      <w:pPr>
        <w:pStyle w:val="TextBody"/>
        <w:bidi w:val="0"/>
        <w:spacing w:before="80" w:after="283"/>
        <w:ind w:left="0" w:right="0" w:firstLine="576"/>
        <w:jc w:val="left"/>
        <w:rPr>
          <w:rFonts w:ascii="Times New Roman" w:hAnsi="Times New Roman"/>
          <w:b w:val="false"/>
          <w:color w:val="000000"/>
          <w:sz w:val="18"/>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576"/>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ind w:left="0" w:right="0" w:firstLine="576"/>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ind w:left="0" w:right="0" w:firstLine="576"/>
        <w:jc w:val="left"/>
        <w:rPr>
          <w:rFonts w:ascii="Times New Roman" w:hAnsi="Times New Roman"/>
          <w:sz w:val="20"/>
        </w:rPr>
      </w:pPr>
      <w:r>
        <w:rPr>
          <w:rFonts w:ascii="Times New Roman" w:hAnsi="Times New Roman"/>
          <w:b w:val="false"/>
          <w:color w:val="000000"/>
          <w:sz w:val="18"/>
        </w:rPr>
        <w:t>As of November 6, 2023, the registrant had 43,058,747</w:t>
      </w:r>
      <w:r>
        <w:rPr>
          <w:rFonts w:ascii="Times New Roman" w:hAnsi="Times New Roman"/>
          <w:color w:val="000000"/>
          <w:sz w:val="20"/>
        </w:rPr>
        <w:t xml:space="preserve"> </w:t>
      </w:r>
      <w:r>
        <w:rPr>
          <w:rFonts w:ascii="Times New Roman" w:hAnsi="Times New Roman"/>
          <w:b w:val="false"/>
          <w:color w:val="000000"/>
          <w:sz w:val="18"/>
        </w:rPr>
        <w:t>shares of common stock, $0.0001</w:t>
      </w:r>
      <w:r>
        <w:rPr>
          <w:rFonts w:ascii="Times New Roman" w:hAnsi="Times New Roman"/>
          <w:color w:val="000000"/>
          <w:sz w:val="20"/>
        </w:rPr>
        <w:t xml:space="preserve"> </w:t>
      </w:r>
      <w:r>
        <w:rPr>
          <w:rFonts w:ascii="Times New Roman" w:hAnsi="Times New Roman"/>
          <w:b w:val="false"/>
          <w:color w:val="000000"/>
          <w:sz w:val="18"/>
        </w:rPr>
        <w:t>par value per share, outstanding.</w:t>
      </w:r>
    </w:p>
    <w:p>
      <w:pPr>
        <w:pStyle w:val="TextBody"/>
        <w:pBdr>
          <w:bottom w:val="double" w:sz="6" w:space="1" w:color="000000"/>
        </w:pBdr>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886"/>
        <w:gridCol w:w="7366"/>
        <w:gridCol w:w="70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0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137" w:right="0" w:firstLine="137"/>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b w:val="false"/>
                  <w:color w:val="0000FF"/>
                  <w:sz w:val="20"/>
                  <w:u w:val="single"/>
                </w:rPr>
                <w:t>FINANCIAL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b w:val="false"/>
                  <w:color w:val="0000FF"/>
                  <w:sz w:val="20"/>
                  <w:u w:val="single"/>
                </w:rPr>
                <w:t>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b w:val="false"/>
                  <w:color w:val="0000FF"/>
                  <w:sz w:val="20"/>
                  <w:u w:val="single"/>
                </w:rPr>
                <w:t>Condensed Balance Sheets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_loss">
              <w:r>
                <w:rPr>
                  <w:rStyle w:val="InternetLink"/>
                  <w:rFonts w:ascii="Times New Roman" w:hAnsi="Times New Roman"/>
                  <w:b w:val="false"/>
                  <w:color w:val="0000FF"/>
                  <w:sz w:val="20"/>
                  <w:u w:val="single"/>
                </w:rPr>
                <w:t>Condensed Statements of Operations and Comprehensive Loss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equity">
              <w:r>
                <w:rPr>
                  <w:rStyle w:val="InternetLink"/>
                  <w:rFonts w:ascii="Times New Roman" w:hAnsi="Times New Roman"/>
                  <w:b w:val="false"/>
                  <w:color w:val="0000FF"/>
                  <w:sz w:val="20"/>
                  <w:u w:val="single"/>
                </w:rPr>
                <w:t>Condensed Statements of Stockholders' Equity</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cash_flows">
              <w:r>
                <w:rPr>
                  <w:rStyle w:val="InternetLink"/>
                  <w:rFonts w:ascii="Times New Roman" w:hAnsi="Times New Roman"/>
                  <w:b w:val="false"/>
                  <w:color w:val="0000FF"/>
                  <w:sz w:val="20"/>
                  <w:u w:val="single"/>
                </w:rPr>
                <w:t>Condensed Statements of Cash Flows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b w:val="false"/>
                  <w:color w:val="0000FF"/>
                  <w:sz w:val="20"/>
                  <w:u w:val="single"/>
                </w:rPr>
                <w:t>Notes to the Condensed Financial Statements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b w:val="false"/>
                  <w:color w:val="0000FF"/>
                  <w:sz w:val="20"/>
                  <w:u w:val="single"/>
                </w:rPr>
                <w:t>Management’s Discussion and Analysis of Financial Condition and Results of Operations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b w:val="false"/>
                  <w:color w:val="0000FF"/>
                  <w:sz w:val="20"/>
                  <w:u w:val="single"/>
                </w:rPr>
                <w:t>Quantitative and Qualitative Disclosures About Market Risk</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b w:val="false"/>
                  <w:color w:val="0000FF"/>
                  <w:sz w:val="20"/>
                  <w:u w:val="single"/>
                </w:rPr>
                <w:t>Controls and Procedures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val="false"/>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b w:val="false"/>
                  <w:color w:val="0000FF"/>
                  <w:sz w:val="20"/>
                  <w:u w:val="single"/>
                </w:rPr>
                <w:t>Legal Proceedings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b w:val="false"/>
                  <w:color w:val="0000FF"/>
                  <w:sz w:val="20"/>
                  <w:u w:val="single"/>
                </w:rPr>
                <w:t>Risk Factors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b w:val="false"/>
                  <w:color w:val="0000FF"/>
                  <w:sz w:val="20"/>
                  <w:u w:val="single"/>
                </w:rPr>
                <w:t>Unregistered Sales of Equity Securities and Use of Proceeds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b w:val="false"/>
                  <w:color w:val="0000FF"/>
                  <w:sz w:val="20"/>
                  <w:u w:val="single"/>
                </w:rPr>
                <w:t>Defaults Upon Senior Securities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b w:val="false"/>
                  <w:color w:val="0000FF"/>
                  <w:sz w:val="20"/>
                  <w:u w:val="single"/>
                </w:rPr>
                <w:t>Mine Safety Disclosures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b w:val="false"/>
                  <w:color w:val="0000FF"/>
                  <w:sz w:val="20"/>
                  <w:u w:val="single"/>
                </w:rPr>
                <w:t>Other Information</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b w:val="false"/>
                  <w:color w:val="0000FF"/>
                  <w:sz w:val="20"/>
                  <w:u w:val="single"/>
                </w:rPr>
                <w:t>Exhibits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bl>
    <w:p>
      <w:pPr>
        <w:pStyle w:val="TextBody"/>
        <w:bidi w:val="0"/>
        <w:spacing w:before="240" w:after="283"/>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2" w:name="i_item1"/>
      <w:bookmarkEnd w:id="2"/>
      <w:r>
        <w:rPr>
          <w:rFonts w:ascii="Times New Roman" w:hAnsi="Times New Roman"/>
          <w:b/>
          <w:color w:val="000000"/>
          <w:sz w:val="20"/>
        </w:rPr>
        <w:t>Item 1. Condensed Financial Statements</w:t>
      </w:r>
    </w:p>
    <w:p>
      <w:pPr>
        <w:pStyle w:val="TextBody"/>
        <w:bidi w:val="0"/>
        <w:jc w:val="center"/>
        <w:rPr>
          <w:rFonts w:ascii="Times New Roman" w:hAnsi="Times New Roman"/>
          <w:sz w:val="20"/>
        </w:rPr>
      </w:pPr>
      <w:bookmarkStart w:id="3" w:name="balance_sheet"/>
      <w:bookmarkEnd w:id="3"/>
      <w:r>
        <w:rPr>
          <w:rFonts w:ascii="Times New Roman" w:hAnsi="Times New Roman"/>
          <w:b/>
          <w:color w:val="000000"/>
          <w:sz w:val="20"/>
        </w:rPr>
        <w:t xml:space="preserve">Tyra Biosciences, Inc. </w:t>
        <w:br/>
        <w:t>Condensed Balance Sheets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 except share and par value data)</w:t>
      </w:r>
    </w:p>
    <w:p>
      <w:pPr>
        <w:pStyle w:val="TextBody"/>
        <w:bidi w:val="0"/>
        <w:jc w:val="left"/>
        <w:rPr/>
      </w:pPr>
      <w:r>
        <w:rPr/>
        <w:t> </w:t>
      </w:r>
    </w:p>
    <w:tbl>
      <w:tblPr>
        <w:tblW w:w="9475" w:type="dxa"/>
        <w:jc w:val="left"/>
        <w:tblInd w:w="0" w:type="dxa"/>
        <w:tblLayout w:type="fixed"/>
        <w:tblCellMar>
          <w:top w:w="28" w:type="dxa"/>
          <w:left w:w="28" w:type="dxa"/>
          <w:bottom w:w="28" w:type="dxa"/>
          <w:right w:w="28" w:type="dxa"/>
        </w:tblCellMar>
      </w:tblPr>
      <w:tblGrid>
        <w:gridCol w:w="6391"/>
        <w:gridCol w:w="146"/>
        <w:gridCol w:w="228"/>
        <w:gridCol w:w="912"/>
        <w:gridCol w:w="166"/>
        <w:gridCol w:w="146"/>
        <w:gridCol w:w="233"/>
        <w:gridCol w:w="862"/>
        <w:gridCol w:w="391"/>
      </w:tblGrid>
      <w:tr>
        <w:trPr/>
        <w:tc>
          <w:tcPr>
            <w:tcW w:w="6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63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3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215,652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251,213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3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and other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224,630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257,288</w:t>
            </w:r>
          </w:p>
        </w:tc>
        <w:tc>
          <w:tcPr>
            <w:tcW w:w="391" w:type="dxa"/>
            <w:tcBorders/>
            <w:shd w:fill="CFF0FC" w:val="clear"/>
            <w:vAlign w:val="center"/>
          </w:tcPr>
          <w:p>
            <w:pPr>
              <w:pStyle w:val="TableContents"/>
              <w:bidi w:val="0"/>
              <w:spacing w:before="0" w:after="283"/>
              <w:jc w:val="left"/>
              <w:rPr/>
            </w:pPr>
            <w:r>
              <w:rPr/>
              <w:t> </w:t>
            </w:r>
          </w:p>
        </w:tc>
      </w:tr>
      <w:tr>
        <w:trPr/>
        <w:tc>
          <w:tcPr>
            <w:tcW w:w="6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91" w:type="dxa"/>
            <w:tcBorders/>
            <w:shd w:fill="FFFFFF" w:val="clear"/>
            <w:vAlign w:val="center"/>
          </w:tcPr>
          <w:p>
            <w:pPr>
              <w:pStyle w:val="TableContents"/>
              <w:bidi w:val="0"/>
              <w:spacing w:before="0" w:after="283"/>
              <w:jc w:val="left"/>
              <w:rPr/>
            </w:pPr>
            <w:r>
              <w:rPr/>
              <w:t> </w:t>
            </w:r>
          </w:p>
        </w:tc>
      </w:tr>
      <w:tr>
        <w:trPr/>
        <w:tc>
          <w:tcPr>
            <w:tcW w:w="6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w:t>
            </w:r>
          </w:p>
        </w:tc>
        <w:tc>
          <w:tcPr>
            <w:tcW w:w="391" w:type="dxa"/>
            <w:tcBorders/>
            <w:shd w:fill="CFF0FC" w:val="clear"/>
            <w:vAlign w:val="center"/>
          </w:tcPr>
          <w:p>
            <w:pPr>
              <w:pStyle w:val="TableContents"/>
              <w:bidi w:val="0"/>
              <w:spacing w:before="0" w:after="283"/>
              <w:jc w:val="left"/>
              <w:rPr/>
            </w:pPr>
            <w:r>
              <w:rPr/>
              <w:t> </w:t>
            </w:r>
          </w:p>
        </w:tc>
      </w:tr>
      <w:tr>
        <w:trPr/>
        <w:tc>
          <w:tcPr>
            <w:tcW w:w="6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2,466</w:t>
            </w:r>
          </w:p>
        </w:tc>
        <w:tc>
          <w:tcPr>
            <w:tcW w:w="391" w:type="dxa"/>
            <w:tcBorders/>
            <w:shd w:fill="FFFFFF" w:val="clear"/>
            <w:vAlign w:val="center"/>
          </w:tcPr>
          <w:p>
            <w:pPr>
              <w:pStyle w:val="TableContents"/>
              <w:bidi w:val="0"/>
              <w:spacing w:before="0" w:after="283"/>
              <w:jc w:val="left"/>
              <w:rPr/>
            </w:pPr>
            <w:r>
              <w:rPr/>
              <w:t> </w:t>
            </w:r>
          </w:p>
        </w:tc>
      </w:tr>
      <w:tr>
        <w:trPr/>
        <w:tc>
          <w:tcPr>
            <w:tcW w:w="6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238,358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266,181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3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3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Lease liabilities, current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39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Accrued and other current liabilities (including related party amounts </w:t>
              <w:br/>
              <w:t>   of $0</w:t>
            </w:r>
            <w:r>
              <w:rPr>
                <w:rFonts w:ascii="Times New Roman" w:hAnsi="Times New Roman"/>
                <w:color w:val="000000"/>
                <w:sz w:val="20"/>
              </w:rPr>
              <w:t> </w:t>
            </w:r>
            <w:r>
              <w:rPr>
                <w:rFonts w:ascii="Times New Roman" w:hAnsi="Times New Roman"/>
                <w:b w:val="false"/>
                <w:color w:val="000000"/>
                <w:sz w:val="20"/>
              </w:rPr>
              <w:t>and $59, respectively)</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3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Lease liabilities, noncurrent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3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8,352</w:t>
            </w:r>
          </w:p>
        </w:tc>
        <w:tc>
          <w:tcPr>
            <w:tcW w:w="391" w:type="dxa"/>
            <w:tcBorders/>
            <w:shd w:fill="CFF0FC" w:val="clear"/>
            <w:vAlign w:val="center"/>
          </w:tcPr>
          <w:p>
            <w:pPr>
              <w:pStyle w:val="TableContents"/>
              <w:bidi w:val="0"/>
              <w:spacing w:before="0" w:after="283"/>
              <w:jc w:val="left"/>
              <w:rPr/>
            </w:pPr>
            <w:r>
              <w:rPr/>
              <w:t> </w:t>
            </w:r>
          </w:p>
        </w:tc>
      </w:tr>
      <w:tr>
        <w:trPr/>
        <w:tc>
          <w:tcPr>
            <w:tcW w:w="6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10)</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6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639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Preferred stock, $0.0001</w:t>
            </w:r>
            <w:r>
              <w:rPr>
                <w:rFonts w:ascii="Times New Roman" w:hAnsi="Times New Roman"/>
                <w:color w:val="000000"/>
                <w:sz w:val="20"/>
              </w:rPr>
              <w:t> </w:t>
            </w:r>
            <w:r>
              <w:rPr>
                <w:rFonts w:ascii="Times New Roman" w:hAnsi="Times New Roman"/>
                <w:b w:val="false"/>
                <w:color w:val="000000"/>
                <w:sz w:val="20"/>
              </w:rPr>
              <w:t>par value; 50,000,000</w:t>
            </w:r>
            <w:r>
              <w:rPr>
                <w:rFonts w:ascii="Times New Roman" w:hAnsi="Times New Roman"/>
                <w:color w:val="000000"/>
                <w:sz w:val="20"/>
              </w:rPr>
              <w:t> </w:t>
            </w:r>
            <w:r>
              <w:rPr>
                <w:rFonts w:ascii="Times New Roman" w:hAnsi="Times New Roman"/>
                <w:b w:val="false"/>
                <w:color w:val="000000"/>
                <w:sz w:val="20"/>
              </w:rPr>
              <w:t xml:space="preserve">shares </w:t>
              <w:br/>
              <w:t xml:space="preserve">   authorized at September 30, 2023 and December 31, 2022; </w:t>
              <w:br/>
              <w:t>   no</w:t>
            </w:r>
            <w:r>
              <w:rPr>
                <w:rFonts w:ascii="Times New Roman" w:hAnsi="Times New Roman"/>
                <w:color w:val="000000"/>
                <w:sz w:val="20"/>
              </w:rPr>
              <w:t> </w:t>
            </w:r>
            <w:r>
              <w:rPr>
                <w:rFonts w:ascii="Times New Roman" w:hAnsi="Times New Roman"/>
                <w:b w:val="false"/>
                <w:color w:val="000000"/>
                <w:sz w:val="20"/>
              </w:rPr>
              <w:t xml:space="preserve">shares issued and outstanding at September 30, 2023 and </w:t>
              <w:br/>
              <w:t>   December 31, 2022.</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639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Common stock, $0.0001</w:t>
            </w:r>
            <w:r>
              <w:rPr>
                <w:rFonts w:ascii="Times New Roman" w:hAnsi="Times New Roman"/>
                <w:color w:val="000000"/>
                <w:sz w:val="20"/>
              </w:rPr>
              <w:t> </w:t>
            </w:r>
            <w:r>
              <w:rPr>
                <w:rFonts w:ascii="Times New Roman" w:hAnsi="Times New Roman"/>
                <w:b w:val="false"/>
                <w:color w:val="000000"/>
                <w:sz w:val="20"/>
              </w:rPr>
              <w:t>par value; 500,000,000</w:t>
            </w:r>
            <w:r>
              <w:rPr>
                <w:rFonts w:ascii="Times New Roman" w:hAnsi="Times New Roman"/>
                <w:color w:val="000000"/>
                <w:sz w:val="20"/>
              </w:rPr>
              <w:t> </w:t>
            </w:r>
            <w:r>
              <w:rPr>
                <w:rFonts w:ascii="Times New Roman" w:hAnsi="Times New Roman"/>
                <w:b w:val="false"/>
                <w:color w:val="000000"/>
                <w:sz w:val="20"/>
              </w:rPr>
              <w:t>shares authorized</w:t>
              <w:br/>
              <w:t>   at September 30, 2023 and December 31, 2022; 43,055,393</w:t>
            </w:r>
            <w:r>
              <w:rPr>
                <w:rFonts w:ascii="Times New Roman" w:hAnsi="Times New Roman"/>
                <w:color w:val="000000"/>
                <w:sz w:val="20"/>
              </w:rPr>
              <w:t> </w:t>
            </w:r>
            <w:r>
              <w:rPr>
                <w:rFonts w:ascii="Times New Roman" w:hAnsi="Times New Roman"/>
                <w:b w:val="false"/>
                <w:color w:val="000000"/>
                <w:sz w:val="20"/>
              </w:rPr>
              <w:t>and 42,634,459</w:t>
              <w:br/>
              <w:t>   shares issued at September 30, 2023 and December 31, 2022, respectively,</w:t>
              <w:br/>
              <w:t>   and 42,928,884</w:t>
            </w:r>
            <w:r>
              <w:rPr>
                <w:rFonts w:ascii="Times New Roman" w:hAnsi="Times New Roman"/>
                <w:color w:val="000000"/>
                <w:sz w:val="20"/>
              </w:rPr>
              <w:t> </w:t>
            </w:r>
            <w:r>
              <w:rPr>
                <w:rFonts w:ascii="Times New Roman" w:hAnsi="Times New Roman"/>
                <w:b w:val="false"/>
                <w:color w:val="000000"/>
                <w:sz w:val="20"/>
              </w:rPr>
              <w:t>and 42,353,550</w:t>
            </w:r>
            <w:r>
              <w:rPr>
                <w:rFonts w:ascii="Times New Roman" w:hAnsi="Times New Roman"/>
                <w:color w:val="000000"/>
                <w:sz w:val="20"/>
              </w:rPr>
              <w:t> </w:t>
            </w:r>
            <w:r>
              <w:rPr>
                <w:rFonts w:ascii="Times New Roman" w:hAnsi="Times New Roman"/>
                <w:b w:val="false"/>
                <w:color w:val="000000"/>
                <w:sz w:val="20"/>
              </w:rPr>
              <w:t>shares outstanding at September 30, 2023</w:t>
              <w:br/>
              <w:t>   and December 31, 2022, respectively.</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39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364,166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353,521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3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257,829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266,181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unaudited condensed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comp_loss"/>
      <w:bookmarkEnd w:id="4"/>
      <w:r>
        <w:rPr>
          <w:rFonts w:ascii="Times New Roman" w:hAnsi="Times New Roman"/>
          <w:b/>
          <w:color w:val="000000"/>
          <w:sz w:val="20"/>
        </w:rPr>
        <w:t>Tyra Biosciences, Inc.</w:t>
      </w:r>
      <w:r>
        <w:rPr>
          <w:rFonts w:ascii="Times New Roman" w:hAnsi="Times New Roman"/>
          <w:color w:val="000000"/>
          <w:sz w:val="20"/>
        </w:rPr>
        <w:t xml:space="preserve"> </w:t>
      </w:r>
      <w:r>
        <w:rPr>
          <w:rFonts w:ascii="Times New Roman" w:hAnsi="Times New Roman"/>
          <w:b w:val="false"/>
          <w:color w:val="000000"/>
          <w:sz w:val="20"/>
        </w:rPr>
        <w:br/>
      </w:r>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val="false"/>
          <w:color w:val="000000"/>
          <w:sz w:val="20"/>
        </w:rPr>
        <w:t>(unaudited)</w:t>
        <w:b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32,608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 xml:space="preserve">General and administrative (including related </w:t>
              <w:br/>
              <w:t>   party amounts of $0, $173, $0</w:t>
            </w:r>
            <w:r>
              <w:rPr>
                <w:rFonts w:ascii="Times New Roman" w:hAnsi="Times New Roman"/>
                <w:color w:val="000000"/>
                <w:sz w:val="20"/>
              </w:rPr>
              <w:t> </w:t>
            </w:r>
            <w:r>
              <w:rPr>
                <w:rFonts w:ascii="Times New Roman" w:hAnsi="Times New Roman"/>
                <w:b w:val="false"/>
                <w:color w:val="000000"/>
                <w:sz w:val="20"/>
              </w:rPr>
              <w:t xml:space="preserve">and $570, </w:t>
              <w:br/>
              <w:t>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(23,963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(43,909</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Weighted-average shares used to compute net loss </w:t>
              <w:br/>
              <w:t>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42,868,340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41,997,195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42,619,075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41,777,052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unaudited condensed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Tyra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statement_equity"/>
      <w:bookmarkEnd w:id="5"/>
      <w:r>
        <w:rPr>
          <w:rFonts w:ascii="Times New Roman" w:hAnsi="Times New Roman"/>
          <w:b/>
          <w:color w:val="000000"/>
          <w:sz w:val="20"/>
        </w:rPr>
        <w:t>Condensed Statements of Stockholders’ Equity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sz w:val="20"/>
        </w:rPr>
      </w:pPr>
      <w:r>
        <w:rPr>
          <w:rFonts w:ascii="Times New Roman" w:hAnsi="Times New Roman"/>
          <w:b w:val="false"/>
          <w:color w:val="000000"/>
          <w:sz w:val="20"/>
        </w:rPr>
        <w:t>(in thousands, except share amounts)</w:t>
      </w:r>
      <w:r>
        <w:rPr>
          <w:rFonts w:ascii="Times New Roman" w:hAnsi="Times New Roman"/>
          <w:color w:val="000000"/>
          <w:sz w:val="20"/>
        </w:rPr>
        <w:t xml:space="preserve"> </w:t>
      </w:r>
    </w:p>
    <w:p>
      <w:pPr>
        <w:pStyle w:val="TextBody"/>
        <w:bidi w:val="0"/>
        <w:jc w:val="center"/>
        <w:rPr/>
      </w:pPr>
      <w:r>
        <w:rPr/>
        <w:t> </w:t>
      </w:r>
    </w:p>
    <w:tbl>
      <w:tblPr>
        <w:tblW w:w="9318" w:type="dxa"/>
        <w:jc w:val="left"/>
        <w:tblInd w:w="0" w:type="dxa"/>
        <w:tblLayout w:type="fixed"/>
        <w:tblCellMar>
          <w:top w:w="28" w:type="dxa"/>
          <w:left w:w="28" w:type="dxa"/>
          <w:bottom w:w="28" w:type="dxa"/>
          <w:right w:w="28" w:type="dxa"/>
        </w:tblCellMar>
      </w:tblPr>
      <w:tblGrid>
        <w:gridCol w:w="2761"/>
        <w:gridCol w:w="146"/>
        <w:gridCol w:w="146"/>
        <w:gridCol w:w="1036"/>
        <w:gridCol w:w="146"/>
        <w:gridCol w:w="146"/>
        <w:gridCol w:w="261"/>
        <w:gridCol w:w="430"/>
        <w:gridCol w:w="146"/>
        <w:gridCol w:w="146"/>
        <w:gridCol w:w="211"/>
        <w:gridCol w:w="781"/>
        <w:gridCol w:w="146"/>
        <w:gridCol w:w="146"/>
        <w:gridCol w:w="234"/>
        <w:gridCol w:w="817"/>
        <w:gridCol w:w="166"/>
        <w:gridCol w:w="146"/>
        <w:gridCol w:w="233"/>
        <w:gridCol w:w="863"/>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41,441,135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342,104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(40,371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301,737</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w:t>
              <w:br/>
              <w:t>   benefit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28,951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w:t>
            </w:r>
          </w:p>
        </w:tc>
        <w:tc>
          <w:tcPr>
            <w:tcW w:w="2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226,478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3,972</w:t>
            </w:r>
          </w:p>
        </w:tc>
        <w:tc>
          <w:tcPr>
            <w:tcW w:w="2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41,696,564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291,184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w:t>
              <w:br/>
              <w:t>   benefit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Vesting of shares of common</w:t>
              <w:br/>
              <w:t>   stock subject to repurchase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2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2,688</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41,903,110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278,853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w:t>
              <w:br/>
              <w:t>   benefit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w:t>
            </w:r>
          </w:p>
        </w:tc>
        <w:tc>
          <w:tcPr>
            <w:tcW w:w="2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1,019</w:t>
            </w:r>
          </w:p>
        </w:tc>
        <w:tc>
          <w:tcPr>
            <w:tcW w:w="2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42,136,971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350,553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267,756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9319" w:type="dxa"/>
        <w:jc w:val="left"/>
        <w:tblInd w:w="0" w:type="dxa"/>
        <w:tblLayout w:type="fixed"/>
        <w:tblCellMar>
          <w:top w:w="28" w:type="dxa"/>
          <w:left w:w="28" w:type="dxa"/>
          <w:bottom w:w="28" w:type="dxa"/>
          <w:right w:w="28" w:type="dxa"/>
        </w:tblCellMar>
      </w:tblPr>
      <w:tblGrid>
        <w:gridCol w:w="2761"/>
        <w:gridCol w:w="146"/>
        <w:gridCol w:w="146"/>
        <w:gridCol w:w="1036"/>
        <w:gridCol w:w="146"/>
        <w:gridCol w:w="146"/>
        <w:gridCol w:w="261"/>
        <w:gridCol w:w="430"/>
        <w:gridCol w:w="146"/>
        <w:gridCol w:w="146"/>
        <w:gridCol w:w="211"/>
        <w:gridCol w:w="781"/>
        <w:gridCol w:w="146"/>
        <w:gridCol w:w="146"/>
        <w:gridCol w:w="211"/>
        <w:gridCol w:w="841"/>
        <w:gridCol w:w="166"/>
        <w:gridCol w:w="146"/>
        <w:gridCol w:w="233"/>
        <w:gridCol w:w="863"/>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42,353,550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353,521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(95,696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257,829</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w:t>
              <w:br/>
              <w:t>   benefit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w:t>
            </w:r>
          </w:p>
        </w:tc>
        <w:tc>
          <w:tcPr>
            <w:tcW w:w="2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2,433</w:t>
            </w:r>
          </w:p>
        </w:tc>
        <w:tc>
          <w:tcPr>
            <w:tcW w:w="2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42,535,374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356,362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248,790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w:t>
              <w:br/>
              <w:t>   benefit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230,502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494</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Vesting of shares of common</w:t>
              <w:br/>
              <w:t>   stock subject to repurchase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2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2,529</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42,817,233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238,572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Issuance of common stock under</w:t>
              <w:br/>
              <w:t>   benefit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2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Vesting of shares of common</w:t>
              <w:br/>
              <w:t>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211" w:type="dxa"/>
            <w:tcBorders/>
            <w:shd w:fill="CFF0FC" w:val="clear"/>
            <w:vAlign w:val="center"/>
          </w:tcPr>
          <w:p>
            <w:pPr>
              <w:pStyle w:val="TableContents"/>
              <w:bidi w:val="0"/>
              <w:spacing w:before="0" w:after="283"/>
              <w:jc w:val="left"/>
              <w:rPr/>
            </w:pPr>
            <w:r>
              <w:rPr/>
              <w:t> </w:t>
            </w:r>
          </w:p>
        </w:tc>
      </w:tr>
      <w:tr>
        <w:trPr/>
        <w:tc>
          <w:tcPr>
            <w:tcW w:w="27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4,377</w:t>
            </w:r>
          </w:p>
        </w:tc>
        <w:tc>
          <w:tcPr>
            <w:tcW w:w="211" w:type="dxa"/>
            <w:tcBorders/>
            <w:shd w:fill="FFFFFF" w:val="clear"/>
            <w:vAlign w:val="center"/>
          </w:tcPr>
          <w:p>
            <w:pPr>
              <w:pStyle w:val="TableContents"/>
              <w:bidi w:val="0"/>
              <w:spacing w:before="0" w:after="283"/>
              <w:jc w:val="left"/>
              <w:rPr/>
            </w:pPr>
            <w:r>
              <w:rPr/>
              <w:t> </w:t>
            </w:r>
          </w:p>
        </w:tc>
      </w:tr>
      <w:tr>
        <w:trPr/>
        <w:tc>
          <w:tcPr>
            <w:tcW w:w="27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42,928,884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222,170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b w:val="false"/>
          <w:i/>
          <w:color w:val="000000"/>
          <w:sz w:val="20"/>
        </w:rPr>
      </w:pPr>
      <w:r>
        <w:rPr>
          <w:rFonts w:ascii="Times New Roman" w:hAnsi="Times New Roman"/>
          <w:b w:val="false"/>
          <w:i/>
          <w:color w:val="000000"/>
          <w:sz w:val="20"/>
        </w:rPr>
        <w:t>See accompanying notes to unaudited condensed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jc w:val="center"/>
        <w:rPr>
          <w:rFonts w:ascii="Times New Roman" w:hAnsi="Times New Roman"/>
          <w:sz w:val="20"/>
        </w:rPr>
      </w:pPr>
      <w:bookmarkStart w:id="6" w:name="statement_cash_flows"/>
      <w:bookmarkEnd w:id="6"/>
      <w:r>
        <w:rPr>
          <w:rFonts w:ascii="Times New Roman" w:hAnsi="Times New Roman"/>
          <w:b/>
          <w:color w:val="000000"/>
          <w:sz w:val="20"/>
        </w:rPr>
        <w:t>Condensed Statements</w:t>
      </w:r>
      <w:r>
        <w:rPr>
          <w:rFonts w:ascii="Times New Roman" w:hAnsi="Times New Roman"/>
          <w:color w:val="000000"/>
          <w:sz w:val="20"/>
        </w:rPr>
        <w:t xml:space="preserve"> </w:t>
      </w:r>
      <w:r>
        <w:rPr>
          <w:rFonts w:ascii="Times New Roman" w:hAnsi="Times New Roman"/>
          <w:b/>
          <w:color w:val="000000"/>
          <w:sz w:val="20"/>
        </w:rPr>
        <w:t>of Cash Flows</w:t>
      </w:r>
    </w:p>
    <w:p>
      <w:pPr>
        <w:pStyle w:val="TextBody"/>
        <w:bidi w:val="0"/>
        <w:jc w:val="center"/>
        <w:rPr>
          <w:rFonts w:ascii="Times New Roman" w:hAnsi="Times New Roman"/>
          <w:sz w:val="20"/>
        </w:rPr>
      </w:pPr>
      <w:r>
        <w:rPr>
          <w:rFonts w:ascii="Times New Roman" w:hAnsi="Times New Roman"/>
          <w:b w:val="false"/>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(in thousands)</w:t>
      </w:r>
    </w:p>
    <w:p>
      <w:pPr>
        <w:pStyle w:val="TextBody"/>
        <w:bidi w:val="0"/>
        <w:jc w:val="left"/>
        <w:rPr/>
      </w:pPr>
      <w:r>
        <w:rPr/>
        <w:t> </w:t>
      </w:r>
    </w:p>
    <w:tbl>
      <w:tblPr>
        <w:tblW w:w="9724" w:type="dxa"/>
        <w:jc w:val="left"/>
        <w:tblInd w:w="0" w:type="dxa"/>
        <w:tblLayout w:type="fixed"/>
        <w:tblCellMar>
          <w:top w:w="28" w:type="dxa"/>
          <w:left w:w="28" w:type="dxa"/>
          <w:bottom w:w="28" w:type="dxa"/>
          <w:right w:w="28" w:type="dxa"/>
        </w:tblCellMar>
      </w:tblPr>
      <w:tblGrid>
        <w:gridCol w:w="6671"/>
        <w:gridCol w:w="146"/>
        <w:gridCol w:w="211"/>
        <w:gridCol w:w="781"/>
        <w:gridCol w:w="166"/>
        <w:gridCol w:w="146"/>
        <w:gridCol w:w="211"/>
        <w:gridCol w:w="781"/>
        <w:gridCol w:w="611"/>
      </w:tblGrid>
      <w:tr>
        <w:trPr/>
        <w:tc>
          <w:tcPr>
            <w:tcW w:w="6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(42,430</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Loss on disposal of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67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(5,945</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671"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b w:val="false"/>
                <w:color w:val="000000"/>
                <w:sz w:val="20"/>
              </w:rPr>
              <w:t>Accounts payable, accrued expenses and other liabilities (including</w:t>
              <w:br/>
              <w:t>   related party amounts of $0</w:t>
            </w:r>
            <w:r>
              <w:rPr>
                <w:rFonts w:ascii="Times New Roman" w:hAnsi="Times New Roman"/>
                <w:color w:val="000000"/>
                <w:sz w:val="20"/>
              </w:rPr>
              <w:t> </w:t>
            </w:r>
            <w:r>
              <w:rPr>
                <w:rFonts w:ascii="Times New Roman" w:hAnsi="Times New Roman"/>
                <w:b w:val="false"/>
                <w:color w:val="000000"/>
                <w:sz w:val="20"/>
              </w:rPr>
              <w:t>and $17,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7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Right-of-use assets and lease liabilities,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(36,607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(38,305</w:t>
            </w:r>
          </w:p>
        </w:tc>
        <w:tc>
          <w:tcPr>
            <w:tcW w:w="6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6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w:t>
            </w:r>
          </w:p>
        </w:tc>
        <w:tc>
          <w:tcPr>
            <w:tcW w:w="611"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6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Proceeds from issuances of common stock under benefit plans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decrease for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(35,561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(38,214</w:t>
            </w:r>
          </w:p>
        </w:tc>
        <w:tc>
          <w:tcPr>
            <w:tcW w:w="6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beginning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302,425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at end of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264,211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Reconciliation of cash, cash equivalents and restricted cash to the </w:t>
              <w:br/>
              <w:t>   balance sheet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215,652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263,211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264,211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7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Right-of-use asset obtained in exchange for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7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67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Purchases of equipment included in 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7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Vesting of options early exercised subject to repurchase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See accompanying notes to unaudited condensed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Tyra Biosciences, Inc.</w:t>
      </w:r>
    </w:p>
    <w:p>
      <w:pPr>
        <w:pStyle w:val="TextBody"/>
        <w:bidi w:val="0"/>
        <w:jc w:val="center"/>
        <w:rPr>
          <w:rFonts w:ascii="Times New Roman" w:hAnsi="Times New Roman"/>
          <w:b/>
          <w:color w:val="000000"/>
          <w:sz w:val="20"/>
        </w:rPr>
      </w:pPr>
      <w:bookmarkStart w:id="7" w:name="notes_consolidated_financial_statements"/>
      <w:bookmarkEnd w:id="7"/>
      <w:r>
        <w:rPr>
          <w:rFonts w:ascii="Times New Roman" w:hAnsi="Times New Roman"/>
          <w:b/>
          <w:color w:val="000000"/>
          <w:sz w:val="20"/>
        </w:rPr>
        <w:t>Notes to the Condensed Financial Statements</w:t>
      </w:r>
    </w:p>
    <w:p>
      <w:pPr>
        <w:pStyle w:val="TextBody"/>
        <w:bidi w:val="0"/>
        <w:jc w:val="center"/>
        <w:rPr>
          <w:rFonts w:ascii="Times New Roman" w:hAnsi="Times New Roman"/>
          <w:sz w:val="20"/>
        </w:rPr>
      </w:pPr>
      <w:r>
        <w:rPr>
          <w:rFonts w:ascii="Times New Roman" w:hAnsi="Times New Roman"/>
          <w:b w:val="false"/>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Tyra Biosciences, Inc. (the Company) was incorporated in the state of Delaware on August 2, 2018. The Company is a clinical-stage biotechnology company focused on developing next-generation precision medicines that target large opportunities in Fibroblast Growth Factor Receptor (FGFR) biology. The Company’s in-house precision medicine platform, SNÅP, enables rapid and precise drug design through iterative molecular SNÅPshots that help predict genetic alterations most likely to cause acquired resistance to existing therapies. The Company’s initial focus is on applying accelerated small molecule drug discovery engine to develop therapies in targeted oncology and genetically defined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accompanying unaudited condensed financial statements have been prepared in accordance with generally accepted accounting principles in the United States (GAAP) for interim financial information and pursuant to the instructions of the Securities and Exchange Commission (SEC) on Form 10-Q and Rule 10-01 of Regulation S-X. Accordingly, they do not include all of the information and disclosures required by GAAP for complete financial statements. Any reference in these notes to applicable guidance is meant to refer to GAAP as found in the Accounting Standards Codification (ASC) and Accounting Standards Updates (ASU) promulgated by the Financial Accounting Standards Board (FASB). The unaudited condensed financial statements include only normal and recurring adjustments that the Company believes are necessary to fairly state the Company’s financial position and the results of its operations and cash flows. The results for the three and nine months ended September 30, 2023 and 2022 are not necessarily indicative of the results expected for the full fiscal year or any subsequent interim period. The condensed balance sheet at September 30, 2023 has been derived from the financial statements at that date but does not include all disclosures required by GAAP for complete financial statements. Because all of the disclosures required by GAAP for complete financial statements are not included herein, these unaudited condensed financial statements and the notes accompanying them should be read in conjunction with the Company’s Annual Report on Form 10-K for the year ended December 31,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During the three and nine months ended September 30, 2023, there have been no changes to the Company's significant accounting policies as described in the Company’s Annual Report on Form 10-K for the year ended December 31, 2022.</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Restricted cash is comprised of cash that is restricted as to its withdrawal or use under the terms of certain contractual agreements. Restricted cash as of both September 30, 2023 and December 31, 2022 was $1.0</w:t>
      </w:r>
      <w:r>
        <w:rPr>
          <w:rFonts w:ascii="Times New Roman" w:hAnsi="Times New Roman"/>
          <w:color w:val="000000"/>
          <w:sz w:val="20"/>
        </w:rPr>
        <w:t xml:space="preserve"> </w:t>
      </w:r>
      <w:r>
        <w:rPr>
          <w:rFonts w:ascii="Times New Roman" w:hAnsi="Times New Roman"/>
          <w:b w:val="false"/>
          <w:color w:val="000000"/>
          <w:sz w:val="20"/>
        </w:rPr>
        <w:t>million, which consisted of collateral for letters of credit related to the Company’s operating leases which are considered a non-current asset on the condensed balance sheets.</w:t>
      </w:r>
    </w:p>
    <w:p>
      <w:pPr>
        <w:pStyle w:val="TextBody"/>
        <w:bidi w:val="0"/>
        <w:spacing w:before="240" w:after="283"/>
        <w:jc w:val="left"/>
        <w:rPr>
          <w:rFonts w:ascii="Times New Roman" w:hAnsi="Times New Roman"/>
          <w:sz w:val="20"/>
        </w:rPr>
      </w:pPr>
      <w:r>
        <w:rPr>
          <w:rFonts w:ascii="Times New Roman" w:hAnsi="Times New Roman"/>
          <w:b/>
          <w:i/>
          <w:color w:val="000000"/>
          <w:sz w:val="20"/>
        </w:rPr>
        <w:t>Commitments and Contingencies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Related Parties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Transactions between related parties are considered to be related party transactions even though they may not be given accounting recognition. FASB ASC 850, Related Party Disclosures (FASB ASC 850) requires that transactions with related parties that would make a difference in decision making shall be disclosed so that users of the financial statements can evaluate their significance. Related party transactions typically occur within the context of the following relationships:</w:t>
      </w:r>
      <w:r>
        <w:rPr>
          <w:rFonts w:ascii="Times New Roman" w:hAnsi="Times New Roman"/>
          <w:color w:val="000000"/>
          <w:sz w:val="20"/>
        </w:rPr>
        <w:t xml:space="preserve">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Affiliates of the entity;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Entities for which investments in their equity securities is typically accounted for under the equity method by the investing entity;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Trusts for the benefit of employees;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Principal owners of the entity and members of their immediate families;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Management of the entity and members of their immediate families; or</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Other parties that can significantly influence the management or operating policies of the transacting parties and can significantly influence the other to an extent that one or more of the transacting parties might be prevented from fully pursuing its own separate interests.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Company previously entered into a consulting agreement with van den Boom &amp; Associates, LLC (van den Boom &amp; Associates), a professional services firm contracted to provide resources to assist with day-to-day accounting functions. Services provided under the agreement with van den Boom &amp; Associates are billed at hourly rates. On April 16, 2021, Ms. van den Boom, the managing partner of van den Boom &amp; Associates, entered into an employment agreement with the Company whereby she became its Chief Financial Officer. Van den Boom &amp; Associates is considered a related party under FASB ASC 850 from the point in which Ms. van den Boom became a Company officer. On October 28, 2022, Ms. van den Boom informed the Company of her intent to resign as the Chief Financial Officer, effective December 31, 2022.</w:t>
      </w:r>
      <w:r>
        <w:rPr>
          <w:rFonts w:ascii="Times New Roman" w:hAnsi="Times New Roman"/>
          <w:color w:val="000000"/>
          <w:sz w:val="20"/>
        </w:rPr>
        <w:t xml:space="preserve"> </w:t>
      </w:r>
      <w:r>
        <w:rPr>
          <w:rFonts w:ascii="Times New Roman" w:hAnsi="Times New Roman"/>
          <w:b w:val="false"/>
          <w:color w:val="000000"/>
          <w:sz w:val="20"/>
        </w:rPr>
        <w:t>Effective January 1, 2023, van den Boom &amp; Associates is no longer considered a related party.</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 xml:space="preserve">In June 2016, the FASB issued ASU 2016-13, </w:t>
      </w:r>
      <w:r>
        <w:rPr>
          <w:rFonts w:ascii="Times New Roman" w:hAnsi="Times New Roman"/>
          <w:b w:val="false"/>
          <w:i/>
          <w:color w:val="000000"/>
          <w:sz w:val="20"/>
        </w:rPr>
        <w:t>Financial Instruments-Credit Losses (Topic 326): Measurement of Credit Losses on Financial Instruments</w:t>
      </w:r>
      <w:r>
        <w:rPr>
          <w:rFonts w:ascii="Times New Roman" w:hAnsi="Times New Roman"/>
          <w:color w:val="000000"/>
          <w:sz w:val="20"/>
        </w:rPr>
        <w:t xml:space="preserve"> </w:t>
      </w:r>
      <w:r>
        <w:rPr>
          <w:rFonts w:ascii="Times New Roman" w:hAnsi="Times New Roman"/>
          <w:b w:val="false"/>
          <w:color w:val="000000"/>
          <w:sz w:val="20"/>
        </w:rPr>
        <w:t>("ASU 2016-13"). ASU 2016-13 changes the impairment model for most financial assets and certain other instruments. Under the new guidance, credit losses for certain types of financial instruments will be estimated based on expected losses. The new guidance also modifies the impairment models for available-for-sale debt securities and for purchased financial assets with credit deterioration since their origination. In November 2019, the FASB issued ASU No. 2019-10, which changed the effective date of ASU 2016-13 for smaller reporting companies to fiscal years beginning after December 15, 2022, including interim periods. This update was effective for the Company beginning January 1, 2023. The adoption of this new standard did not have a material impact on the Company's financial statements.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There were no other significant updates not already disclosed in the Company’s audited financial statements for the years ended December 31, 2022 and 2021 to the recently issued accounting standards for the three and nine months ended September 30, 2023. Although there were several other new accounting pronouncements issued or proposed by the FASB, the Company does not believe any of those accounting pronouncements have had or will have a material impact on its financial position or operating results.</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r>
        <w:rPr>
          <w:rFonts w:ascii="Times New Roman" w:hAnsi="Times New Roman"/>
          <w:color w:val="000000"/>
          <w:sz w:val="20"/>
        </w:rPr>
        <w:t xml:space="preserve"> </w:t>
      </w:r>
    </w:p>
    <w:p>
      <w:pPr>
        <w:pStyle w:val="TextBody"/>
        <w:bidi w:val="0"/>
        <w:spacing w:before="240" w:after="283"/>
        <w:ind w:left="720" w:right="0" w:hanging="0"/>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w:t>
      </w:r>
      <w:r>
        <w:rPr>
          <w:rFonts w:ascii="Times New Roman" w:hAnsi="Times New Roman"/>
          <w:b w:val="false"/>
          <w:color w:val="000000"/>
          <w:sz w:val="20"/>
        </w:rPr>
        <w:t>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w:t>
      </w:r>
      <w:r>
        <w:rPr>
          <w:rFonts w:ascii="Times New Roman" w:hAnsi="Times New Roman"/>
          <w:b w:val="false"/>
          <w:color w:val="000000"/>
          <w:sz w:val="20"/>
        </w:rPr>
        <w:t>Quoted prices for similar assets and liabilities in active markets, quoted prices in markets that are not active, or inputs which are observable, either directly or indirectly, for substantially the full term of the asset or liability; and</w:t>
      </w:r>
      <w:r>
        <w:rPr>
          <w:rFonts w:ascii="Times New Roman" w:hAnsi="Times New Roman"/>
          <w:color w:val="000000"/>
          <w:sz w:val="20"/>
        </w:rPr>
        <w:t xml:space="preserve"> </w:t>
      </w:r>
    </w:p>
    <w:p>
      <w:pPr>
        <w:pStyle w:val="TextBody"/>
        <w:bidi w:val="0"/>
        <w:spacing w:before="240" w:after="283"/>
        <w:ind w:left="720" w:right="0" w:hanging="0"/>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w:t>
      </w:r>
      <w:r>
        <w:rPr>
          <w:rFonts w:ascii="Times New Roman" w:hAnsi="Times New Roman"/>
          <w:b w:val="false"/>
          <w:color w:val="000000"/>
          <w:sz w:val="20"/>
        </w:rPr>
        <w:t>Prices or valuation techniques that require inputs that are both significant to the fair value measurement and unobservable (i.e. supported by little or no market activity).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The carrying amounts of the Company’s financial instruments, including cash and cash equivalents, prepaid and other current assets, restricted cash, accounts payable, and accrued and other current liabilities, approximate fair value due to their short maturities.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Assets measured at fair value on a recurring basis are as follows (in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85"/>
        <w:gridCol w:w="146"/>
        <w:gridCol w:w="374"/>
        <w:gridCol w:w="1014"/>
        <w:gridCol w:w="146"/>
        <w:gridCol w:w="146"/>
        <w:gridCol w:w="612"/>
        <w:gridCol w:w="1659"/>
        <w:gridCol w:w="146"/>
        <w:gridCol w:w="146"/>
        <w:gridCol w:w="681"/>
        <w:gridCol w:w="1121"/>
        <w:gridCol w:w="146"/>
        <w:gridCol w:w="146"/>
        <w:gridCol w:w="659"/>
        <w:gridCol w:w="1082"/>
        <w:gridCol w:w="296"/>
      </w:tblGrid>
      <w:tr>
        <w:trPr/>
        <w:tc>
          <w:tcPr>
            <w:tcW w:w="1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6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8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7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8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741" w:type="dxa"/>
            <w:gridSpan w:val="2"/>
            <w:tcBorders/>
            <w:shd w:fill="CFF0FC" w:val="clear"/>
            <w:vAlign w:val="center"/>
          </w:tcPr>
          <w:p>
            <w:pPr>
              <w:pStyle w:val="TableContents"/>
              <w:bidi w:val="0"/>
              <w:spacing w:before="0" w:after="283"/>
              <w:jc w:val="center"/>
              <w:rPr/>
            </w:pPr>
            <w:r>
              <w:rPr/>
              <w:t> </w:t>
            </w:r>
          </w:p>
        </w:tc>
        <w:tc>
          <w:tcPr>
            <w:tcW w:w="296" w:type="dxa"/>
            <w:tcBorders/>
            <w:shd w:fill="CFF0FC" w:val="clear"/>
            <w:vAlign w:val="center"/>
          </w:tcPr>
          <w:p>
            <w:pPr>
              <w:pStyle w:val="TableContents"/>
              <w:bidi w:val="0"/>
              <w:spacing w:before="0" w:after="283"/>
              <w:jc w:val="center"/>
              <w:rPr/>
            </w:pPr>
            <w:r>
              <w:rPr/>
              <w:t> </w:t>
            </w:r>
          </w:p>
        </w:tc>
      </w:tr>
      <w:tr>
        <w:trPr/>
        <w:tc>
          <w:tcPr>
            <w:tcW w:w="16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2"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jc w:val="left"/>
              <w:rPr/>
            </w:pPr>
            <w:r>
              <w:rPr/>
              <w:t> </w:t>
            </w:r>
          </w:p>
        </w:tc>
      </w:tr>
      <w:tr>
        <w:trPr/>
        <w:tc>
          <w:tcPr>
            <w:tcW w:w="16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8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1" w:type="dxa"/>
            <w:gridSpan w:val="2"/>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38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27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8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741" w:type="dxa"/>
            <w:gridSpan w:val="2"/>
            <w:tcBorders/>
            <w:shd w:fill="CFF0FC" w:val="clear"/>
            <w:vAlign w:val="center"/>
          </w:tcPr>
          <w:p>
            <w:pPr>
              <w:pStyle w:val="TableContents"/>
              <w:bidi w:val="0"/>
              <w:spacing w:before="0" w:after="283"/>
              <w:jc w:val="center"/>
              <w:rPr/>
            </w:pPr>
            <w:r>
              <w:rPr/>
              <w:t> </w:t>
            </w:r>
          </w:p>
        </w:tc>
        <w:tc>
          <w:tcPr>
            <w:tcW w:w="296" w:type="dxa"/>
            <w:tcBorders/>
            <w:shd w:fill="CFF0FC" w:val="clear"/>
            <w:vAlign w:val="center"/>
          </w:tcPr>
          <w:p>
            <w:pPr>
              <w:pStyle w:val="TableContents"/>
              <w:bidi w:val="0"/>
              <w:spacing w:before="0" w:after="283"/>
              <w:jc w:val="center"/>
              <w:rPr/>
            </w:pPr>
            <w:r>
              <w:rPr/>
              <w:t> </w:t>
            </w:r>
          </w:p>
        </w:tc>
      </w:tr>
      <w:tr>
        <w:trPr/>
        <w:tc>
          <w:tcPr>
            <w:tcW w:w="168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2"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jc w:val="left"/>
              <w:rPr/>
            </w:pPr>
            <w:r>
              <w:rPr/>
              <w:t> </w:t>
            </w:r>
          </w:p>
        </w:tc>
      </w:tr>
      <w:tr>
        <w:trPr/>
        <w:tc>
          <w:tcPr>
            <w:tcW w:w="16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85"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None of the Company’s non-financial assets or liabilities are recorded at fair value on a non-recurring basis.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Property and Equipment</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Property and equipment consisted of the following (in thousands):</w:t>
      </w:r>
    </w:p>
    <w:p>
      <w:pPr>
        <w:pStyle w:val="TextBody"/>
        <w:bidi w:val="0"/>
        <w:jc w:val="left"/>
        <w:rPr/>
      </w:pPr>
      <w:r>
        <w:rPr/>
        <w:t> </w:t>
      </w:r>
    </w:p>
    <w:tbl>
      <w:tblPr>
        <w:tblW w:w="5800" w:type="dxa"/>
        <w:jc w:val="left"/>
        <w:tblInd w:w="0" w:type="dxa"/>
        <w:tblLayout w:type="fixed"/>
        <w:tblCellMar>
          <w:top w:w="28" w:type="dxa"/>
          <w:left w:w="28" w:type="dxa"/>
          <w:bottom w:w="28" w:type="dxa"/>
          <w:right w:w="28" w:type="dxa"/>
        </w:tblCellMar>
      </w:tblPr>
      <w:tblGrid>
        <w:gridCol w:w="2896"/>
        <w:gridCol w:w="146"/>
        <w:gridCol w:w="307"/>
        <w:gridCol w:w="833"/>
        <w:gridCol w:w="166"/>
        <w:gridCol w:w="146"/>
        <w:gridCol w:w="294"/>
        <w:gridCol w:w="80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Equipment</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1,119</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Computers and software</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1,538</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Company recognized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$0.3</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in depreciation expense for the three and nine months ended September 30, 2023, respectively, and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in depreciation expense for the three and nine months ended September 30, 2022, respectively.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5. Accrued and Other Current Liabilities</w:t>
      </w:r>
      <w:r>
        <w:rPr>
          <w:rFonts w:ascii="Times New Roman" w:hAnsi="Times New Roman"/>
          <w:color w:val="000000"/>
          <w:sz w:val="20"/>
        </w:rPr>
        <w:t xml:space="preserve"> </w:t>
      </w:r>
    </w:p>
    <w:p>
      <w:pPr>
        <w:pStyle w:val="TextBody"/>
        <w:bidi w:val="0"/>
        <w:spacing w:before="240" w:after="240"/>
        <w:ind w:left="0" w:right="0" w:firstLine="720"/>
        <w:jc w:val="left"/>
        <w:rPr>
          <w:rFonts w:ascii="Times New Roman" w:hAnsi="Times New Roman"/>
          <w:sz w:val="20"/>
        </w:rPr>
      </w:pPr>
      <w:r>
        <w:rPr>
          <w:rFonts w:ascii="Times New Roman" w:hAnsi="Times New Roman"/>
          <w:b w:val="false"/>
          <w:color w:val="000000"/>
          <w:sz w:val="20"/>
        </w:rPr>
        <w:t>Accrued and other current liabilities consisted of the following (in thousands):</w:t>
      </w:r>
      <w:r>
        <w:rPr>
          <w:rFonts w:ascii="Times New Roman" w:hAnsi="Times New Roman"/>
          <w:color w:val="000000"/>
          <w:sz w:val="20"/>
        </w:rPr>
        <w:t xml:space="preserve"> </w:t>
      </w:r>
    </w:p>
    <w:tbl>
      <w:tblPr>
        <w:tblW w:w="6690" w:type="dxa"/>
        <w:jc w:val="left"/>
        <w:tblInd w:w="0" w:type="dxa"/>
        <w:tblLayout w:type="fixed"/>
        <w:tblCellMar>
          <w:top w:w="28" w:type="dxa"/>
          <w:left w:w="28" w:type="dxa"/>
          <w:bottom w:w="28" w:type="dxa"/>
          <w:right w:w="28" w:type="dxa"/>
        </w:tblCellMar>
      </w:tblPr>
      <w:tblGrid>
        <w:gridCol w:w="3826"/>
        <w:gridCol w:w="146"/>
        <w:gridCol w:w="307"/>
        <w:gridCol w:w="833"/>
        <w:gridCol w:w="146"/>
        <w:gridCol w:w="146"/>
        <w:gridCol w:w="294"/>
        <w:gridCol w:w="80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payroll and other employee benefits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2,854</w:t>
            </w:r>
          </w:p>
        </w:tc>
        <w:tc>
          <w:tcPr>
            <w:tcW w:w="1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research and development</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1,028</w:t>
            </w:r>
          </w:p>
        </w:tc>
        <w:tc>
          <w:tcPr>
            <w:tcW w:w="191" w:type="dxa"/>
            <w:tcBorders/>
            <w:shd w:fill="FFFFFF" w:val="cle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legal and professional fees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191" w:type="dxa"/>
            <w:tcBorders/>
            <w:shd w:fill="CFF0FC" w:val="clear"/>
            <w:vAlign w:val="center"/>
          </w:tcPr>
          <w:p>
            <w:pPr>
              <w:pStyle w:val="TableContents"/>
              <w:bidi w:val="0"/>
              <w:spacing w:before="0" w:after="283"/>
              <w:jc w:val="left"/>
              <w:rPr/>
            </w:pPr>
            <w:r>
              <w:rPr/>
              <w:t> </w:t>
            </w:r>
          </w:p>
        </w:tc>
      </w:tr>
      <w:tr>
        <w:trPr/>
        <w:tc>
          <w:tcPr>
            <w:tcW w:w="38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other general and administrative fees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accrued and other current liabilities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Stockholders' Equity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Common stock reserved for future issuance consisted of the following:</w:t>
      </w:r>
    </w:p>
    <w:p>
      <w:pPr>
        <w:pStyle w:val="TextBody"/>
        <w:bidi w:val="0"/>
        <w:ind w:left="0" w:right="0" w:firstLine="720"/>
        <w:jc w:val="left"/>
        <w:rPr/>
      </w:pPr>
      <w:r>
        <w:rPr/>
        <w:t> </w:t>
      </w:r>
    </w:p>
    <w:tbl>
      <w:tblPr>
        <w:tblW w:w="7239" w:type="dxa"/>
        <w:jc w:val="left"/>
        <w:tblInd w:w="0" w:type="dxa"/>
        <w:tblLayout w:type="fixed"/>
        <w:tblCellMar>
          <w:top w:w="28" w:type="dxa"/>
          <w:left w:w="28" w:type="dxa"/>
          <w:bottom w:w="28" w:type="dxa"/>
          <w:right w:w="28" w:type="dxa"/>
        </w:tblCellMar>
      </w:tblPr>
      <w:tblGrid>
        <w:gridCol w:w="4246"/>
        <w:gridCol w:w="146"/>
        <w:gridCol w:w="146"/>
        <w:gridCol w:w="1036"/>
        <w:gridCol w:w="146"/>
        <w:gridCol w:w="146"/>
        <w:gridCol w:w="146"/>
        <w:gridCol w:w="1036"/>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Common stock options granted and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8,110,570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5,890,869</w:t>
            </w:r>
          </w:p>
        </w:tc>
        <w:tc>
          <w:tcPr>
            <w:tcW w:w="191" w:type="dxa"/>
            <w:tcBorders/>
            <w:shd w:fill="CFF0FC" w:val="cle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available for future issuance under the 2021</w:t>
              <w:br/>
              <w:t>   Incentive Award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3,886,847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4,339,373</w:t>
            </w:r>
          </w:p>
        </w:tc>
        <w:tc>
          <w:tcPr>
            <w:tcW w:w="191" w:type="dxa"/>
            <w:tcBorders/>
            <w:shd w:fill="FFFFFF" w:val="clear"/>
            <w:vAlign w:val="center"/>
          </w:tcPr>
          <w:p>
            <w:pPr>
              <w:pStyle w:val="TableContents"/>
              <w:bidi w:val="0"/>
              <w:spacing w:before="0" w:after="283"/>
              <w:jc w:val="left"/>
              <w:rPr/>
            </w:pPr>
            <w:r>
              <w:rPr/>
              <w:t> </w:t>
            </w:r>
          </w:p>
        </w:tc>
      </w:tr>
      <w:tr>
        <w:trPr/>
        <w:tc>
          <w:tcPr>
            <w:tcW w:w="4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 xml:space="preserve">Shares available for future issuance under the </w:t>
              <w:br/>
              <w:t>   2021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1,129,399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759,442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common stock reserved for future issuance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13,126,816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10,989,684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On October 3, 2022, the Company entered into an ATM Sales Agreement (the Sales Agreement) with Virtu Americas LLC (the Agent), under which the Company may, from time to time, sell shares of its common stock having an aggregate offering price of up to $150.0</w:t>
      </w:r>
      <w:r>
        <w:rPr>
          <w:rFonts w:ascii="Times New Roman" w:hAnsi="Times New Roman"/>
          <w:color w:val="000000"/>
          <w:sz w:val="20"/>
        </w:rPr>
        <w:t xml:space="preserve"> </w:t>
      </w:r>
      <w:r>
        <w:rPr>
          <w:rFonts w:ascii="Times New Roman" w:hAnsi="Times New Roman"/>
          <w:b w:val="false"/>
          <w:color w:val="000000"/>
          <w:sz w:val="20"/>
        </w:rPr>
        <w:t>million in “at the market” offerings through the Agent. Sales of the shares of common stock, if any, will be made at prevailing market prices at the time of sale, or as otherwise agreed with the Agent. The Agent will receive a commission from the Company of up to 3.0% of the gross proceeds of any shares of common stock sold under the Sales Agreement. As of September 30, 2023, no</w:t>
      </w:r>
      <w:r>
        <w:rPr>
          <w:rFonts w:ascii="Times New Roman" w:hAnsi="Times New Roman"/>
          <w:color w:val="000000"/>
          <w:sz w:val="20"/>
        </w:rPr>
        <w:t xml:space="preserve"> </w:t>
      </w:r>
      <w:r>
        <w:rPr>
          <w:rFonts w:ascii="Times New Roman" w:hAnsi="Times New Roman"/>
          <w:b w:val="false"/>
          <w:color w:val="000000"/>
          <w:sz w:val="20"/>
        </w:rPr>
        <w:t>shares of common stock were issued and sold pursuant to the Sales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Times New Roman" w:hAnsi="Times New Roman"/>
          <w:b w:val="false"/>
          <w:color w:val="000000"/>
          <w:sz w:val="20"/>
        </w:rPr>
        <w:t>Since inception, the Company has issued 2,820,560</w:t>
      </w:r>
      <w:r>
        <w:rPr>
          <w:rFonts w:ascii="Times New Roman" w:hAnsi="Times New Roman"/>
          <w:color w:val="000000"/>
          <w:sz w:val="20"/>
        </w:rPr>
        <w:t xml:space="preserve"> </w:t>
      </w:r>
      <w:r>
        <w:rPr>
          <w:rFonts w:ascii="Times New Roman" w:hAnsi="Times New Roman"/>
          <w:b w:val="false"/>
          <w:color w:val="000000"/>
          <w:sz w:val="20"/>
        </w:rPr>
        <w:t>shares of restricted common stock at a price of $0.0001</w:t>
      </w:r>
      <w:r>
        <w:rPr>
          <w:rFonts w:ascii="Times New Roman" w:hAnsi="Times New Roman"/>
          <w:color w:val="000000"/>
          <w:sz w:val="20"/>
        </w:rPr>
        <w:t xml:space="preserve"> </w:t>
      </w:r>
      <w:r>
        <w:rPr>
          <w:rFonts w:ascii="Times New Roman" w:hAnsi="Times New Roman"/>
          <w:b w:val="false"/>
          <w:color w:val="000000"/>
          <w:sz w:val="20"/>
        </w:rPr>
        <w:t>per share to certain founders of the Company (Founders Stock). The Company maintains a repurchase right whereby the shares of Founders Stock are released from such repurchase right over a period of time of continued service by the recipient. Any shares subject to repurchase by the Company are not deemed to be outstanding, for accounting purposes, until those shares vest. Unvested outstanding Founders Stock as of September 30, 2023 and December 31, 2022 were 1,865</w:t>
      </w:r>
      <w:r>
        <w:rPr>
          <w:rFonts w:ascii="Times New Roman" w:hAnsi="Times New Roman"/>
          <w:color w:val="000000"/>
          <w:sz w:val="20"/>
        </w:rPr>
        <w:t xml:space="preserve"> </w:t>
      </w:r>
      <w:r>
        <w:rPr>
          <w:rFonts w:ascii="Times New Roman" w:hAnsi="Times New Roman"/>
          <w:b w:val="false"/>
          <w:color w:val="000000"/>
          <w:sz w:val="20"/>
        </w:rPr>
        <w:t>and 3,828</w:t>
      </w:r>
      <w:r>
        <w:rPr>
          <w:rFonts w:ascii="Times New Roman" w:hAnsi="Times New Roman"/>
          <w:color w:val="000000"/>
          <w:sz w:val="20"/>
        </w:rPr>
        <w:t xml:space="preserve"> </w:t>
      </w:r>
      <w:r>
        <w:rPr>
          <w:rFonts w:ascii="Times New Roman" w:hAnsi="Times New Roman"/>
          <w:b w:val="false"/>
          <w:color w:val="000000"/>
          <w:sz w:val="20"/>
        </w:rPr>
        <w:t>shares, respectively. The amount recorded as liabilities associated with shares issued with repurchase rights were immaterial as of September 30, 2023 and December 31, 2022.</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For the nine months ended September 30, 2023 and 2022, 1,962</w:t>
      </w:r>
      <w:r>
        <w:rPr>
          <w:rFonts w:ascii="Times New Roman" w:hAnsi="Times New Roman"/>
          <w:color w:val="000000"/>
          <w:sz w:val="20"/>
        </w:rPr>
        <w:t xml:space="preserve"> </w:t>
      </w:r>
      <w:r>
        <w:rPr>
          <w:rFonts w:ascii="Times New Roman" w:hAnsi="Times New Roman"/>
          <w:b w:val="false"/>
          <w:color w:val="000000"/>
          <w:sz w:val="20"/>
        </w:rPr>
        <w:t>and 367,410</w:t>
      </w:r>
      <w:r>
        <w:rPr>
          <w:rFonts w:ascii="Times New Roman" w:hAnsi="Times New Roman"/>
          <w:color w:val="000000"/>
          <w:sz w:val="20"/>
        </w:rPr>
        <w:t xml:space="preserve"> </w:t>
      </w:r>
      <w:r>
        <w:rPr>
          <w:rFonts w:ascii="Times New Roman" w:hAnsi="Times New Roman"/>
          <w:b w:val="false"/>
          <w:color w:val="000000"/>
          <w:sz w:val="20"/>
        </w:rPr>
        <w:t>shares vested in each period and the Company recognized $5</w:t>
      </w:r>
      <w:r>
        <w:rPr>
          <w:rFonts w:ascii="Times New Roman" w:hAnsi="Times New Roman"/>
          <w:color w:val="000000"/>
          <w:sz w:val="20"/>
        </w:rPr>
        <w:t xml:space="preserve"> </w:t>
      </w:r>
      <w:r>
        <w:rPr>
          <w:rFonts w:ascii="Times New Roman" w:hAnsi="Times New Roman"/>
          <w:b w:val="false"/>
          <w:color w:val="000000"/>
          <w:sz w:val="20"/>
        </w:rPr>
        <w:t>thousand</w:t>
      </w:r>
      <w:r>
        <w:rPr>
          <w:rFonts w:ascii="Times New Roman" w:hAnsi="Times New Roman"/>
          <w:color w:val="000000"/>
          <w:sz w:val="20"/>
        </w:rPr>
        <w:t xml:space="preserve"> </w:t>
      </w:r>
      <w:r>
        <w:rPr>
          <w:rFonts w:ascii="Times New Roman" w:hAnsi="Times New Roman"/>
          <w:b w:val="false"/>
          <w:color w:val="000000"/>
          <w:sz w:val="20"/>
        </w:rPr>
        <w:t>and $0.2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stock-based compensation expense for each period related to the Founders Stock, respectively. As of September 30, 2023, the total unrecognized compensation expense related to unvested Founders Stock was immaterial.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Equity Incentive Plans and Stock-Based Compensation</w:t>
      </w:r>
    </w:p>
    <w:p>
      <w:pPr>
        <w:pStyle w:val="TextBody"/>
        <w:bidi w:val="0"/>
        <w:spacing w:before="24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In September 2021, the Company's Board of Directors adopted, and its stockholders approved, the 2021 Incentive Award Plan (the 2021 Plan). Upon the adoption of the 2021 Plan, the Company restricted the grant of future equity awards under the 2020 Equity Incentive Plan (the 2020 Plan).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2021 Plan provides for the grants of stock options and other equity-based awards to employees, non-employee directors, and consultants of the Company. A total of 5,570,000</w:t>
      </w:r>
      <w:r>
        <w:rPr>
          <w:rFonts w:ascii="Times New Roman" w:hAnsi="Times New Roman"/>
          <w:color w:val="000000"/>
          <w:sz w:val="20"/>
        </w:rPr>
        <w:t xml:space="preserve"> </w:t>
      </w:r>
      <w:r>
        <w:rPr>
          <w:rFonts w:ascii="Times New Roman" w:hAnsi="Times New Roman"/>
          <w:b w:val="false"/>
          <w:color w:val="000000"/>
          <w:sz w:val="20"/>
        </w:rPr>
        <w:t>shares of the Company’s common stock were initially reserved for issuance pursuant to the 2021 Plan, consisting of 4,537,850</w:t>
      </w:r>
      <w:r>
        <w:rPr>
          <w:rFonts w:ascii="Times New Roman" w:hAnsi="Times New Roman"/>
          <w:color w:val="000000"/>
          <w:sz w:val="20"/>
        </w:rPr>
        <w:t xml:space="preserve"> </w:t>
      </w:r>
      <w:r>
        <w:rPr>
          <w:rFonts w:ascii="Times New Roman" w:hAnsi="Times New Roman"/>
          <w:b w:val="false"/>
          <w:color w:val="000000"/>
          <w:sz w:val="20"/>
        </w:rPr>
        <w:t>shares reserved under the 2021 Plan and 1,032,150</w:t>
      </w:r>
      <w:r>
        <w:rPr>
          <w:rFonts w:ascii="Times New Roman" w:hAnsi="Times New Roman"/>
          <w:color w:val="000000"/>
          <w:sz w:val="20"/>
        </w:rPr>
        <w:t xml:space="preserve"> </w:t>
      </w:r>
      <w:r>
        <w:rPr>
          <w:rFonts w:ascii="Times New Roman" w:hAnsi="Times New Roman"/>
          <w:b w:val="false"/>
          <w:color w:val="000000"/>
          <w:sz w:val="20"/>
        </w:rPr>
        <w:t>shares of the Company’s common stock that remained available for issuance under the 2020 Plan. The 2021 Plan share reserve will be increased by the number of shares under the 2020 Plan that are repurchased, forfeited, expired or cancelled after the effective date of the 2021 Plan. In addition, the number of shares of the Company’s common stock available for issuance under the 2021 Plan automatically increases on the first day of each fiscal year, beginning with the Company’s 2022 fiscal year, in an amount equal to the lesser of (1) 5% of the outstanding shares of the Company’s common stock on the last day of the immediately preceding fiscal year, or (2) such smaller amount as determined by the Company’s Board of Directors. As of September 30, 2023, 3,886,847</w:t>
      </w:r>
      <w:r>
        <w:rPr>
          <w:rFonts w:ascii="Times New Roman" w:hAnsi="Times New Roman"/>
          <w:color w:val="000000"/>
          <w:sz w:val="20"/>
        </w:rPr>
        <w:t xml:space="preserve"> </w:t>
      </w:r>
      <w:r>
        <w:rPr>
          <w:rFonts w:ascii="Times New Roman" w:hAnsi="Times New Roman"/>
          <w:b w:val="false"/>
          <w:color w:val="000000"/>
          <w:sz w:val="20"/>
        </w:rPr>
        <w:t>shares were available for future grant under the 2021 Plan.</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A summary of the Company’s stock option activity for the period ended September 30, 2023 is as follows (in thousands, expect share and per share data and years):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36"/>
        <w:gridCol w:w="146"/>
        <w:gridCol w:w="146"/>
        <w:gridCol w:w="931"/>
        <w:gridCol w:w="166"/>
        <w:gridCol w:w="146"/>
        <w:gridCol w:w="396"/>
        <w:gridCol w:w="1075"/>
        <w:gridCol w:w="146"/>
        <w:gridCol w:w="146"/>
        <w:gridCol w:w="423"/>
        <w:gridCol w:w="1048"/>
        <w:gridCol w:w="146"/>
        <w:gridCol w:w="146"/>
        <w:gridCol w:w="265"/>
        <w:gridCol w:w="851"/>
        <w:gridCol w:w="192"/>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8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5,890,869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13,492</w:t>
            </w:r>
          </w:p>
        </w:tc>
        <w:tc>
          <w:tcPr>
            <w:tcW w:w="192" w:type="dxa"/>
            <w:tcBorders/>
            <w:shd w:fill="CFF0FC" w:val="clear"/>
            <w:vAlign w:val="center"/>
          </w:tcPr>
          <w:p>
            <w:pPr>
              <w:pStyle w:val="TableContents"/>
              <w:bidi w:val="0"/>
              <w:spacing w:before="0" w:after="283"/>
              <w:jc w:val="left"/>
              <w:rPr/>
            </w:pPr>
            <w:r>
              <w:rPr/>
              <w:t> </w:t>
            </w:r>
          </w:p>
        </w:tc>
      </w:tr>
      <w:tr>
        <w:trPr/>
        <w:tc>
          <w:tcPr>
            <w:tcW w:w="3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2,883,689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(364,547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6" w:type="dxa"/>
            <w:gridSpan w:val="2"/>
            <w:tcBorders/>
            <w:shd w:fill="CFF0FC" w:val="clear"/>
            <w:vAlign w:val="center"/>
          </w:tcPr>
          <w:p>
            <w:pPr>
              <w:pStyle w:val="TableContents"/>
              <w:bidi w:val="0"/>
              <w:spacing w:before="0" w:after="283"/>
              <w:jc w:val="right"/>
              <w:rPr/>
            </w:pPr>
            <w:r>
              <w:rPr/>
              <w:t> </w:t>
            </w:r>
          </w:p>
        </w:tc>
        <w:tc>
          <w:tcPr>
            <w:tcW w:w="192" w:type="dxa"/>
            <w:tcBorders/>
            <w:shd w:fill="CFF0FC" w:val="clear"/>
            <w:vAlign w:val="center"/>
          </w:tcPr>
          <w:p>
            <w:pPr>
              <w:pStyle w:val="TableContents"/>
              <w:bidi w:val="0"/>
              <w:spacing w:before="0" w:after="283"/>
              <w:jc w:val="right"/>
              <w:rPr/>
            </w:pPr>
            <w:r>
              <w:rPr/>
              <w:t> </w:t>
            </w:r>
          </w:p>
        </w:tc>
      </w:tr>
      <w:tr>
        <w:trPr/>
        <w:tc>
          <w:tcPr>
            <w:tcW w:w="3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6" w:type="dxa"/>
            <w:gridSpan w:val="2"/>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right"/>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8,110,570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39,978</w:t>
            </w:r>
          </w:p>
        </w:tc>
        <w:tc>
          <w:tcPr>
            <w:tcW w:w="192" w:type="dxa"/>
            <w:tcBorders/>
            <w:shd w:fill="CFF0FC" w:val="clear"/>
            <w:vAlign w:val="center"/>
          </w:tcPr>
          <w:p>
            <w:pPr>
              <w:pStyle w:val="TableContents"/>
              <w:bidi w:val="0"/>
              <w:spacing w:before="0" w:after="283"/>
              <w:jc w:val="left"/>
              <w:rPr/>
            </w:pPr>
            <w:r>
              <w:rPr/>
              <w:t> </w:t>
            </w:r>
          </w:p>
        </w:tc>
      </w:tr>
      <w:tr>
        <w:trPr/>
        <w:tc>
          <w:tcPr>
            <w:tcW w:w="383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Exercisable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2,721,726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0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19,786</w:t>
            </w:r>
          </w:p>
        </w:tc>
        <w:tc>
          <w:tcPr>
            <w:tcW w:w="192" w:type="dxa"/>
            <w:tcBorders/>
            <w:shd w:fill="FFFFFF" w:val="clear"/>
            <w:vAlign w:val="center"/>
          </w:tcPr>
          <w:p>
            <w:pPr>
              <w:pStyle w:val="TableContents"/>
              <w:bidi w:val="0"/>
              <w:spacing w:before="0" w:after="283"/>
              <w:jc w:val="left"/>
              <w:rPr/>
            </w:pPr>
            <w:r>
              <w:rPr/>
              <w:t> </w:t>
            </w:r>
          </w:p>
        </w:tc>
      </w:tr>
      <w:tr>
        <w:trPr/>
        <w:tc>
          <w:tcPr>
            <w:tcW w:w="38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Vested and expected to vest as of September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8,110,570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7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0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39,978</w:t>
            </w:r>
          </w:p>
        </w:tc>
        <w:tc>
          <w:tcPr>
            <w:tcW w:w="192"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As of September 30, 2023, 67,074</w:t>
      </w:r>
      <w:r>
        <w:rPr>
          <w:rFonts w:ascii="Times New Roman" w:hAnsi="Times New Roman"/>
          <w:color w:val="000000"/>
          <w:sz w:val="20"/>
        </w:rPr>
        <w:t xml:space="preserve"> </w:t>
      </w:r>
      <w:r>
        <w:rPr>
          <w:rFonts w:ascii="Times New Roman" w:hAnsi="Times New Roman"/>
          <w:b w:val="false"/>
          <w:color w:val="000000"/>
          <w:sz w:val="20"/>
        </w:rPr>
        <w:t>performance-based stock options were both outstanding and unvested. During the three and nine months ended September 30, 2023, the Company recognized $0.7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$0.8</w:t>
      </w:r>
      <w:r>
        <w:rPr>
          <w:rFonts w:ascii="Times New Roman" w:hAnsi="Times New Roman"/>
          <w:color w:val="000000"/>
          <w:sz w:val="20"/>
        </w:rPr>
        <w:t xml:space="preserve"> </w:t>
      </w:r>
      <w:r>
        <w:rPr>
          <w:rFonts w:ascii="Times New Roman" w:hAnsi="Times New Roman"/>
          <w:b w:val="false"/>
          <w:color w:val="000000"/>
          <w:sz w:val="20"/>
        </w:rPr>
        <w:t>million, respectively, in expenses related to these options as the achievement of certain performance conditions was deemed probable to occur. As of September 30, 2023, the unrecognized stock-based compensation expense related to the performance-based options was $0.5</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 xml:space="preserve">The Company estimated the fair value of stock options using the Black-Scholes valuation model. The Company accounts for forfeitures of options when they occur. Previously recognized compensation expense for an award is reversed in the period that the award is forfeited. The fair value of stock options was estimated using the following assumptions (excluding option modifications): </w:t>
      </w:r>
    </w:p>
    <w:p>
      <w:pPr>
        <w:pStyle w:val="TextBody"/>
        <w:bidi w:val="0"/>
        <w:ind w:left="0" w:right="0" w:firstLine="720"/>
        <w:jc w:val="left"/>
        <w:rPr/>
      </w:pPr>
      <w:r>
        <w:rPr/>
        <w:t> </w:t>
      </w:r>
    </w:p>
    <w:tbl>
      <w:tblPr>
        <w:tblW w:w="5436" w:type="dxa"/>
        <w:jc w:val="left"/>
        <w:tblInd w:w="0" w:type="dxa"/>
        <w:tblLayout w:type="fixed"/>
        <w:tblCellMar>
          <w:top w:w="28" w:type="dxa"/>
          <w:left w:w="28" w:type="dxa"/>
          <w:bottom w:w="28" w:type="dxa"/>
          <w:right w:w="28" w:type="dxa"/>
        </w:tblCellMar>
      </w:tblPr>
      <w:tblGrid>
        <w:gridCol w:w="2626"/>
        <w:gridCol w:w="146"/>
        <w:gridCol w:w="1141"/>
        <w:gridCol w:w="146"/>
        <w:gridCol w:w="1186"/>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rate of interest</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3.5</w:t>
            </w:r>
            <w:r>
              <w:rPr>
                <w:rFonts w:ascii="Times New Roman" w:hAnsi="Times New Roman"/>
                <w:color w:val="000000"/>
                <w:sz w:val="20"/>
              </w:rPr>
              <w:t> </w:t>
            </w:r>
            <w:r>
              <w:rPr>
                <w:rFonts w:ascii="Times New Roman" w:hAnsi="Times New Roman"/>
                <w:b w:val="false"/>
                <w:color w:val="000000"/>
                <w:sz w:val="20"/>
              </w:rPr>
              <w:t>- 4.3%</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1.6</w:t>
            </w:r>
            <w:r>
              <w:rPr>
                <w:rFonts w:ascii="Times New Roman" w:hAnsi="Times New Roman"/>
                <w:color w:val="000000"/>
                <w:sz w:val="20"/>
              </w:rPr>
              <w:t> </w:t>
            </w:r>
            <w:r>
              <w:rPr>
                <w:rFonts w:ascii="Times New Roman" w:hAnsi="Times New Roman"/>
                <w:b w:val="false"/>
                <w:color w:val="000000"/>
                <w:sz w:val="20"/>
              </w:rPr>
              <w:t>- 3.6%</w:t>
            </w:r>
          </w:p>
        </w:tc>
        <w:tc>
          <w:tcPr>
            <w:tcW w:w="191" w:type="dxa"/>
            <w:tcBorders/>
            <w:shd w:fill="CFF0FC"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5.2 - 6.1</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5.1</w:t>
            </w:r>
            <w:r>
              <w:rPr>
                <w:rFonts w:ascii="Times New Roman" w:hAnsi="Times New Roman"/>
                <w:color w:val="000000"/>
                <w:sz w:val="20"/>
              </w:rPr>
              <w:t> </w:t>
            </w:r>
            <w:r>
              <w:rPr>
                <w:rFonts w:ascii="Times New Roman" w:hAnsi="Times New Roman"/>
                <w:b w:val="false"/>
                <w:color w:val="000000"/>
                <w:sz w:val="20"/>
              </w:rPr>
              <w:t>- 6.1</w:t>
            </w:r>
          </w:p>
        </w:tc>
        <w:tc>
          <w:tcPr>
            <w:tcW w:w="191" w:type="dxa"/>
            <w:tcBorders/>
            <w:shd w:fill="FFFFFF" w:val="cle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stock price volatility</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87.0</w:t>
            </w:r>
            <w:r>
              <w:rPr>
                <w:rFonts w:ascii="Times New Roman" w:hAnsi="Times New Roman"/>
                <w:color w:val="000000"/>
                <w:sz w:val="20"/>
              </w:rPr>
              <w:t> </w:t>
            </w:r>
            <w:r>
              <w:rPr>
                <w:rFonts w:ascii="Times New Roman" w:hAnsi="Times New Roman"/>
                <w:b w:val="false"/>
                <w:color w:val="000000"/>
                <w:sz w:val="20"/>
              </w:rPr>
              <w:t>- 92.3%</w:t>
            </w:r>
          </w:p>
        </w:tc>
        <w:tc>
          <w:tcPr>
            <w:tcW w:w="146" w:type="dxa"/>
            <w:tcBorders/>
            <w:shd w:fill="CFF0FC" w:val="clear"/>
            <w:vAlign w:val="center"/>
          </w:tcPr>
          <w:p>
            <w:pPr>
              <w:pStyle w:val="TableContents"/>
              <w:bidi w:val="0"/>
              <w:spacing w:before="0" w:after="283"/>
              <w:jc w:val="left"/>
              <w:rPr/>
            </w:pPr>
            <w:r>
              <w:rPr/>
              <w:t> </w:t>
            </w:r>
          </w:p>
        </w:tc>
        <w:tc>
          <w:tcPr>
            <w:tcW w:w="118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82.3</w:t>
            </w:r>
            <w:r>
              <w:rPr>
                <w:rFonts w:ascii="Times New Roman" w:hAnsi="Times New Roman"/>
                <w:color w:val="000000"/>
                <w:sz w:val="20"/>
              </w:rPr>
              <w:t> </w:t>
            </w:r>
            <w:r>
              <w:rPr>
                <w:rFonts w:ascii="Times New Roman" w:hAnsi="Times New Roman"/>
                <w:b w:val="false"/>
                <w:color w:val="000000"/>
                <w:sz w:val="20"/>
              </w:rPr>
              <w:t>- 90.4</w:t>
            </w:r>
            <w:r>
              <w:rPr>
                <w:rFonts w:ascii="Times New Roman" w:hAnsi="Times New Roman"/>
                <w:color w:val="000000"/>
                <w:sz w:val="20"/>
              </w:rPr>
              <w:t> </w:t>
            </w:r>
            <w:r>
              <w:rPr>
                <w:rFonts w:ascii="Times New Roman" w:hAnsi="Times New Roman"/>
                <w:b w:val="false"/>
                <w:color w:val="000000"/>
                <w:sz w:val="20"/>
              </w:rPr>
              <w:t>%</w:t>
            </w:r>
          </w:p>
        </w:tc>
        <w:tc>
          <w:tcPr>
            <w:tcW w:w="191" w:type="dxa"/>
            <w:tcBorders/>
            <w:shd w:fill="CFF0FC"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center"/>
              <w:rPr>
                <w:color w:val="000000"/>
              </w:rPr>
            </w:pPr>
            <w:r>
              <w:rPr>
                <w:color w:val="000000"/>
              </w:rPr>
              <w:t>—</w:t>
            </w:r>
          </w:p>
        </w:tc>
        <w:tc>
          <w:tcPr>
            <w:tcW w:w="191" w:type="dxa"/>
            <w:tcBorders/>
            <w:shd w:fill="FFFFFF" w:val="clear"/>
            <w:vAlign w:val="center"/>
          </w:tcPr>
          <w:p>
            <w:pPr>
              <w:pStyle w:val="TableContents"/>
              <w:bidi w:val="0"/>
              <w:spacing w:before="0" w:after="283"/>
              <w:jc w:val="center"/>
              <w:rPr/>
            </w:pPr>
            <w:r>
              <w:rPr/>
              <w:t> </w:t>
            </w:r>
          </w:p>
        </w:tc>
      </w:tr>
    </w:tbl>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Stock-based compensation expense recognized for all equity awards has been reported in the condensed statements of operations and comprehensive loss as follows (in thousands):</w:t>
      </w:r>
    </w:p>
    <w:p>
      <w:pPr>
        <w:pStyle w:val="TextBody"/>
        <w:bidi w:val="0"/>
        <w:ind w:left="0" w:right="0" w:firstLine="720"/>
        <w:jc w:val="left"/>
        <w:rPr/>
      </w:pPr>
      <w:r>
        <w:rPr/>
        <w:t> </w:t>
      </w:r>
    </w:p>
    <w:tbl>
      <w:tblPr>
        <w:tblW w:w="7357" w:type="dxa"/>
        <w:jc w:val="left"/>
        <w:tblInd w:w="0" w:type="dxa"/>
        <w:tblLayout w:type="fixed"/>
        <w:tblCellMar>
          <w:top w:w="28" w:type="dxa"/>
          <w:left w:w="28" w:type="dxa"/>
          <w:bottom w:w="28" w:type="dxa"/>
          <w:right w:w="28" w:type="dxa"/>
        </w:tblCellMar>
      </w:tblPr>
      <w:tblGrid>
        <w:gridCol w:w="3016"/>
        <w:gridCol w:w="146"/>
        <w:gridCol w:w="211"/>
        <w:gridCol w:w="571"/>
        <w:gridCol w:w="146"/>
        <w:gridCol w:w="146"/>
        <w:gridCol w:w="211"/>
        <w:gridCol w:w="571"/>
        <w:gridCol w:w="146"/>
        <w:gridCol w:w="146"/>
        <w:gridCol w:w="211"/>
        <w:gridCol w:w="571"/>
        <w:gridCol w:w="146"/>
        <w:gridCol w:w="146"/>
        <w:gridCol w:w="211"/>
        <w:gridCol w:w="57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3,732</w:t>
            </w:r>
          </w:p>
        </w:tc>
        <w:tc>
          <w:tcPr>
            <w:tcW w:w="1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b w:val="false"/>
          <w:color w:val="000000"/>
          <w:sz w:val="20"/>
        </w:rPr>
        <w:t>The weighted-average grant date fair value of options granted for the nine months ended September 30, 2023 and 2022 was $10.01</w:t>
      </w:r>
      <w:r>
        <w:rPr>
          <w:rFonts w:ascii="Times New Roman" w:hAnsi="Times New Roman"/>
          <w:color w:val="000000"/>
          <w:sz w:val="20"/>
        </w:rPr>
        <w:t xml:space="preserve"> </w:t>
      </w:r>
      <w:r>
        <w:rPr>
          <w:rFonts w:ascii="Times New Roman" w:hAnsi="Times New Roman"/>
          <w:b w:val="false"/>
          <w:color w:val="000000"/>
          <w:sz w:val="20"/>
        </w:rPr>
        <w:t>and $5.59</w:t>
      </w:r>
      <w:r>
        <w:rPr>
          <w:rFonts w:ascii="Times New Roman" w:hAnsi="Times New Roman"/>
          <w:color w:val="000000"/>
          <w:sz w:val="20"/>
        </w:rPr>
        <w:t xml:space="preserve"> </w:t>
      </w:r>
      <w:r>
        <w:rPr>
          <w:rFonts w:ascii="Times New Roman" w:hAnsi="Times New Roman"/>
          <w:b w:val="false"/>
          <w:color w:val="000000"/>
          <w:sz w:val="20"/>
        </w:rPr>
        <w:t>per share, respectively.</w:t>
      </w:r>
      <w:r>
        <w:rPr>
          <w:rFonts w:ascii="Times New Roman" w:hAnsi="Times New Roman"/>
          <w:color w:val="000000"/>
          <w:sz w:val="20"/>
        </w:rPr>
        <w:t xml:space="preserve"> </w:t>
      </w:r>
    </w:p>
    <w:p>
      <w:pPr>
        <w:pStyle w:val="TextBody"/>
        <w:bidi w:val="0"/>
        <w:ind w:left="0" w:right="0" w:firstLine="72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ind w:left="0" w:right="0" w:firstLine="720"/>
        <w:jc w:val="left"/>
        <w:rPr>
          <w:rFonts w:ascii="Times New Roman" w:hAnsi="Times New Roman"/>
          <w:sz w:val="20"/>
        </w:rPr>
      </w:pPr>
      <w:r>
        <w:rPr>
          <w:rFonts w:ascii="Times New Roman" w:hAnsi="Times New Roman"/>
          <w:b w:val="false"/>
          <w:color w:val="000000"/>
          <w:sz w:val="20"/>
        </w:rPr>
        <w:t>For nine months ended September 30, 2023, forfeitures resulted in the reversal of compensation expense totaling $0.1</w:t>
      </w:r>
      <w:r>
        <w:rPr>
          <w:rFonts w:ascii="Times New Roman" w:hAnsi="Times New Roman"/>
          <w:color w:val="000000"/>
          <w:sz w:val="20"/>
        </w:rPr>
        <w:t xml:space="preserve"> </w:t>
      </w:r>
      <w:r>
        <w:rPr>
          <w:rFonts w:ascii="Times New Roman" w:hAnsi="Times New Roman"/>
          <w:b w:val="false"/>
          <w:color w:val="000000"/>
          <w:sz w:val="20"/>
        </w:rPr>
        <w:t>million. For nine months ended September 30, 2022, forfeitures resulted in the reversal of compensation expense totaling $1.1</w:t>
      </w:r>
      <w:r>
        <w:rPr>
          <w:rFonts w:ascii="Times New Roman" w:hAnsi="Times New Roman"/>
          <w:color w:val="000000"/>
          <w:sz w:val="20"/>
        </w:rPr>
        <w:t xml:space="preserve"> </w:t>
      </w:r>
      <w:r>
        <w:rPr>
          <w:rFonts w:ascii="Times New Roman" w:hAnsi="Times New Roman"/>
          <w:b w:val="false"/>
          <w:color w:val="000000"/>
          <w:sz w:val="20"/>
        </w:rPr>
        <w:t>million, of which $1.0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related to compensation expense for performance-based options, previously recorded in 2022.</w:t>
      </w:r>
    </w:p>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b w:val="false"/>
          <w:color w:val="000000"/>
          <w:sz w:val="20"/>
        </w:rPr>
        <w:t>As of September 30, 2023, the unrecognized compensation cost related to outstanding employee and nonemployee options was $42.3</w:t>
      </w:r>
      <w:r>
        <w:rPr>
          <w:rFonts w:ascii="Times New Roman" w:hAnsi="Times New Roman"/>
          <w:color w:val="000000"/>
          <w:sz w:val="20"/>
        </w:rPr>
        <w:t xml:space="preserve"> </w:t>
      </w:r>
      <w:r>
        <w:rPr>
          <w:rFonts w:ascii="Times New Roman" w:hAnsi="Times New Roman"/>
          <w:b w:val="false"/>
          <w:color w:val="000000"/>
          <w:sz w:val="20"/>
        </w:rPr>
        <w:t>million, and is expected to be recognized as expense over a weighted-average period of approximately 2.6</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jc w:val="left"/>
        <w:rPr/>
      </w:pPr>
      <w:r>
        <w:rPr/>
        <w:t> </w:t>
      </w:r>
    </w:p>
    <w:p>
      <w:pPr>
        <w:pStyle w:val="TextBody"/>
        <w:bidi w:val="0"/>
        <w:ind w:left="0" w:right="0" w:firstLine="720"/>
        <w:jc w:val="left"/>
        <w:rPr>
          <w:rFonts w:ascii="Times New Roman" w:hAnsi="Times New Roman"/>
          <w:sz w:val="20"/>
        </w:rPr>
      </w:pPr>
      <w:r>
        <w:rPr>
          <w:rFonts w:ascii="Times New Roman" w:hAnsi="Times New Roman"/>
          <w:b w:val="false"/>
          <w:color w:val="000000"/>
          <w:sz w:val="20"/>
        </w:rPr>
        <w:t>In September 2021, the Company’s Board of Directors and stockholders approved and adopted the 2021 Employee Stock Purchase Plan (ESPP). The ESPP became effective on the business day immediately prior to the effective date of the Company’s first registration statement. A total of 380,000</w:t>
      </w:r>
      <w:r>
        <w:rPr>
          <w:rFonts w:ascii="Times New Roman" w:hAnsi="Times New Roman"/>
          <w:color w:val="000000"/>
          <w:sz w:val="20"/>
        </w:rPr>
        <w:t xml:space="preserve"> </w:t>
      </w:r>
      <w:r>
        <w:rPr>
          <w:rFonts w:ascii="Times New Roman" w:hAnsi="Times New Roman"/>
          <w:b w:val="false"/>
          <w:color w:val="000000"/>
          <w:sz w:val="20"/>
        </w:rPr>
        <w:t>shares of the Company’s common stock were initially reserved for issuance pursuant to the ESPP. In addition, the number of shares of the Company’s common stock available for issuance under the ESPP will automatically increase on the first day of each fiscal year, beginning with the Company’s 2022 fiscal year, in an amount equal to the lesser of (1) 1% of the outstanding shares of the Company’s common stock on the last day of the immediately preceding fiscal year, or (2) such smaller amount as determined by the Company’s Board of Directors. On January 1, 2022, the number of shares reserved for issuance under the ESPP was increased to 805,361</w:t>
      </w:r>
      <w:r>
        <w:rPr>
          <w:rFonts w:ascii="Times New Roman" w:hAnsi="Times New Roman"/>
          <w:color w:val="000000"/>
          <w:sz w:val="20"/>
        </w:rPr>
        <w:t xml:space="preserve"> </w:t>
      </w:r>
      <w:r>
        <w:rPr>
          <w:rFonts w:ascii="Times New Roman" w:hAnsi="Times New Roman"/>
          <w:b w:val="false"/>
          <w:color w:val="000000"/>
          <w:sz w:val="20"/>
        </w:rPr>
        <w:t>shares and on January 1, 2023, the number of shares reserved for issuance under the ESPP was increased to 1,231,705</w:t>
      </w:r>
      <w:r>
        <w:rPr>
          <w:rFonts w:ascii="Times New Roman" w:hAnsi="Times New Roman"/>
          <w:color w:val="000000"/>
          <w:sz w:val="20"/>
        </w:rPr>
        <w:t xml:space="preserve"> </w:t>
      </w:r>
      <w:r>
        <w:rPr>
          <w:rFonts w:ascii="Times New Roman" w:hAnsi="Times New Roman"/>
          <w:b w:val="false"/>
          <w:color w:val="000000"/>
          <w:sz w:val="20"/>
        </w:rPr>
        <w:t>shares.</w:t>
      </w:r>
      <w:r>
        <w:rPr>
          <w:rFonts w:ascii="Times New Roman" w:hAnsi="Times New Roman"/>
          <w:color w:val="000000"/>
          <w:sz w:val="20"/>
        </w:rPr>
        <w:t xml:space="preserve"> </w:t>
      </w:r>
    </w:p>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b w:val="false"/>
          <w:color w:val="000000"/>
          <w:sz w:val="20"/>
        </w:rPr>
        <w:t>The ESPP permits eligible employees who elect to participate in an offering under the ESPP to have up to 15% of their eligible earnings withheld, subject to certain limitations, to purchase shares of common stock pursuant to the ESPP. The price of common stock purchased under the ESPP is equal to 85% of the lower of the fair market value of the common stock at the commencement date of each offering period or the relevant date of purchase. Each offering period is 24 months, with new offering periods commencing every six months on or about the dates of March 15 and September 15 of each year.</w:t>
      </w:r>
      <w:r>
        <w:rPr>
          <w:rFonts w:ascii="Times New Roman" w:hAnsi="Times New Roman"/>
          <w:color w:val="000000"/>
          <w:sz w:val="20"/>
        </w:rPr>
        <w:t xml:space="preserve"> </w:t>
      </w:r>
      <w:r>
        <w:rPr>
          <w:rFonts w:ascii="Times New Roman" w:hAnsi="Times New Roman"/>
          <w:b w:val="false"/>
          <w:color w:val="000000"/>
          <w:sz w:val="20"/>
        </w:rPr>
        <w:t>During the nine months ended September 30, 2023 and 2022, the Company issued 56,387</w:t>
      </w:r>
      <w:r>
        <w:rPr>
          <w:rFonts w:ascii="Times New Roman" w:hAnsi="Times New Roman"/>
          <w:color w:val="000000"/>
          <w:sz w:val="20"/>
        </w:rPr>
        <w:t xml:space="preserve"> </w:t>
      </w:r>
      <w:r>
        <w:rPr>
          <w:rFonts w:ascii="Times New Roman" w:hAnsi="Times New Roman"/>
          <w:b w:val="false"/>
          <w:color w:val="000000"/>
          <w:sz w:val="20"/>
        </w:rPr>
        <w:t>and 45,919</w:t>
      </w:r>
      <w:r>
        <w:rPr>
          <w:rFonts w:ascii="Times New Roman" w:hAnsi="Times New Roman"/>
          <w:color w:val="000000"/>
          <w:sz w:val="20"/>
        </w:rPr>
        <w:t xml:space="preserve"> </w:t>
      </w:r>
      <w:r>
        <w:rPr>
          <w:rFonts w:ascii="Times New Roman" w:hAnsi="Times New Roman"/>
          <w:b w:val="false"/>
          <w:color w:val="000000"/>
          <w:sz w:val="20"/>
        </w:rPr>
        <w:t>shares, respectively, of common stock in connection with the ESPP. As of September 30, 2023, there were 1,129,399</w:t>
      </w:r>
      <w:r>
        <w:rPr>
          <w:rFonts w:ascii="Times New Roman" w:hAnsi="Times New Roman"/>
          <w:color w:val="000000"/>
          <w:sz w:val="20"/>
        </w:rPr>
        <w:t xml:space="preserve"> </w:t>
      </w:r>
      <w:r>
        <w:rPr>
          <w:rFonts w:ascii="Times New Roman" w:hAnsi="Times New Roman"/>
          <w:b w:val="false"/>
          <w:color w:val="000000"/>
          <w:sz w:val="20"/>
        </w:rPr>
        <w:t>shares available for future purchase under the ESPP.</w:t>
      </w:r>
    </w:p>
    <w:p>
      <w:pPr>
        <w:pStyle w:val="TextBody"/>
        <w:bidi w:val="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b w:val="false"/>
          <w:color w:val="000000"/>
          <w:sz w:val="20"/>
        </w:rPr>
        <w:t>The Company recognized compensation expense of $0.1</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 and $0.4</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 related to the ESPP. As of September 30, 2023, the remaining unrecognized compensation expense related to the ESPP was $0.3</w:t>
      </w:r>
      <w:r>
        <w:rPr>
          <w:rFonts w:ascii="Times New Roman" w:hAnsi="Times New Roman"/>
          <w:color w:val="000000"/>
          <w:sz w:val="20"/>
        </w:rPr>
        <w:t xml:space="preserve"> </w:t>
      </w:r>
      <w:r>
        <w:rPr>
          <w:rFonts w:ascii="Times New Roman" w:hAnsi="Times New Roman"/>
          <w:b w:val="false"/>
          <w:color w:val="000000"/>
          <w:sz w:val="20"/>
        </w:rPr>
        <w:t>million, and is expected to be recognized as expense over a weighted-average period of approximately 1.2</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240" w:after="283"/>
        <w:jc w:val="left"/>
        <w:rPr>
          <w:rFonts w:ascii="Times New Roman" w:hAnsi="Times New Roman"/>
          <w:sz w:val="20"/>
        </w:rPr>
      </w:pPr>
      <w:r>
        <w:rPr>
          <w:rFonts w:ascii="Times New Roman" w:hAnsi="Times New Roman"/>
          <w:b/>
          <w:i/>
          <w:color w:val="000000"/>
          <w:sz w:val="20"/>
        </w:rPr>
        <w:t>Liability for Early Exercise of Stock Options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Certain individuals were granted the ability to early exercise their stock options prior to the IPO. The shares of common stock issued from the early exercise of unvested stock options are restricted and continue to vest in accordance with the original vesting schedule. The Company has the option to repurchase any unvested shares at the original purchase price upon any voluntary or involuntary termination. The shares purchased by the employees and non-employees pursuant to the early exercise of stock options are not deemed, for accounting purposes, to be outstanding until those shares vest. The cash received in exchange for exercised and unvested shares related to stock options granted is recorded as a liability for the early exercise of stock options on the accompanying condensed balance sheets and will be transferred into common stock and additional paid-in capital as the shares vest. As of September 30, 2023 and December 31, 2022, 124,644</w:t>
      </w:r>
      <w:r>
        <w:rPr>
          <w:rFonts w:ascii="Times New Roman" w:hAnsi="Times New Roman"/>
          <w:color w:val="000000"/>
          <w:sz w:val="20"/>
        </w:rPr>
        <w:t xml:space="preserve"> </w:t>
      </w:r>
      <w:r>
        <w:rPr>
          <w:rFonts w:ascii="Times New Roman" w:hAnsi="Times New Roman"/>
          <w:b w:val="false"/>
          <w:color w:val="000000"/>
          <w:sz w:val="20"/>
        </w:rPr>
        <w:t>and 277,081</w:t>
      </w:r>
      <w:r>
        <w:rPr>
          <w:rFonts w:ascii="Times New Roman" w:hAnsi="Times New Roman"/>
          <w:color w:val="000000"/>
          <w:sz w:val="20"/>
        </w:rPr>
        <w:t xml:space="preserve"> </w:t>
      </w:r>
      <w:r>
        <w:rPr>
          <w:rFonts w:ascii="Times New Roman" w:hAnsi="Times New Roman"/>
          <w:b w:val="false"/>
          <w:color w:val="000000"/>
          <w:sz w:val="20"/>
        </w:rPr>
        <w:t>unvested shares issued under early exercise provisions were subject to repurchase by the Company, respectively. As of September 30, 2023 and December 31, 2022, the Company recorded $0.1</w:t>
      </w:r>
      <w:r>
        <w:rPr>
          <w:rFonts w:ascii="Times New Roman" w:hAnsi="Times New Roman"/>
          <w:color w:val="000000"/>
          <w:sz w:val="20"/>
        </w:rPr>
        <w:t xml:space="preserve"> </w:t>
      </w:r>
      <w:r>
        <w:rPr>
          <w:rFonts w:ascii="Times New Roman" w:hAnsi="Times New Roman"/>
          <w:b w:val="false"/>
          <w:color w:val="000000"/>
          <w:sz w:val="20"/>
        </w:rPr>
        <w:t>million and $0.2</w:t>
      </w:r>
      <w:r>
        <w:rPr>
          <w:rFonts w:ascii="Times New Roman" w:hAnsi="Times New Roman"/>
          <w:color w:val="000000"/>
          <w:sz w:val="20"/>
        </w:rPr>
        <w:t xml:space="preserve"> </w:t>
      </w:r>
      <w:r>
        <w:rPr>
          <w:rFonts w:ascii="Times New Roman" w:hAnsi="Times New Roman"/>
          <w:b w:val="false"/>
          <w:color w:val="000000"/>
          <w:sz w:val="20"/>
        </w:rPr>
        <w:t>million, respectively, associated with early exercised stock options in other long-term liabilities.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Net Loss Per Share</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The following table sets forth the computation of the basic and diluted net loss per share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(42,430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52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43,020,965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42,646,810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42,822,677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42,614,902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524"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Less: weighted-average unvested restricted common stock subject to repurchase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(209,421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(330,928</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Less: weighted-average unvested common stock issued upon early exercise of common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(506,922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5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used to compute net loss per common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42,868,340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41,997,195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42,619,075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41,777,052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ind w:left="0" w:right="0" w:firstLine="720"/>
        <w:jc w:val="left"/>
        <w:rPr>
          <w:rFonts w:ascii="Times New Roman" w:hAnsi="Times New Roman"/>
          <w:sz w:val="20"/>
        </w:rPr>
      </w:pPr>
      <w:r>
        <w:rPr>
          <w:rFonts w:ascii="Times New Roman" w:hAnsi="Times New Roman"/>
          <w:b w:val="false"/>
          <w:color w:val="000000"/>
          <w:sz w:val="20"/>
        </w:rPr>
        <w:t>The following table sets forth the outstanding potentially dilutive securities that have been excluded from the calculation of diluted net loss per share because their inclusion would be anti-dilutive.</w:t>
      </w:r>
      <w:r>
        <w:rPr>
          <w:rFonts w:ascii="Times New Roman" w:hAnsi="Times New Roman"/>
          <w:color w:val="000000"/>
          <w:sz w:val="20"/>
        </w:rPr>
        <w:t xml:space="preserve"> </w:t>
      </w:r>
    </w:p>
    <w:p>
      <w:pPr>
        <w:pStyle w:val="TextBody"/>
        <w:bidi w:val="0"/>
        <w:jc w:val="left"/>
        <w:rPr/>
      </w:pPr>
      <w:r>
        <w:rPr/>
        <w:t> </w:t>
      </w:r>
    </w:p>
    <w:tbl>
      <w:tblPr>
        <w:tblW w:w="7449" w:type="dxa"/>
        <w:jc w:val="left"/>
        <w:tblInd w:w="0" w:type="dxa"/>
        <w:tblLayout w:type="fixed"/>
        <w:tblCellMar>
          <w:top w:w="28" w:type="dxa"/>
          <w:left w:w="28" w:type="dxa"/>
          <w:bottom w:w="28" w:type="dxa"/>
          <w:right w:w="28" w:type="dxa"/>
        </w:tblCellMar>
      </w:tblPr>
      <w:tblGrid>
        <w:gridCol w:w="4666"/>
        <w:gridCol w:w="146"/>
        <w:gridCol w:w="146"/>
        <w:gridCol w:w="931"/>
        <w:gridCol w:w="146"/>
        <w:gridCol w:w="146"/>
        <w:gridCol w:w="146"/>
        <w:gridCol w:w="931"/>
        <w:gridCol w:w="19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restricted common stock subject to repurchase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127,760</w:t>
            </w:r>
          </w:p>
        </w:tc>
        <w:tc>
          <w:tcPr>
            <w:tcW w:w="191" w:type="dxa"/>
            <w:tcBorders/>
            <w:shd w:fill="CFF0FC" w:val="cle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Unvested common stock upon early exercise of stock</w:t>
              <w:br/>
              <w:t>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124,644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368,127</w:t>
            </w:r>
          </w:p>
        </w:tc>
        <w:tc>
          <w:tcPr>
            <w:tcW w:w="191" w:type="dxa"/>
            <w:tcBorders/>
            <w:shd w:fill="FFFFFF" w:val="clear"/>
            <w:vAlign w:val="center"/>
          </w:tcPr>
          <w:p>
            <w:pPr>
              <w:pStyle w:val="TableContents"/>
              <w:bidi w:val="0"/>
              <w:spacing w:before="0" w:after="283"/>
              <w:jc w:val="left"/>
              <w:rPr/>
            </w:pPr>
            <w:r>
              <w:rPr/>
              <w:t> </w:t>
            </w:r>
          </w:p>
        </w:tc>
      </w:tr>
      <w:tr>
        <w:trPr/>
        <w:tc>
          <w:tcPr>
            <w:tcW w:w="46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8,110,570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5,948,170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8,237,079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6,444,057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9. Leases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The Company has operating leases for its office and laboratory space, including its corporate headquarters.</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In August 2020, the Company entered into a lease agreement for approximately 4,734</w:t>
      </w:r>
      <w:r>
        <w:rPr>
          <w:rFonts w:ascii="Times New Roman" w:hAnsi="Times New Roman"/>
          <w:color w:val="000000"/>
          <w:sz w:val="20"/>
        </w:rPr>
        <w:t xml:space="preserve"> </w:t>
      </w:r>
      <w:r>
        <w:rPr>
          <w:rFonts w:ascii="Times New Roman" w:hAnsi="Times New Roman"/>
          <w:b w:val="false"/>
          <w:color w:val="000000"/>
          <w:sz w:val="20"/>
        </w:rPr>
        <w:t>square feet of office and lab space at 2656 State Street in Carlsbad, California, for the Company’s headquarters (the Original Lease). The Original Lease commenced in May 2021, and had an original term of 60</w:t>
      </w:r>
      <w:r>
        <w:rPr>
          <w:rFonts w:ascii="Times New Roman" w:hAnsi="Times New Roman"/>
          <w:color w:val="000000"/>
          <w:sz w:val="20"/>
        </w:rPr>
        <w:t xml:space="preserve"> </w:t>
      </w:r>
      <w:r>
        <w:rPr>
          <w:rFonts w:ascii="Times New Roman" w:hAnsi="Times New Roman"/>
          <w:b w:val="false"/>
          <w:color w:val="000000"/>
          <w:sz w:val="20"/>
        </w:rPr>
        <w:t>months, with an option to extend for two</w:t>
      </w:r>
      <w:r>
        <w:rPr>
          <w:rFonts w:ascii="Times New Roman" w:hAnsi="Times New Roman"/>
          <w:color w:val="000000"/>
          <w:sz w:val="20"/>
        </w:rPr>
        <w:t xml:space="preserve"> </w:t>
      </w:r>
      <w:r>
        <w:rPr>
          <w:rFonts w:ascii="Times New Roman" w:hAnsi="Times New Roman"/>
          <w:b w:val="false"/>
          <w:color w:val="000000"/>
          <w:sz w:val="20"/>
        </w:rPr>
        <w:t>additional 36</w:t>
      </w:r>
      <w:r>
        <w:rPr>
          <w:rFonts w:ascii="Times New Roman" w:hAnsi="Times New Roman"/>
          <w:color w:val="000000"/>
          <w:sz w:val="20"/>
        </w:rPr>
        <w:t xml:space="preserve"> </w:t>
      </w:r>
      <w:r>
        <w:rPr>
          <w:rFonts w:ascii="Times New Roman" w:hAnsi="Times New Roman"/>
          <w:b w:val="false"/>
          <w:color w:val="000000"/>
          <w:sz w:val="20"/>
        </w:rPr>
        <w:t>month periods.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In March 2022, the Company entered into a lease agreement for approximately 7,377</w:t>
      </w:r>
      <w:r>
        <w:rPr>
          <w:rFonts w:ascii="Times New Roman" w:hAnsi="Times New Roman"/>
          <w:color w:val="000000"/>
          <w:sz w:val="20"/>
        </w:rPr>
        <w:t xml:space="preserve"> </w:t>
      </w:r>
      <w:r>
        <w:rPr>
          <w:rFonts w:ascii="Times New Roman" w:hAnsi="Times New Roman"/>
          <w:b w:val="false"/>
          <w:color w:val="000000"/>
          <w:sz w:val="20"/>
        </w:rPr>
        <w:t>square feet of additional office and laboratory space at 2676 State Street in Carlsbad, California (the Expansion Lease). The Expansion Lease commenced for accounting purposes when the Company gained access to the premises in May 2023. The Company's obligation for payment of base rent begins on the date the landlord delivers possession of the Expansion Lease premises, estimated to occur in November 2023. The landlord is completing improvements on the Expansion Lease premises, and the Company paid $0.5</w:t>
      </w:r>
      <w:r>
        <w:rPr>
          <w:rFonts w:ascii="Times New Roman" w:hAnsi="Times New Roman"/>
          <w:color w:val="000000"/>
          <w:sz w:val="20"/>
        </w:rPr>
        <w:t xml:space="preserve"> </w:t>
      </w:r>
      <w:r>
        <w:rPr>
          <w:rFonts w:ascii="Times New Roman" w:hAnsi="Times New Roman"/>
          <w:b w:val="false"/>
          <w:color w:val="000000"/>
          <w:sz w:val="20"/>
        </w:rPr>
        <w:t>million of these costs prior to the Expansion Lease commencement. The Company has concluded that the landlord is the accounting owner of these improvements, and therefore this payment has been included in the calculation of the right-of-use asset and lease liability. The Company is entitled to certain rent abatement for delays related to the landlord's delivery of the Expansion Lease premises to the Company. The Expansion Lease has a lease term of 120 months, starting on the day the landlord delivers possession of the Expansion Lease premises. The Company has an option to renew the Expansion Lease for two additional 36 month periods. The Original Lease was also amended to have the same lease expiration as the Expansion Lease.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The Company did not include the renewal periods in determining the lease term, as the Company was not reasonably certain to exercise either the amended Original Lease or the Expansion Lease renewal options.</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In connection with the Company's lease agreements, the Company paid security deposits of $0.1</w:t>
      </w:r>
      <w:r>
        <w:rPr>
          <w:rFonts w:ascii="Times New Roman" w:hAnsi="Times New Roman"/>
          <w:color w:val="000000"/>
          <w:sz w:val="20"/>
        </w:rPr>
        <w:t xml:space="preserve"> </w:t>
      </w:r>
      <w:r>
        <w:rPr>
          <w:rFonts w:ascii="Times New Roman" w:hAnsi="Times New Roman"/>
          <w:b w:val="false"/>
          <w:color w:val="000000"/>
          <w:sz w:val="20"/>
        </w:rPr>
        <w:t>million and is required to maintain a letter of credit of $1.0</w:t>
      </w:r>
      <w:r>
        <w:rPr>
          <w:rFonts w:ascii="Times New Roman" w:hAnsi="Times New Roman"/>
          <w:color w:val="000000"/>
          <w:sz w:val="20"/>
        </w:rPr>
        <w:t xml:space="preserve"> </w:t>
      </w:r>
      <w:r>
        <w:rPr>
          <w:rFonts w:ascii="Times New Roman" w:hAnsi="Times New Roman"/>
          <w:b w:val="false"/>
          <w:color w:val="000000"/>
          <w:sz w:val="20"/>
        </w:rPr>
        <w:t>million until 2027 at which time it can be reduced to $0.5</w:t>
      </w:r>
      <w:r>
        <w:rPr>
          <w:rFonts w:ascii="Times New Roman" w:hAnsi="Times New Roman"/>
          <w:color w:val="000000"/>
          <w:sz w:val="20"/>
        </w:rPr>
        <w:t xml:space="preserve"> </w:t>
      </w:r>
      <w:r>
        <w:rPr>
          <w:rFonts w:ascii="Times New Roman" w:hAnsi="Times New Roman"/>
          <w:b w:val="false"/>
          <w:color w:val="000000"/>
          <w:sz w:val="20"/>
        </w:rPr>
        <w:t>million throughout the end of the lease term.</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Cash paid for amounts included in the measurement of lease liabilities was $0.1</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 for the three months ended September 30, 2023 and 2022, respectively, and $0.8</w:t>
      </w:r>
      <w:r>
        <w:rPr>
          <w:rFonts w:ascii="Times New Roman" w:hAnsi="Times New Roman"/>
          <w:color w:val="000000"/>
          <w:sz w:val="20"/>
        </w:rPr>
        <w:t xml:space="preserve"> </w:t>
      </w:r>
      <w:r>
        <w:rPr>
          <w:rFonts w:ascii="Times New Roman" w:hAnsi="Times New Roman"/>
          <w:b w:val="false"/>
          <w:color w:val="000000"/>
          <w:sz w:val="20"/>
        </w:rPr>
        <w:t>million and $0.2</w:t>
      </w:r>
      <w:r>
        <w:rPr>
          <w:rFonts w:ascii="Times New Roman" w:hAnsi="Times New Roman"/>
          <w:color w:val="000000"/>
          <w:sz w:val="20"/>
        </w:rPr>
        <w:t xml:space="preserve"> </w:t>
      </w:r>
      <w:r>
        <w:rPr>
          <w:rFonts w:ascii="Times New Roman" w:hAnsi="Times New Roman"/>
          <w:b w:val="false"/>
          <w:color w:val="000000"/>
          <w:sz w:val="20"/>
        </w:rPr>
        <w:t>million for the nine months ended September 30, 2023 and 2022, respectively.</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The components of lease expense include operating, short-term, and variable lease costs. Amortization is recorded within research and development and general and administrative expenses in the condensed statements of operations and comprehensive loss. Components of lease cost for the three and nine months ended September 30, 2023 and 2022, respectively, were as follows (in thousands):</w:t>
      </w:r>
    </w:p>
    <w:p>
      <w:pPr>
        <w:pStyle w:val="TextBody"/>
        <w:bidi w:val="0"/>
        <w:ind w:left="0" w:right="0" w:firstLine="720"/>
        <w:jc w:val="left"/>
        <w:rPr/>
      </w:pPr>
      <w:r>
        <w:rPr/>
        <w:t> </w:t>
      </w:r>
    </w:p>
    <w:tbl>
      <w:tblPr>
        <w:tblW w:w="5588" w:type="dxa"/>
        <w:jc w:val="left"/>
        <w:tblInd w:w="0" w:type="dxa"/>
        <w:tblLayout w:type="fixed"/>
        <w:tblCellMar>
          <w:top w:w="28" w:type="dxa"/>
          <w:left w:w="28" w:type="dxa"/>
          <w:bottom w:w="28" w:type="dxa"/>
          <w:right w:w="28" w:type="dxa"/>
        </w:tblCellMar>
      </w:tblPr>
      <w:tblGrid>
        <w:gridCol w:w="1801"/>
        <w:gridCol w:w="146"/>
        <w:gridCol w:w="217"/>
        <w:gridCol w:w="434"/>
        <w:gridCol w:w="150"/>
        <w:gridCol w:w="150"/>
        <w:gridCol w:w="217"/>
        <w:gridCol w:w="434"/>
        <w:gridCol w:w="146"/>
        <w:gridCol w:w="146"/>
        <w:gridCol w:w="211"/>
        <w:gridCol w:w="421"/>
        <w:gridCol w:w="146"/>
        <w:gridCol w:w="146"/>
        <w:gridCol w:w="211"/>
        <w:gridCol w:w="421"/>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227</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191" w:type="dxa"/>
            <w:tcBorders/>
            <w:shd w:fill="CFF0FC" w:val="cle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lease cost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w:t>
            </w:r>
          </w:p>
        </w:tc>
        <w:tc>
          <w:tcPr>
            <w:tcW w:w="191" w:type="dxa"/>
            <w:tcBorders/>
            <w:shd w:fill="FFFFFF" w:val="clear"/>
            <w:vAlign w:val="center"/>
          </w:tcPr>
          <w:p>
            <w:pPr>
              <w:pStyle w:val="TableContents"/>
              <w:bidi w:val="0"/>
              <w:spacing w:before="0" w:after="283"/>
              <w:jc w:val="left"/>
              <w:rPr/>
            </w:pPr>
            <w:r>
              <w:rPr/>
              <w:t> </w:t>
            </w:r>
          </w:p>
        </w:tc>
      </w:tr>
      <w:tr>
        <w:trPr/>
        <w:tc>
          <w:tcPr>
            <w:tcW w:w="18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Variable lease cost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lease cost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Maturities of lease liabilities, weighted-average remaining term and weighted-average discount rate were as follows (in thousands):</w:t>
      </w:r>
    </w:p>
    <w:p>
      <w:pPr>
        <w:pStyle w:val="TextBody"/>
        <w:bidi w:val="0"/>
        <w:jc w:val="left"/>
        <w:rPr/>
      </w:pPr>
      <w:r>
        <w:rPr/>
        <w:t> </w:t>
      </w:r>
    </w:p>
    <w:tbl>
      <w:tblPr>
        <w:tblW w:w="5383" w:type="dxa"/>
        <w:jc w:val="left"/>
        <w:tblInd w:w="0" w:type="dxa"/>
        <w:tblLayout w:type="fixed"/>
        <w:tblCellMar>
          <w:top w:w="28" w:type="dxa"/>
          <w:left w:w="28" w:type="dxa"/>
          <w:bottom w:w="28" w:type="dxa"/>
          <w:right w:w="28" w:type="dxa"/>
        </w:tblCellMar>
      </w:tblPr>
      <w:tblGrid>
        <w:gridCol w:w="3286"/>
        <w:gridCol w:w="146"/>
        <w:gridCol w:w="390"/>
        <w:gridCol w:w="1170"/>
        <w:gridCol w:w="3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Year ending December 31,</w:t>
            </w:r>
          </w:p>
        </w:tc>
        <w:tc>
          <w:tcPr>
            <w:tcW w:w="146" w:type="dxa"/>
            <w:tcBorders/>
            <w:shd w:fill="CFF0FC" w:val="clear"/>
            <w:vAlign w:val="center"/>
          </w:tcPr>
          <w:p>
            <w:pPr>
              <w:pStyle w:val="TableContents"/>
              <w:bidi w:val="0"/>
              <w:spacing w:before="0" w:after="283"/>
              <w:jc w:val="left"/>
              <w:rPr/>
            </w:pPr>
            <w:r>
              <w:rPr/>
              <w:t> </w:t>
            </w:r>
          </w:p>
        </w:tc>
        <w:tc>
          <w:tcPr>
            <w:tcW w:w="156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2023 (remaining three months)</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90"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minimum lease payments</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9,016</w:t>
            </w:r>
          </w:p>
        </w:tc>
        <w:tc>
          <w:tcPr>
            <w:tcW w:w="3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amount representing interest</w:t>
            </w:r>
          </w:p>
        </w:tc>
        <w:tc>
          <w:tcPr>
            <w:tcW w:w="146" w:type="dxa"/>
            <w:tcBorders/>
            <w:shd w:fill="CFF0FC" w:val="cle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Present value of lease liabilities</w:t>
            </w:r>
          </w:p>
        </w:tc>
        <w:tc>
          <w:tcPr>
            <w:tcW w:w="146"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6,112</w:t>
            </w:r>
          </w:p>
        </w:tc>
        <w:tc>
          <w:tcPr>
            <w:tcW w:w="3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current portion of lease liabilities</w:t>
            </w:r>
          </w:p>
        </w:tc>
        <w:tc>
          <w:tcPr>
            <w:tcW w:w="146" w:type="dxa"/>
            <w:tcBorders/>
            <w:shd w:fill="CFF0FC" w:val="clear"/>
            <w:vAlign w:val="center"/>
          </w:tcPr>
          <w:p>
            <w:pPr>
              <w:pStyle w:val="TableContents"/>
              <w:bidi w:val="0"/>
              <w:spacing w:before="0" w:after="283"/>
              <w:jc w:val="left"/>
              <w:rPr/>
            </w:pPr>
            <w:r>
              <w:rPr/>
              <w:t> </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Lease liabilities, noncurrent</w:t>
            </w:r>
          </w:p>
        </w:tc>
        <w:tc>
          <w:tcPr>
            <w:tcW w:w="146" w:type="dxa"/>
            <w:tcBorders/>
            <w:shd w:fill="FFFFFF" w:val="clear"/>
            <w:vAlign w:val="center"/>
          </w:tcPr>
          <w:p>
            <w:pPr>
              <w:pStyle w:val="TableContents"/>
              <w:bidi w:val="0"/>
              <w:spacing w:before="0" w:after="283"/>
              <w:jc w:val="left"/>
              <w:rPr/>
            </w:pPr>
            <w:r>
              <w:rPr/>
              <w:t> </w:t>
            </w:r>
          </w:p>
        </w:tc>
        <w:tc>
          <w:tcPr>
            <w:tcW w:w="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85" w:type="dxa"/>
        <w:jc w:val="left"/>
        <w:tblInd w:w="0" w:type="dxa"/>
        <w:tblLayout w:type="fixed"/>
        <w:tblCellMar>
          <w:top w:w="28" w:type="dxa"/>
          <w:left w:w="28" w:type="dxa"/>
          <w:bottom w:w="28" w:type="dxa"/>
          <w:right w:w="28" w:type="dxa"/>
        </w:tblCellMar>
      </w:tblPr>
      <w:tblGrid>
        <w:gridCol w:w="5371"/>
        <w:gridCol w:w="146"/>
        <w:gridCol w:w="271"/>
        <w:gridCol w:w="869"/>
        <w:gridCol w:w="271"/>
        <w:gridCol w:w="146"/>
        <w:gridCol w:w="261"/>
        <w:gridCol w:w="834"/>
        <w:gridCol w:w="316"/>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vAlign w:val="center"/>
          </w:tcPr>
          <w:p>
            <w:pPr>
              <w:pStyle w:val="TableContents"/>
              <w:bidi w:val="0"/>
              <w:spacing w:before="0" w:after="283"/>
              <w:jc w:val="center"/>
              <w:rPr/>
            </w:pPr>
            <w:r>
              <w:rPr/>
              <w:t> </w:t>
            </w:r>
          </w:p>
        </w:tc>
      </w:tr>
      <w:tr>
        <w:trPr/>
        <w:tc>
          <w:tcPr>
            <w:tcW w:w="53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remaining lease term (years) - operating leases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w:t>
            </w:r>
          </w:p>
        </w:tc>
        <w:tc>
          <w:tcPr>
            <w:tcW w:w="316" w:type="dxa"/>
            <w:tcBorders/>
            <w:shd w:fill="CFF0FC" w:val="cle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incremental borrowing rate - operating leases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Funding Commitments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As of September 30, 2023, the Company had ongoing clinical and pre-clinical studies for its various pipeline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Company, from time to time, may be party to litigation arising in the ordinary course of business. The Company was not subject to any material legal proceedings as of September 30, 2023, and no material legal proceedings are currently pending or threatened. If the potential loss from any claim, asserted or unasserted, or legal proceeding is considered probable and the amount is reasonably estimable, the Company will accrue a liability for the estimated loss.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_item2"/>
      <w:bookmarkEnd w:id="8"/>
      <w:r>
        <w:rPr>
          <w:rFonts w:ascii="Times New Roman" w:hAnsi="Times New Roman"/>
          <w:b/>
          <w:color w:val="000000"/>
          <w:sz w:val="20"/>
        </w:rPr>
        <w:t>Item 2. Management’s Discussion and Analysis of Financial Condition and Results of Operations</w:t>
      </w:r>
    </w:p>
    <w:p>
      <w:pPr>
        <w:pStyle w:val="TextBody"/>
        <w:bidi w:val="0"/>
        <w:spacing w:before="240" w:after="283"/>
        <w:ind w:left="0" w:right="0" w:firstLine="720"/>
        <w:jc w:val="left"/>
        <w:rPr>
          <w:rFonts w:ascii="Times New Roman" w:hAnsi="Times New Roman"/>
          <w:b w:val="false"/>
          <w:i/>
          <w:color w:val="000000"/>
          <w:sz w:val="20"/>
        </w:rPr>
      </w:pPr>
      <w:r>
        <w:rPr>
          <w:rFonts w:ascii="Times New Roman" w:hAnsi="Times New Roman"/>
          <w:b w:val="false"/>
          <w:i/>
          <w:color w:val="000000"/>
          <w:sz w:val="20"/>
        </w:rPr>
        <w:t>The following discussion and analysis and the unaudited interim condensed financial statements included in this Quarterly Report on Form 10-Q should be read in conjunction with the financial statements and notes thereto for the year ended December 31, 2022 and the related Management’s Discussion and Analysis of Financial Condition and Results of Operations, both of which are contained in the Annual Report on Form 10-K for the year ended December 31, 2022 (the 2022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This Quarterly Report on Form 10-Q (Quarterly Report) contains forward-looking statements within the meaning of Section 27A of the Securities Act of 1933, as amended,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and phase of development, costs, design and conduct of our ongoing and planned preclinical studies and clinical trials for our product candidates, the timing and likelihood of regulatory filings and approvals for our product candidates, the potential to develop product candidates and the safety and therapeutic benefits of our product candidates, our ability to commercialize our product candidates, if approved, the pricing and reimbursement of our product candidates, if approved,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In some cases, you can identify forward-looking statements by terms such as “anticipate,” “believe,” “contemplate,” “continue” “could,” “estimate,” “expect,” “intend,” “may,” “plan,” “potential,” “predict,” “project,” “should,” “target” “will” or “would”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II, Item 1A, “Risk Factors” of this Quarterly Report.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We are a clinical-stage biotechnology company focused on developing next-generation precision medicines that target large opportunities in Fibroblast Growth Factor Receptor (FGFR) biology. Our in-house precision medicine platform, SNÅP, enables rapid and precise drug design through iterative molecular SNÅPshots that help predict genetic alterations most likely to cause acquired resistance to existing therapies. Our initial focus is on applying our accelerated small molecule drug discovery engine to develop therapies in targeted oncology and genetically defined conditions.</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In oncology, the widespread availability of approved targeted treatments, such as kinase inhibitors, has transformed the cancer treatment landscape. Despite the therapeutic benefit that targeted oncology treatments have created for some patients, the response rate and duration of efficacy is often limited by acquired drug resistance, off-target toxicities and other shortcomings of existing therapies. We are using our proprietary SNÅP platform, which is optimized to enable rapid and precise refinement of structural design through iterative molecular SNÅPshots, in order to generate novel product candidates that are specifically designed to limit off-target toxicities and address acquired drug resistance to provide next-generation treatment options. Genomic alterations in FGFR family members occur in approximately 7% of all human cancers, representing about 126,000 new cases per year.</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We are advancing multiple oncology product candidates toward the clinic, including our lead product candidate TYRA-300, an FGFR3 selective inhibitor with an initial focus on patients with metastatic urothelial carcinoma of the bladder and urinary tract (mUC). We submitted an Investigational New Drug application (IND) to the U.S. Food and Drug Administration (FDA) for TYRA-300 in June 2022 and received clearance in July 2022 to proceed with our Phase 1/2 clinical trial of TYRA-300, SURF301 (Study in Untreated and Resistant FGFR3+ Advanced Solid Tumors), a multi-center, open label study designed to determine the optimal and maximum tolerated doses and the recommended Phase 2 dose of TYRA-300, as well as to evaluate the preliminary antitumor activity of TYRA-300. In November 2022, the first patient was dosed with TYRA-300 in our Phase 1/2 study SURF301.</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Beyond oncology, FGFR3 is implicated in many developmental conditions, such as achondroplasia (ACH) and other skeletal dysplasias, due to its role in regulating bone and cartilage formation. In March 2023, we announced we were expanding development of TYRA-300 into achondroplasia based on positive preclinical results demonstrated in a study performed in collaboration with the Imagine Institute in Paris, France. Data from the study showed that TYRA-300 increased body length in mice by 17.9% compared to the vehicle (p&lt;0.0001) and increased the length of the femur (+22.6%), tibia (+33.0%) and L4-L6 (+23.5%) in mice (p&lt;0.0001) (with n=8 for TYRA-300, after excluding two mice from dataset when molecular analysis showed chimeric incorporation of mutation, and n=10 for vehicle, after excluding one vehicle mouse). Achondroplasia, the most common form of dwarfism, is a skeletal dysplasia in which growth plate cartilage is affected, resulting in decreased growth of the long bones, vertebral bodies and skull base. These growth differences can result in health complications such as cranial and spinal stenosis, hydrocephalus, genu varum (bowed legs), and sleep apnea. A specific mutation in FGFR3 causes an estimated 99% of achondroplasia. We believe that the design of TYRA-300 may have a meaningful impact on achondroplasia and other skeletal dysplasias. We are conducting additional IND-enabling studies and anticipate submitting an IND to the FDA to enable a Phase 2 study in pediatric achondroplasia in 2024. In July 2023, the FDA granted TYRA-300 Orphan Drug Designation (ODD) for the treatment of achondroplasia.</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We are also advancing our second oncology product candidate, TYRA-200, an FGFR1/2/3 inhibitor with potency against activating FGFR2 gene alterations, as well as clinically important molecular brake and gatekeeper resistance mutations. In December 2022, we submitted an IND to the FDA for TYRA-200 and received clearance in January 2023 to proceed with a Phase 1 clinical trial of TYRA-200, which will be focused on intrahepatic cholangiocarcinoma resistant to other FGFR inhibitors. We anticipate dosing the first patient in this trial by the end of 2023.</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Since the commencement of our operations in 2018, we have devoted substantially all of our resources to organizing and staffing the company, business planning, raising capital, developing our proprietary SNÅP platform, undertaking research and development activities for our development programs, establishing our intellectual property portfolio, and providing general and administrative support for our operations. We have not generated any revenue to date and have funded our operations primarily from our initial public offering (IPO), private placements of our convertible preferred stock, and the issuance of Simple Agreements for Future Equity. Our net losses for the nine months ended September 30, 2023 and 2022 were $46.3 million and $42.4 million, respectively. As of September 30, 2023, we had an accumulated deficit of $142.0 million. As of September 30, 2023, we had cash and cash equivalents of $215.7 million.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We have incurred significant operating losses since inception. Our net losses may fluctuate significantly from quarter-to-quarter and year-to-year, depending on the timing of our clinical development activities, other research and development activities and capital expenditures. We expect to continue to incur significant expenses and increasing operating losses for the foreseeable future particularly if and as we conduct preclinical studies and clinical trials, continue our research and development activities, utilize third parties to manufacture our product candidates and related raw materials, hire additional personnel, expand and protect our intellectual property, and incur additional costs associated with being a public company.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Based on our current operating plan, we believe that our existing cash and cash equivalents will be sufficient to fund our operating expenses and capital expenditures through at least 2024. We have never generated any revenue and do not expect to generate any revenues from product sales unless and until we successfully complete development of and obtain regulatory approval for our product candidates, which will not be for several years, if ever. In addition, if we obtain regulatory approval for any of our product candidates, we expect to incur significant commercialization expenses related to product sales, marketing, manufacturing and distribution. Accordingly, until such time as we can generate significant revenue from sales of our product candidates, if ever, we expect to finance our cash needs through equity offerings, debt financings or other capital sources, including potential collaborations, licenses and other similar arrangements. However, we may not be able to raise additional funds or enter into such other arrangements when needed or on favorable terms, or at all. If we are unable to raise additional capital or enter into such arrangements when needed, we could be forced to delay, limit, reduce or terminate our research and development programs or future commercialization efforts, or grant rights to develop and market our product candidates even if we would otherwise prefer to develop and market such product candidates ourselves.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ind w:left="720" w:right="0" w:hanging="0"/>
        <w:jc w:val="left"/>
        <w:rPr>
          <w:rFonts w:ascii="Times New Roman" w:hAnsi="Times New Roman"/>
          <w:sz w:val="20"/>
        </w:rPr>
      </w:pPr>
      <w:r>
        <w:rPr>
          <w:rFonts w:ascii="Times New Roman" w:hAnsi="Times New Roman"/>
          <w:b w:val="false"/>
          <w:i/>
          <w:color w:val="000000"/>
          <w:sz w:val="20"/>
        </w:rPr>
        <w:t>Research and Development Expenses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To date, our research and development expenses consist primarily of external and internal costs related to the development of our SNÅP platform and our product candidates and development programs. Our research and development expenses primarily include:</w:t>
      </w:r>
      <w:r>
        <w:rPr>
          <w:rFonts w:ascii="Times New Roman" w:hAnsi="Times New Roman"/>
          <w:color w:val="000000"/>
          <w:sz w:val="20"/>
        </w:rPr>
        <w:t xml:space="preserve">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external costs, including: </w:t>
      </w:r>
    </w:p>
    <w:p>
      <w:pPr>
        <w:pStyle w:val="TextBody"/>
        <w:bidi w:val="0"/>
        <w:spacing w:before="240" w:after="283"/>
        <w:ind w:left="1023"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expenses incurred in connection with conducting clinical trials, including investigator grants and site payments for time and pass-through expenses and expenses incurred under agreements with contract research organizations (CROs), central laboratories and other vendors and service providers engaged to conduct our trials;</w:t>
      </w:r>
    </w:p>
    <w:p>
      <w:pPr>
        <w:pStyle w:val="TextBody"/>
        <w:bidi w:val="0"/>
        <w:spacing w:before="240" w:after="283"/>
        <w:ind w:left="1023"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expenses incurred in connection with the discovery and preclinical development of our product candidates, including under agreements with third parties, such as consultants and CROs; </w:t>
      </w:r>
    </w:p>
    <w:p>
      <w:pPr>
        <w:pStyle w:val="TextBody"/>
        <w:bidi w:val="0"/>
        <w:spacing w:before="240" w:after="283"/>
        <w:ind w:left="1023"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costs associated with consultants for chemistry, manufacturing and controls (CMC) development, and other services;</w:t>
      </w:r>
    </w:p>
    <w:p>
      <w:pPr>
        <w:pStyle w:val="TextBody"/>
        <w:bidi w:val="0"/>
        <w:spacing w:before="240" w:after="283"/>
        <w:ind w:left="1023"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cost of manufacturing compounds for use in our preclinical studies, including under agreements with third parties, such as consultants and third-party manufacturers; and</w:t>
      </w:r>
    </w:p>
    <w:p>
      <w:pPr>
        <w:pStyle w:val="TextBody"/>
        <w:bidi w:val="0"/>
        <w:spacing w:before="240" w:after="283"/>
        <w:ind w:left="1023"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costs related to compliance with drug development regulatory requirements; and</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internal costs, including: </w:t>
      </w:r>
    </w:p>
    <w:p>
      <w:pPr>
        <w:pStyle w:val="TextBody"/>
        <w:bidi w:val="0"/>
        <w:spacing w:before="240" w:after="283"/>
        <w:ind w:left="1023"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240" w:after="283"/>
        <w:ind w:left="1023"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costs of laboratory supplies and acquiring, developing and manufacturing preclinical study materials; and </w:t>
      </w:r>
    </w:p>
    <w:p>
      <w:pPr>
        <w:pStyle w:val="TextBody"/>
        <w:bidi w:val="0"/>
        <w:spacing w:before="240" w:after="283"/>
        <w:ind w:left="1023"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facilities, depreciation and other expenses, which include allocated expenses for rent and maintenance of facilities, and supplies.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 We track external expenses on a development program and other program specific basis. However, we do not track internal costs on a program specific basis because these costs primarily relate to compensation, early research and consumable costs, which are deployed across multiple programs under development.</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 As a result, we expect that our research and development expenses will increase substantially over the next several years as we advance our product candidates through preclinical studies into and through clinical trials, continue to discover and develop additional product candidates and expand our pipeline, maintain, expand, protect and enforce our intellectual property portfolio, and hire additional personnel.</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Our future research and development expenses may vary significantly based on a wide variety of factors such as:</w:t>
      </w:r>
      <w:r>
        <w:rPr>
          <w:rFonts w:ascii="Times New Roman" w:hAnsi="Times New Roman"/>
          <w:color w:val="000000"/>
          <w:sz w:val="20"/>
        </w:rPr>
        <w:t xml:space="preserve">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number and scope, rate of progress, expense and results of our discovery and preclinical development activities and clinical trials;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number of trials required for approval;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number of sites included in each of our trials;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countries in which the trials are conducted;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length of time required to enroll eligible patients;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number of patients that participate in the trials;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ability to identify appropriate patients eligible for our clinical trials;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number of doses that patients receive;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drop-out or discontinuation rates of patients;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potential additional safety monitoring requested by regulatory agencies;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duration of patient participation in the trials and follow-up;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phase of development of the product candidate;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efficacy and safety profile of the product candidate;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timing, receipt, and terms of any approvals from applicable regulatory authorities including the FDA and non-U.S. regulators;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maintaining a continued acceptable safety profile of our product candidates following approval, if any;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cost and timing of manufacturing our product candidates;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significant and changing government regulation and regulatory guidance;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impact of any business interruptions to our operations or to those of the third parties with whom we work,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geopolitical instability, such as the war in Ukraine and, more recently, the war between Israel and Hamas;</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adverse effects on the financial markets, the global economy, the supply chain and our expenses due to pandemics or other epidemic diseases, geopolitical instability, inflation, rising interest rates and other factors; and</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extent to which we establish additional strategic collaborations or other arrangements.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A change in the outcome of any of these variables with respect to the development of any of our product candidates could significantly change the costs and timing associated with the development of that product candidate.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process of conducting the necessary preclinical and clinical research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r>
        <w:rPr>
          <w:rFonts w:ascii="Times New Roman" w:hAnsi="Times New Roman"/>
          <w:color w:val="000000"/>
          <w:sz w:val="20"/>
        </w:rPr>
        <w:t xml:space="preserve"> </w:t>
      </w:r>
    </w:p>
    <w:p>
      <w:pPr>
        <w:pStyle w:val="TextBody"/>
        <w:bidi w:val="0"/>
        <w:spacing w:before="240" w:after="283"/>
        <w:ind w:left="720" w:right="0" w:hanging="0"/>
        <w:jc w:val="left"/>
        <w:rPr>
          <w:rFonts w:ascii="Times New Roman" w:hAnsi="Times New Roman"/>
          <w:sz w:val="20"/>
        </w:rPr>
      </w:pPr>
      <w:r>
        <w:rPr>
          <w:rFonts w:ascii="Times New Roman" w:hAnsi="Times New Roman"/>
          <w:b w:val="false"/>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General and administrative expenses consist primarily of personnel-related expenses, including employee salaries, bonuses, benefits, and stock-based compensation charges, for personnel in executive and administrative functions. Other significant general and administrative expenses include legal fees relating to intellectual property and corporate matters, professional fees for accounting, tax and consulting services and insurance costs. We expect our general and administrative expenses will increase for the foreseeable future to support our increased research and development activities, manufacturing activities, and the increased costs associated with operating as a public company. These increased costs will likely include increased expenses related to hiring of additional personnel, audit, legal, regulatory and tax-related services associated with maintaining compliance with exchange listing and the Securities and Exchange Commission (SEC) requirements, director and officer insurance costs, and investor and public relations costs.</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720" w:right="0" w:hanging="0"/>
        <w:jc w:val="left"/>
        <w:rPr>
          <w:rFonts w:ascii="Times New Roman" w:hAnsi="Times New Roman"/>
          <w:b w:val="false"/>
          <w:i/>
          <w:color w:val="000000"/>
          <w:sz w:val="20"/>
        </w:rPr>
      </w:pPr>
      <w:r>
        <w:rPr>
          <w:rFonts w:ascii="Times New Roman" w:hAnsi="Times New Roman"/>
          <w:b w:val="false"/>
          <w:i/>
          <w:color w:val="000000"/>
          <w:sz w:val="20"/>
        </w:rPr>
        <w:t>Other Income and Expense</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Other income (expense) consists primarily of interest income from our cash and cash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September 30, 2023 and 2022</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following table summarizes our results of operations for the periods indicated (in thousands):</w:t>
      </w:r>
      <w:r>
        <w:rPr>
          <w:rFonts w:ascii="Times New Roman" w:hAnsi="Times New Roman"/>
          <w:color w:val="000000"/>
          <w:sz w:val="20"/>
        </w:rPr>
        <w:t xml:space="preserve"> </w:t>
      </w:r>
    </w:p>
    <w:p>
      <w:pPr>
        <w:pStyle w:val="TextBody"/>
        <w:bidi w:val="0"/>
        <w:jc w:val="left"/>
        <w:rPr/>
      </w:pPr>
      <w:r>
        <w:rPr/>
        <w:t> </w:t>
      </w:r>
    </w:p>
    <w:tbl>
      <w:tblPr>
        <w:tblW w:w="7225" w:type="dxa"/>
        <w:jc w:val="left"/>
        <w:tblInd w:w="0" w:type="dxa"/>
        <w:tblLayout w:type="fixed"/>
        <w:tblCellMar>
          <w:top w:w="28" w:type="dxa"/>
          <w:left w:w="28" w:type="dxa"/>
          <w:bottom w:w="28" w:type="dxa"/>
          <w:right w:w="28" w:type="dxa"/>
        </w:tblCellMar>
      </w:tblPr>
      <w:tblGrid>
        <w:gridCol w:w="2746"/>
        <w:gridCol w:w="146"/>
        <w:gridCol w:w="256"/>
        <w:gridCol w:w="896"/>
        <w:gridCol w:w="202"/>
        <w:gridCol w:w="177"/>
        <w:gridCol w:w="256"/>
        <w:gridCol w:w="896"/>
        <w:gridCol w:w="166"/>
        <w:gridCol w:w="146"/>
        <w:gridCol w:w="211"/>
        <w:gridCol w:w="736"/>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7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19,271</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8,356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4,692</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23,963</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10,318</w:t>
            </w:r>
          </w:p>
        </w:tc>
        <w:tc>
          <w:tcPr>
            <w:tcW w:w="391" w:type="dxa"/>
            <w:tcBorders/>
            <w:shd w:fill="FFFFFF" w:val="cle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(23,963</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(10,318</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2,816</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2,811</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(21,152</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Research and development expenses were $19.3 million and $10.9 million for the three months ended September 30, 2023 and 2022, respectively. The overall increase of $8.4 million was primarily due to an increase in CRO and drug manufacturing costs to support our ongoing and planned clinical trials of $5.9 million, an increase in stock-based compensation costs of $2.2 million, an increase in compensation costs of $1.3 million, and an increase in facilities and other operating costs of $0.3 million. The increase was partially offset by a decrease in preclinical expenses of $1.3 million.</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following table summarizes our research and development expenses by development program for the three months ended September 30, 2023 and 2022 (in thousands):</w:t>
      </w:r>
      <w:r>
        <w:rPr>
          <w:rFonts w:ascii="Times New Roman" w:hAnsi="Times New Roman"/>
          <w:color w:val="000000"/>
          <w:sz w:val="20"/>
        </w:rPr>
        <w:t xml:space="preserve"> </w:t>
      </w:r>
    </w:p>
    <w:p>
      <w:pPr>
        <w:pStyle w:val="TextBody"/>
        <w:bidi w:val="0"/>
        <w:jc w:val="left"/>
        <w:rPr/>
      </w:pPr>
      <w:r>
        <w:rPr/>
        <w:t> </w:t>
      </w:r>
    </w:p>
    <w:tbl>
      <w:tblPr>
        <w:tblW w:w="7260" w:type="dxa"/>
        <w:jc w:val="left"/>
        <w:tblInd w:w="0" w:type="dxa"/>
        <w:tblLayout w:type="fixed"/>
        <w:tblCellMar>
          <w:top w:w="28" w:type="dxa"/>
          <w:left w:w="28" w:type="dxa"/>
          <w:bottom w:w="28" w:type="dxa"/>
          <w:right w:w="28" w:type="dxa"/>
        </w:tblCellMar>
      </w:tblPr>
      <w:tblGrid>
        <w:gridCol w:w="4041"/>
        <w:gridCol w:w="146"/>
        <w:gridCol w:w="274"/>
        <w:gridCol w:w="878"/>
        <w:gridCol w:w="189"/>
        <w:gridCol w:w="189"/>
        <w:gridCol w:w="274"/>
        <w:gridCol w:w="878"/>
        <w:gridCol w:w="391"/>
      </w:tblGrid>
      <w:tr>
        <w:trPr/>
        <w:tc>
          <w:tcPr>
            <w:tcW w:w="4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research and development expense by</w:t>
              <w:br/>
              <w:t>   program</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right"/>
              <w:rPr/>
            </w:pPr>
            <w:r>
              <w:rPr/>
              <w:t> </w:t>
            </w:r>
          </w:p>
        </w:tc>
        <w:tc>
          <w:tcPr>
            <w:tcW w:w="189"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TYRA-300 ONC</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4,797</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2,844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TYRA-200</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1,626</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1,770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TYRA-300 ACH</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2,176</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FGFR4</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1,819</w:t>
            </w:r>
          </w:p>
        </w:tc>
        <w:tc>
          <w:tcPr>
            <w:tcW w:w="189"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development programs</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1,679</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831</w:t>
            </w:r>
          </w:p>
        </w:tc>
        <w:tc>
          <w:tcPr>
            <w:tcW w:w="391" w:type="dxa"/>
            <w:tcBorders/>
            <w:shd w:fill="CFF0FC" w:val="clear"/>
            <w:vAlign w:val="center"/>
          </w:tcPr>
          <w:p>
            <w:pPr>
              <w:pStyle w:val="TableContents"/>
              <w:bidi w:val="0"/>
              <w:spacing w:before="0" w:after="283"/>
              <w:jc w:val="left"/>
              <w:rPr/>
            </w:pPr>
            <w:r>
              <w:rPr/>
              <w:t> </w:t>
            </w:r>
          </w:p>
        </w:tc>
      </w:tr>
      <w:tr>
        <w:trPr/>
        <w:tc>
          <w:tcPr>
            <w:tcW w:w="40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Unallocated research and development expense</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1,308</w:t>
            </w:r>
          </w:p>
        </w:tc>
        <w:tc>
          <w:tcPr>
            <w:tcW w:w="189"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Compensation and stock-based compensation</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5,765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19,271</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10,915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General and administrative expenses were $4.7 million and $2.7 million for the three months ended September 30, 2023 and 2022, respectively. The increase of $2.0 million was primarily due to an increase in stock-based compensation costs of $1.2 million, an increase in professional services costs of $0.6 million, and an increase in compensation costs of $0.3 million. The increase was partially offset by a decrease in facilities and other operating costs of $0.1 million.</w:t>
      </w:r>
    </w:p>
    <w:p>
      <w:pPr>
        <w:pStyle w:val="TextBody"/>
        <w:bidi w:val="0"/>
        <w:ind w:left="0" w:right="0" w:firstLine="72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Other income was $2.8 million and $1.1 million for the three months ended September 30, 2023 and 2022, respectively. The increase of $1.7 million was primarily related to an increase in interest rate return on our cash and cash equivalents.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Nine Months Ended September 30, 2023 and 2022</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following table summarizes our results of operations for the periods indicated (in thousands):</w:t>
      </w:r>
      <w:r>
        <w:rPr>
          <w:rFonts w:ascii="Times New Roman" w:hAnsi="Times New Roman"/>
          <w:color w:val="000000"/>
          <w:sz w:val="20"/>
        </w:rPr>
        <w:t xml:space="preserve"> </w:t>
      </w:r>
    </w:p>
    <w:p>
      <w:pPr>
        <w:pStyle w:val="TextBody"/>
        <w:bidi w:val="0"/>
        <w:jc w:val="left"/>
        <w:rPr/>
      </w:pPr>
      <w:r>
        <w:rPr/>
        <w:t> </w:t>
      </w:r>
    </w:p>
    <w:tbl>
      <w:tblPr>
        <w:tblW w:w="7136" w:type="dxa"/>
        <w:jc w:val="left"/>
        <w:tblInd w:w="0" w:type="dxa"/>
        <w:tblLayout w:type="fixed"/>
        <w:tblCellMar>
          <w:top w:w="28" w:type="dxa"/>
          <w:left w:w="28" w:type="dxa"/>
          <w:bottom w:w="28" w:type="dxa"/>
          <w:right w:w="28" w:type="dxa"/>
        </w:tblCellMar>
      </w:tblPr>
      <w:tblGrid>
        <w:gridCol w:w="2746"/>
        <w:gridCol w:w="146"/>
        <w:gridCol w:w="248"/>
        <w:gridCol w:w="866"/>
        <w:gridCol w:w="195"/>
        <w:gridCol w:w="171"/>
        <w:gridCol w:w="248"/>
        <w:gridCol w:w="866"/>
        <w:gridCol w:w="166"/>
        <w:gridCol w:w="146"/>
        <w:gridCol w:w="211"/>
        <w:gridCol w:w="736"/>
        <w:gridCol w:w="3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7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41,841</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12,470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54,311</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10,402</w:t>
            </w:r>
          </w:p>
        </w:tc>
        <w:tc>
          <w:tcPr>
            <w:tcW w:w="391" w:type="dxa"/>
            <w:tcBorders/>
            <w:shd w:fill="FFFFFF" w:val="clear"/>
            <w:vAlign w:val="center"/>
          </w:tcPr>
          <w:p>
            <w:pPr>
              <w:pStyle w:val="TableContents"/>
              <w:bidi w:val="0"/>
              <w:spacing w:before="0" w:after="283"/>
              <w:jc w:val="left"/>
              <w:rPr/>
            </w:pPr>
            <w:r>
              <w:rPr/>
              <w:t> </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(54,311</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(43,909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(10,402</w:t>
            </w:r>
          </w:p>
        </w:tc>
        <w:tc>
          <w:tcPr>
            <w:tcW w:w="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7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8,035</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6,539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4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8,007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and comprehensive loss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(46,304</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Research and development expenses were $41.8 million and $32.6 million for the nine months ended September 30, 2023 and 2022, respectively. The overall increase of $9.2 million was primarily due to an increase in CRO and drug manufacturing costs to support our ongoing and planned clinical trials of $6.1 million, an increase of compensation costs of $2.3 million, an increase of stock-based compensation costs of $2.0 million, and an increase in facilities and other operating costs of $0.8 million. The increase was partially offset by a decrease in preclinical expenses of $2.0 million.</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following table summarizes our research and development expenses by development program for the nine months ended September 30, 2023 and 2022 (in thousands):</w:t>
      </w:r>
      <w:r>
        <w:rPr>
          <w:rFonts w:ascii="Times New Roman" w:hAnsi="Times New Roman"/>
          <w:color w:val="000000"/>
          <w:sz w:val="20"/>
        </w:rPr>
        <w:t xml:space="preserve"> </w:t>
      </w:r>
    </w:p>
    <w:p>
      <w:pPr>
        <w:pStyle w:val="TextBody"/>
        <w:bidi w:val="0"/>
        <w:jc w:val="left"/>
        <w:rPr/>
      </w:pPr>
      <w:r>
        <w:rPr/>
        <w:t> </w:t>
      </w:r>
    </w:p>
    <w:tbl>
      <w:tblPr>
        <w:tblW w:w="7172" w:type="dxa"/>
        <w:jc w:val="left"/>
        <w:tblInd w:w="0" w:type="dxa"/>
        <w:tblLayout w:type="fixed"/>
        <w:tblCellMar>
          <w:top w:w="28" w:type="dxa"/>
          <w:left w:w="28" w:type="dxa"/>
          <w:bottom w:w="28" w:type="dxa"/>
          <w:right w:w="28" w:type="dxa"/>
        </w:tblCellMar>
      </w:tblPr>
      <w:tblGrid>
        <w:gridCol w:w="4041"/>
        <w:gridCol w:w="146"/>
        <w:gridCol w:w="265"/>
        <w:gridCol w:w="849"/>
        <w:gridCol w:w="183"/>
        <w:gridCol w:w="183"/>
        <w:gridCol w:w="265"/>
        <w:gridCol w:w="849"/>
        <w:gridCol w:w="391"/>
      </w:tblGrid>
      <w:tr>
        <w:trPr/>
        <w:tc>
          <w:tcPr>
            <w:tcW w:w="4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External research and development expense by</w:t>
              <w:br/>
              <w:t>   program</w:t>
            </w:r>
          </w:p>
        </w:tc>
        <w:tc>
          <w:tcPr>
            <w:tcW w:w="146"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left"/>
              <w:rPr/>
            </w:pPr>
            <w:r>
              <w:rPr/>
              <w:t> </w:t>
            </w:r>
          </w:p>
        </w:tc>
        <w:tc>
          <w:tcPr>
            <w:tcW w:w="1114"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TYRA-300 ONC</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9,755</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8,195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TYRA-200</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3,413</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4,634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FGFR3 ACH</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3,153</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FGFR4</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3,130</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development programs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5,197</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1,302</w:t>
            </w:r>
          </w:p>
        </w:tc>
        <w:tc>
          <w:tcPr>
            <w:tcW w:w="391" w:type="dxa"/>
            <w:tcBorders/>
            <w:shd w:fill="CFF0FC" w:val="clear"/>
            <w:vAlign w:val="center"/>
          </w:tcPr>
          <w:p>
            <w:pPr>
              <w:pStyle w:val="TableContents"/>
              <w:bidi w:val="0"/>
              <w:spacing w:before="0" w:after="283"/>
              <w:jc w:val="left"/>
              <w:rPr/>
            </w:pPr>
            <w:r>
              <w:rPr/>
              <w:t> </w:t>
            </w:r>
          </w:p>
        </w:tc>
      </w:tr>
      <w:tr>
        <w:trPr/>
        <w:tc>
          <w:tcPr>
            <w:tcW w:w="404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Unallocated research and development expense</w:t>
            </w:r>
          </w:p>
        </w:tc>
        <w:tc>
          <w:tcPr>
            <w:tcW w:w="146"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right"/>
              <w:rPr/>
            </w:pPr>
            <w:r>
              <w:rPr/>
              <w:t> </w:t>
            </w:r>
          </w:p>
        </w:tc>
        <w:tc>
          <w:tcPr>
            <w:tcW w:w="183" w:type="dxa"/>
            <w:tcBorders/>
            <w:shd w:fill="FFFFFF" w:val="clear"/>
            <w:vAlign w:val="center"/>
          </w:tcPr>
          <w:p>
            <w:pPr>
              <w:pStyle w:val="TableContents"/>
              <w:bidi w:val="0"/>
              <w:spacing w:before="0" w:after="283"/>
              <w:jc w:val="left"/>
              <w:rPr/>
            </w:pPr>
            <w:r>
              <w:rPr/>
              <w:t> </w:t>
            </w:r>
          </w:p>
        </w:tc>
        <w:tc>
          <w:tcPr>
            <w:tcW w:w="1114"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4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research and development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3,061</w:t>
            </w:r>
          </w:p>
        </w:tc>
        <w:tc>
          <w:tcPr>
            <w:tcW w:w="183"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4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Compensation and stock-based compensation</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13,310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4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research and development expense</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41,841</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32,608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General and administrative expenses were $12.5 million and $11.3 million for the nine months ended September 30, 2023 and 2022, respectively. The increase of $1.2 million was primarily due to an increase in compensation costs of $0.8 million, an increase in professional services costs of $0.5 million, and an increase in facilities and other operating costs of $0.3 million. The increase was partially offset by a decrease in stock-compensation costs of $0.4 million.</w:t>
      </w:r>
    </w:p>
    <w:p>
      <w:pPr>
        <w:pStyle w:val="TextBody"/>
        <w:bidi w:val="0"/>
        <w:ind w:left="0" w:right="0" w:firstLine="72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Other income was $8.0 million and $1.5 million for the nine months ended September 30, 2023 and 2022, respectively. The increase of $6.5 million was primarily related to an increase in interest rate return on our cash and cash equivalents.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On September 17, 2021, we completed our IPO and issued 12,420,000 shares of common stock for net proceeds of approximately $181.2 million. Prior to our IPO, we funded our operations primarily through private placements of our convertible preferred stock with net proceeds of $157.2 million excluding issuance costs of $0.4 million.</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Our primary uses of cash to date have been to fund our research and development activities, including with respect to TYRA-300 and TYRA-200 and other research programs, business planning, establishing and maintaining our intellectual property portfolio, hiring personnel, raising capital, and providing general and administrative support for these operations.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On October 3, 2022, we entered into an ATM Sales Agreement (the Sales Agreement) with Virtu Americas LLC (the Agent), under which we may, from time to time, sell shares of our common stock having an aggregate offering price of up to $150.0 million in “at the market” offerings through the Agent. Sales of the shares of common stock, if any, will be made at prevailing market prices at the time of sale, or as otherwise agreed with the Agent. The Agent will receive a commission from us of up to 3.0% of the gross proceeds of any shares of common stock sold under the Sales Agreement.</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We are not obligated to sell, and the Agent is not obligated to buy or sell, any shares of common stock under the Sales Agreement. No assurance can be given that we will sell any shares of common stock under the Sales Agreement, or, if we do, as to the price or amount of shares of common stock that we may sell or the dates when such sales will take place. As of September 30, 2023, we have not sold any shares under the Sales Agreement.</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 following table sets forth a summary of our cash flows for the periods indicated (in thousands):</w:t>
      </w:r>
      <w:r>
        <w:rPr>
          <w:rFonts w:ascii="Times New Roman" w:hAnsi="Times New Roman"/>
          <w:color w:val="000000"/>
          <w:sz w:val="20"/>
        </w:rPr>
        <w:t xml:space="preserve"> </w:t>
      </w:r>
    </w:p>
    <w:p>
      <w:pPr>
        <w:pStyle w:val="TextBody"/>
        <w:bidi w:val="0"/>
        <w:ind w:left="0" w:right="0" w:firstLine="720"/>
        <w:jc w:val="left"/>
        <w:rPr/>
      </w:pPr>
      <w:r>
        <w:rPr/>
        <w:t> </w:t>
      </w:r>
    </w:p>
    <w:tbl>
      <w:tblPr>
        <w:tblW w:w="6417" w:type="dxa"/>
        <w:jc w:val="left"/>
        <w:tblInd w:w="0" w:type="dxa"/>
        <w:tblLayout w:type="fixed"/>
        <w:tblCellMar>
          <w:top w:w="28" w:type="dxa"/>
          <w:left w:w="28" w:type="dxa"/>
          <w:bottom w:w="28" w:type="dxa"/>
          <w:right w:w="28" w:type="dxa"/>
        </w:tblCellMar>
      </w:tblPr>
      <w:tblGrid>
        <w:gridCol w:w="3466"/>
        <w:gridCol w:w="146"/>
        <w:gridCol w:w="248"/>
        <w:gridCol w:w="866"/>
        <w:gridCol w:w="195"/>
        <w:gridCol w:w="171"/>
        <w:gridCol w:w="248"/>
        <w:gridCol w:w="866"/>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(36,607</w:t>
            </w:r>
          </w:p>
        </w:tc>
        <w:tc>
          <w:tcPr>
            <w:tcW w:w="19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(38,305</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w:t>
            </w:r>
          </w:p>
        </w:tc>
        <w:tc>
          <w:tcPr>
            <w:tcW w:w="19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decrease for the period</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(35,561</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(38,214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ind w:left="720" w:right="0" w:hanging="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Operating Activities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Net cash used in operating activities for the nine months ended September 30, 2023 was $36.6 million, consisting primarily of our net loss of $46.3 million, adjusted for $9.6 million of non-cash charges primarily related to stock-based compensation expense and $0.1 million for net changes in operating assets and liabilities.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Net cash used in operating activities for the nine months ended September 30, 2022 was $38.3 million, consisting primarily of our net loss of $42.4 million and $3.8 million for net changes in operating assets and liabilities, adjusted for $7.9 million of non-cash charges primarily related to stock-based compensation expense and depreciation and amortization.</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Investing Activities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Net cash used in investing activities for the nine months ended September 30, 2023 and 2022 was $0.2 million and $0.5 million, respectively, consisting of purchases of property and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Financing Activities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Net cash provided by financing activities for the nine months ended September 30, 2023 and 2022 was $1.2 million and $0.6 million, respectively, primarily related to proceeds from issuances of common stock under benefit plans.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Based on our current operating plan, we believe that our existing cash and cash equivalents will be sufficient to meet our anticipated operating expenses and capital expenditures through at least 2024.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and testing product candidates in clinical trials is costly, and the timing of progress and expenses in these studies and trials is uncertain.</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Our future capital requirements will depend on many factors, including:</w:t>
      </w:r>
      <w:r>
        <w:rPr>
          <w:rFonts w:ascii="Times New Roman" w:hAnsi="Times New Roman"/>
          <w:color w:val="000000"/>
          <w:sz w:val="20"/>
        </w:rPr>
        <w:t xml:space="preserve">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costs and timing of manufacturing for current or future product candidates, including commercial scale manufacturing if any product candidate is approved;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costs, timing and outcome of regulatory review of current or future product candidates;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costs of obtaining, maintaining and enforcing our patents and other intellectual property rights;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costs associated with hiring additional personnel and consultants as our business grows, including additional executive officers and clinical development personnel;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the costs and timing of establishing or securing sales and marketing capabilities if any current or future product candidate is approved;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costs associated with any products or technologies that we may in-license or acquire; and </w:t>
      </w:r>
    </w:p>
    <w:p>
      <w:pPr>
        <w:pStyle w:val="TextBody"/>
        <w:bidi w:val="0"/>
        <w:spacing w:before="240" w:after="283"/>
        <w:ind w:left="720" w:right="0" w:hanging="0"/>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delays or issues with any of the above, including that the risk of each may be exacerbated by any future pandemics or epidemic diseases, potential geopolitical instability and war, inflation or rising interest rates.</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Other than disclosed below, there were no material changes outside the ordinary course of our business during the nine months ended September 30, 2023 to the information regarding our contractual obligations that was disclosed in “Management’s Discussion and Analysis of Financial Condition and Results of Operations” included in the 2022 Annual Report.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As of September 30, 2023, total future aggregate operating lease commitments were $9.0 million, with approximately $0.1 million due in 2023, and the remaining due in periods from 2024 through 2033.</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There have been no material changes to our critical accounting policies and estimates during the three and nine months ended September 30, 2023, as compared to the critical accounting policies and estimates disclosed in “Management’s Discussion and Analysis of Financial Condition and Results of Operations” included in the 2022 Annual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Recently Adopted Accounting Pronouncements</w:t>
      </w:r>
      <w:r>
        <w:rPr>
          <w:rFonts w:ascii="Times New Roman" w:hAnsi="Times New Roman"/>
          <w:color w:val="000000"/>
          <w:sz w:val="20"/>
        </w:rPr>
        <w:t xml:space="preserve"> </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See Note 2 to our condensed financial statements included elsewhere in this Quarterly Report on Form 10-Q for recently issued accounting pronouncements that may potentially impact our financial position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9" w:name="i_item3"/>
      <w:bookmarkEnd w:id="9"/>
      <w:r>
        <w:rPr>
          <w:rFonts w:ascii="Times New Roman" w:hAnsi="Times New Roman"/>
          <w:b/>
          <w:color w:val="000000"/>
          <w:sz w:val="20"/>
        </w:rPr>
        <w:t>Item 3. Quantitative and Qualitative Disclosures About Market Risk</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As of September 30, 2023,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in the 2022 Annual Report.</w:t>
      </w:r>
    </w:p>
    <w:p>
      <w:pPr>
        <w:pStyle w:val="TextBody"/>
        <w:bidi w:val="0"/>
        <w:spacing w:before="240" w:after="283"/>
        <w:jc w:val="left"/>
        <w:rPr>
          <w:rFonts w:ascii="Times New Roman" w:hAnsi="Times New Roman"/>
          <w:b/>
          <w:color w:val="000000"/>
          <w:sz w:val="20"/>
        </w:rPr>
      </w:pPr>
      <w:bookmarkStart w:id="10" w:name="i_item4"/>
      <w:bookmarkEnd w:id="10"/>
      <w:r>
        <w:rPr>
          <w:rFonts w:ascii="Times New Roman" w:hAnsi="Times New Roman"/>
          <w:b/>
          <w:color w:val="000000"/>
          <w:sz w:val="20"/>
        </w:rPr>
        <w:t>Item 4. Controls and Procedures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Our management, with the participation of our Chief Executive Officer (principal executive officer) and Chief Financial Officer (principal financial officer), has evaluated the effectiveness of our disclosure controls and procedures as defined in Rules 13a-15(e) and 15d-15(e) under the Securities Exchange Act of 1934, as amended, as of the end of the period covered by this quarterly report.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such evaluation, our Chief Executive Officer and Chief Financial Officer concluded that our disclosure controls and procedures were effective at the reasonable assurance level.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Changes in Internal Control Over Financial Reporting</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There have been no changes in our internal control over financial reporting that occurred during our most recent quarter that have materially affected, or are reasonably likely to materially affect, our internal control over financial reporting.</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_other_information"/>
      <w:bookmarkEnd w:id="11"/>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2" w:name="ii_item1"/>
      <w:bookmarkEnd w:id="12"/>
      <w:r>
        <w:rPr>
          <w:rFonts w:ascii="Times New Roman" w:hAnsi="Times New Roman"/>
          <w:b/>
          <w:color w:val="000000"/>
          <w:sz w:val="20"/>
        </w:rPr>
        <w:t>Item 1. Legal Proceedings</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13" w:name="ii_item1a"/>
      <w:bookmarkEnd w:id="13"/>
      <w:r>
        <w:rPr>
          <w:rFonts w:ascii="Times New Roman" w:hAnsi="Times New Roman"/>
          <w:b/>
          <w:color w:val="000000"/>
          <w:sz w:val="20"/>
        </w:rPr>
        <w:t>Item 1A. Risk Factors</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There have been no material changes to the risk factors disclosed in Item 1A of our 2022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14" w:name="ii_item2"/>
      <w:bookmarkEnd w:id="14"/>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 from Initial Public Offering</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On September 14, 2021, our registration statement on Form S-1 (File No. 333-258970) was declared effective by the SEC for our IPO. At the closing of the offering on September 17, 2021, we sold 12,420,000 shares of common stock, which included the exercise in full by the underwriters of their option to purchase 1,620,000 additional shares, at an initial public offering price of $16.00 per share and received gross proceeds of $198.7 million, which resulted in net proceeds to us of approximately $181.2 million, after deducting underwriting discounts and commissions of approximately $13.9 million and offering-related transaction costs of approximately $3.6 million. None of the expenses associated with the IPO were paid to directors, officers, persons owning 10% or more of any class of equity securities, or to their associates, or to our affiliates. BofA Securities, Inc., Jefferies LLC, and Cowen and Company, LLC acted as joint book-running managers for the offering.</w:t>
      </w:r>
    </w:p>
    <w:p>
      <w:pPr>
        <w:pStyle w:val="TextBody"/>
        <w:bidi w:val="0"/>
        <w:spacing w:before="240" w:after="283"/>
        <w:ind w:left="0" w:right="0" w:firstLine="720"/>
        <w:jc w:val="left"/>
        <w:rPr>
          <w:rFonts w:ascii="Times New Roman" w:hAnsi="Times New Roman"/>
          <w:sz w:val="20"/>
        </w:rPr>
      </w:pPr>
      <w:r>
        <w:rPr>
          <w:rFonts w:ascii="Times New Roman" w:hAnsi="Times New Roman"/>
          <w:b w:val="false"/>
          <w:color w:val="000000"/>
          <w:sz w:val="20"/>
        </w:rPr>
        <w:t>As of September 30, 2023, we estimate that we have used approximately $98 million of the proceeds from our IPO for general corporate purposes, including to fund the development of TYRA-300, TYRA-200 and our other development programs. There has been no material change in the planned use of proceeds from that described in the final prospectus filed with the SEC pursuant to Rule 424(b)(4) under the Securities Act on September 15, 2021.</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15" w:name="ii_item3"/>
      <w:bookmarkEnd w:id="15"/>
      <w:r>
        <w:rPr>
          <w:rFonts w:ascii="Times New Roman" w:hAnsi="Times New Roman"/>
          <w:b/>
          <w:color w:val="000000"/>
          <w:sz w:val="20"/>
        </w:rPr>
        <w:t>Item 3. Defaults Upon Senior Securities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b/>
          <w:color w:val="000000"/>
          <w:sz w:val="20"/>
        </w:rPr>
      </w:pPr>
      <w:bookmarkStart w:id="16" w:name="ii_item4"/>
      <w:bookmarkEnd w:id="16"/>
      <w:r>
        <w:rPr>
          <w:rFonts w:ascii="Times New Roman" w:hAnsi="Times New Roman"/>
          <w:b/>
          <w:color w:val="000000"/>
          <w:sz w:val="20"/>
        </w:rPr>
        <w:t>Item 4. Mine Safety Disclosures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b/>
          <w:color w:val="000000"/>
          <w:sz w:val="20"/>
        </w:rPr>
      </w:pPr>
      <w:bookmarkStart w:id="17" w:name="ii_item5"/>
      <w:bookmarkEnd w:id="17"/>
      <w:r>
        <w:rPr>
          <w:rFonts w:ascii="Times New Roman" w:hAnsi="Times New Roman"/>
          <w:b/>
          <w:color w:val="000000"/>
          <w:sz w:val="20"/>
        </w:rPr>
        <w:t>Item 5. Other Information</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ii_item6"/>
      <w:bookmarkEnd w:id="18"/>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9"/>
        <w:gridCol w:w="146"/>
        <w:gridCol w:w="5341"/>
        <w:gridCol w:w="146"/>
        <w:gridCol w:w="586"/>
        <w:gridCol w:w="146"/>
        <w:gridCol w:w="618"/>
        <w:gridCol w:w="146"/>
        <w:gridCol w:w="796"/>
        <w:gridCol w:w="146"/>
        <w:gridCol w:w="1095"/>
      </w:tblGrid>
      <w:tr>
        <w:trPr/>
        <w:tc>
          <w:tcPr>
            <w:tcW w:w="10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103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Filed Herewith</w:t>
            </w:r>
          </w:p>
        </w:tc>
      </w:tr>
      <w:tr>
        <w:trPr/>
        <w:tc>
          <w:tcPr>
            <w:tcW w:w="10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3/22/23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Amended and Restated Bylaws, effective as of October 26,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10/26/23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Specimen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8/20/21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b w:val="false"/>
                  <w:color w:val="0000FF"/>
                  <w:sz w:val="20"/>
                  <w:u w:val="single"/>
                </w:rPr>
                <w:t>Amended and Restated Investors’ Rights Agreement, dated March 5, 2021, by and among the Registrant and certain of its stockholders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9/9/21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41" w:type="dxa"/>
            <w:tcBorders/>
            <w:tcMar>
              <w:top w:w="0" w:type="dxa"/>
              <w:left w:w="0" w:type="dxa"/>
              <w:bottom w:w="0" w:type="dxa"/>
              <w:right w:w="0" w:type="dxa"/>
            </w:tcMar>
            <w:vAlign w:val="center"/>
          </w:tcPr>
          <w:p>
            <w:pPr>
              <w:pStyle w:val="TableContents"/>
              <w:bidi w:val="0"/>
              <w:spacing w:before="0" w:after="283"/>
              <w:jc w:val="left"/>
              <w:rPr/>
            </w:pPr>
            <w:hyperlink w:anchor="tyra-ex10_1.htm">
              <w:r>
                <w:rPr>
                  <w:rStyle w:val="InternetLink"/>
                  <w:rFonts w:ascii="Times New Roman" w:hAnsi="Times New Roman"/>
                  <w:b w:val="false"/>
                  <w:color w:val="0000FF"/>
                  <w:sz w:val="20"/>
                  <w:u w:val="single"/>
                </w:rPr>
                <w:t>Non-Employee Director Compensation Program, amended and restated effective August 1,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pPr>
            <w:hyperlink w:anchor="tyra-ex31_1.htm">
              <w:r>
                <w:rPr>
                  <w:rStyle w:val="InternetLink"/>
                  <w:rFonts w:ascii="Times New Roman" w:hAnsi="Times New Roman"/>
                  <w:b w:val="false"/>
                  <w:color w:val="0000FF"/>
                  <w:sz w:val="20"/>
                  <w:u w:val="single"/>
                </w:rPr>
                <w:t>Certification of Chief Executive Officer, as required by Rule 13a-14(a) or Rule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pPr>
            <w:hyperlink w:anchor="tyra-ex31_2.htm">
              <w:r>
                <w:rPr>
                  <w:rStyle w:val="InternetLink"/>
                  <w:rFonts w:ascii="Times New Roman" w:hAnsi="Times New Roman"/>
                  <w:b w:val="false"/>
                  <w:color w:val="0000FF"/>
                  <w:sz w:val="20"/>
                  <w:u w:val="single"/>
                </w:rPr>
                <w:t>Certification of Chief Financial Officer, as required by Rule 13a-14(a) or Rule 15d-14(a), as adopted pursuant to Section 302 of the Sarbanes-Oxley Act of 2002</w:t>
              </w:r>
            </w:hyperlink>
            <w:hyperlink w:anchor="tyra-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val="false"/>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pPr>
            <w:hyperlink w:anchor="tyra-ex32_1.htm">
              <w:r>
                <w:rPr>
                  <w:rStyle w:val="InternetLink"/>
                  <w:rFonts w:ascii="Times New Roman" w:hAnsi="Times New Roman"/>
                  <w:b w:val="false"/>
                  <w:color w:val="0000FF"/>
                  <w:sz w:val="20"/>
                  <w:u w:val="single"/>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val="false"/>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pPr>
            <w:hyperlink w:anchor="tyra-ex32_2.htm">
              <w:r>
                <w:rPr>
                  <w:rStyle w:val="InternetLink"/>
                  <w:rFonts w:ascii="Times New Roman" w:hAnsi="Times New Roman"/>
                  <w:b w:val="false"/>
                  <w:color w:val="0000FF"/>
                  <w:sz w:val="20"/>
                  <w:u w:val="single"/>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val="false"/>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val="false"/>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val="false"/>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val="false"/>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val="false"/>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b w:val="false"/>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r>
        <w:trPr/>
        <w:tc>
          <w:tcPr>
            <w:tcW w:w="10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X</w:t>
            </w:r>
          </w:p>
        </w:tc>
      </w:tr>
    </w:tbl>
    <w:p>
      <w:pPr>
        <w:pStyle w:val="TextBody"/>
        <w:bidi w:val="0"/>
        <w:jc w:val="left"/>
        <w:rPr>
          <w:rFonts w:ascii="Times New Roman" w:hAnsi="Times New Roman"/>
          <w:sz w:val="20"/>
        </w:rPr>
      </w:pPr>
      <w:r>
        <w:rPr>
          <w:rFonts w:ascii="Times New Roman" w:hAnsi="Times New Roman"/>
          <w:b w:val="false"/>
          <w:color w:val="000000"/>
          <w:sz w:val="20"/>
        </w:rPr>
        <w:t>* This certification is deemed not filed for purpose of Section 18 of the Exchange Act or otherwise subject to the liability of that section, nor shall it be deemed incorporated by reference into any filing under the Securities Act or the Exchange Act.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ignatures"/>
      <w:bookmarkEnd w:id="19"/>
      <w:r>
        <w:rPr>
          <w:rFonts w:ascii="Times New Roman" w:hAnsi="Times New Roman"/>
          <w:b/>
          <w:color w:val="000000"/>
          <w:sz w:val="20"/>
        </w:rPr>
        <w:t>SIGNATURES</w:t>
      </w:r>
    </w:p>
    <w:p>
      <w:pPr>
        <w:pStyle w:val="TextBody"/>
        <w:bidi w:val="0"/>
        <w:spacing w:before="240" w:after="283"/>
        <w:ind w:left="0" w:right="0" w:firstLine="720"/>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839" w:type="dxa"/>
        <w:jc w:val="left"/>
        <w:tblInd w:w="0" w:type="dxa"/>
        <w:tblLayout w:type="fixed"/>
        <w:tblCellMar>
          <w:top w:w="28" w:type="dxa"/>
          <w:left w:w="28" w:type="dxa"/>
          <w:bottom w:w="28" w:type="dxa"/>
          <w:right w:w="28" w:type="dxa"/>
        </w:tblCellMar>
      </w:tblPr>
      <w:tblGrid>
        <w:gridCol w:w="2101"/>
        <w:gridCol w:w="146"/>
        <w:gridCol w:w="406"/>
        <w:gridCol w:w="418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92" w:type="dxa"/>
            <w:gridSpan w:val="2"/>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TYRA BIOSCIENCES, INC.</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Todd Harris, Ph.D.</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center"/>
              <w:rPr>
                <w:color w:val="000000"/>
              </w:rPr>
            </w:pPr>
            <w:r>
              <w:rPr>
                <w:color w:val="000000"/>
              </w:rPr>
              <w:t> </w:t>
            </w:r>
            <w:r>
              <w:rPr>
                <w:rFonts w:ascii="Times New Roman" w:hAnsi="Times New Roman"/>
                <w:b/>
                <w:color w:val="000000"/>
                <w:sz w:val="20"/>
              </w:rPr>
              <w:t>(Principal Executive Officer)</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Alan Fuhrman</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21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6" w:type="dxa"/>
            <w:tcBorders/>
            <w:shd w:fill="FFFFFF" w:val="clear"/>
            <w:vAlign w:val="center"/>
          </w:tcPr>
          <w:p>
            <w:pPr>
              <w:pStyle w:val="TableContents"/>
              <w:bidi w:val="0"/>
              <w:spacing w:before="0" w:after="283"/>
              <w:jc w:val="left"/>
              <w:rPr>
                <w:sz w:val="4"/>
                <w:szCs w:val="4"/>
              </w:rPr>
            </w:pPr>
            <w:r>
              <w:rPr>
                <w:sz w:val="4"/>
                <w:szCs w:val="4"/>
              </w:rPr>
            </w:r>
          </w:p>
        </w:tc>
        <w:tc>
          <w:tcPr>
            <w:tcW w:w="41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p>
        </w:tc>
        <w:tc>
          <w:tcPr>
            <w:tcW w:w="4186"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0" w:name="tyra-ex10_1.htm"/>
      <w:bookmarkStart w:id="21" w:name="kstyraex10_1"/>
      <w:bookmarkEnd w:id="20"/>
      <w:bookmarkEnd w:id="21"/>
      <w:r>
        <w:rPr>
          <w:rFonts w:ascii="Times New Roman" w:hAnsi="Times New Roman"/>
          <w:b/>
          <w:color w:val="000000"/>
          <w:sz w:val="24"/>
        </w:rPr>
        <w:t>Exhibit 10.1</w:t>
      </w:r>
      <w:r>
        <w:br w:type="page"/>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Tyra Biosciences, Inc.</w:t>
      </w:r>
    </w:p>
    <w:p>
      <w:pPr>
        <w:pStyle w:val="TextBody"/>
        <w:bidi w:val="0"/>
        <w:jc w:val="center"/>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Non-Employee Director Compensation Program</w:t>
      </w:r>
    </w:p>
    <w:p>
      <w:pPr>
        <w:pStyle w:val="TextBody"/>
        <w:bidi w:val="0"/>
        <w:jc w:val="center"/>
        <w:rPr/>
      </w:pPr>
      <w:r>
        <w:rPr/>
        <w:t>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(Amended and Restated Effective August 1, 2023)</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2"/>
        </w:rPr>
        <w:t>Non-employee members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b w:val="false"/>
          <w:color w:val="000000"/>
          <w:sz w:val="22"/>
        </w:rPr>
        <w:t>) of Tyra Biosciences,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b w:val="false"/>
          <w:color w:val="000000"/>
          <w:sz w:val="22"/>
        </w:rPr>
        <w:t>) shall receive cash and equity compensation as set forth in this Non-Employee Director Compensation Program (this “</w:t>
      </w:r>
      <w:r>
        <w:rPr>
          <w:rFonts w:ascii="Times New Roman" w:hAnsi="Times New Roman"/>
          <w:b/>
          <w:i/>
          <w:color w:val="000000"/>
          <w:sz w:val="22"/>
        </w:rPr>
        <w:t>Program</w:t>
      </w:r>
      <w:r>
        <w:rPr>
          <w:rFonts w:ascii="Times New Roman" w:hAnsi="Times New Roman"/>
          <w:color w:val="000000"/>
          <w:sz w:val="20"/>
        </w:rPr>
        <w:t>”</w:t>
      </w:r>
      <w:r>
        <w:rPr>
          <w:rFonts w:ascii="Times New Roman" w:hAnsi="Times New Roman"/>
          <w:b w:val="false"/>
          <w:color w:val="000000"/>
          <w:sz w:val="22"/>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hAnsi="Times New Roman"/>
          <w:b/>
          <w:i/>
          <w:color w:val="000000"/>
          <w:sz w:val="22"/>
        </w:rPr>
        <w:t>Non-Employee Director</w:t>
      </w:r>
      <w:r>
        <w:rPr>
          <w:rFonts w:ascii="Times New Roman" w:hAnsi="Times New Roman"/>
          <w:color w:val="000000"/>
          <w:sz w:val="20"/>
        </w:rPr>
        <w:t>”</w:t>
      </w:r>
      <w:r>
        <w:rPr>
          <w:rFonts w:ascii="Times New Roman" w:hAnsi="Times New Roman"/>
          <w:b w:val="false"/>
          <w:color w:val="000000"/>
          <w:sz w:val="22"/>
        </w:rPr>
        <w:t>) who is entitled to receive such cash or equity compensation, unless such Non-Employee Director declines the receipt of such cash or equity compensation by written notice to the Company and subject to any limits on non-employee director compensation set forth in the Equity Plan (as defined below).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 This amended and restated Program shall become effective as of the date set forth above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ind w:left="0" w:right="720" w:hanging="0"/>
        <w:jc w:val="both"/>
        <w:rPr>
          <w:rFonts w:ascii="Times New Roman" w:hAnsi="Times New Roman"/>
          <w:b/>
          <w:smallCaps/>
          <w:color w:val="000000"/>
          <w:sz w:val="22"/>
        </w:rPr>
      </w:pPr>
      <w:r>
        <w:rPr>
          <w:rFonts w:ascii="Times New Roman" w:hAnsi="Times New Roman"/>
          <w:b/>
          <w:smallCaps/>
          <w:color w:val="000000"/>
          <w:sz w:val="22"/>
        </w:rPr>
        <w:t>Cash Compensation</w:t>
      </w:r>
    </w:p>
    <w:p>
      <w:pPr>
        <w:pStyle w:val="TextBody"/>
        <w:bidi w:val="0"/>
        <w:spacing w:before="0" w:after="240"/>
        <w:jc w:val="both"/>
        <w:rPr>
          <w:rFonts w:ascii="Times New Roman" w:hAnsi="Times New Roman"/>
          <w:sz w:val="20"/>
        </w:rPr>
      </w:pPr>
      <w:r>
        <w:rPr>
          <w:rFonts w:ascii="Times New Roman" w:hAnsi="Times New Roman"/>
          <w:b w:val="false"/>
          <w:color w:val="000000"/>
          <w:sz w:val="22"/>
        </w:rPr>
        <w:t>The schedule of annual retainers (the “</w:t>
      </w:r>
      <w:r>
        <w:rPr>
          <w:rFonts w:ascii="Times New Roman" w:hAnsi="Times New Roman"/>
          <w:b/>
          <w:i/>
          <w:color w:val="000000"/>
          <w:sz w:val="22"/>
        </w:rPr>
        <w:t>Annual Retainers</w:t>
      </w:r>
      <w:r>
        <w:rPr>
          <w:rFonts w:ascii="Times New Roman" w:hAnsi="Times New Roman"/>
          <w:color w:val="000000"/>
          <w:sz w:val="20"/>
        </w:rPr>
        <w:t>”</w:t>
      </w:r>
      <w:r>
        <w:rPr>
          <w:rFonts w:ascii="Times New Roman" w:hAnsi="Times New Roman"/>
          <w:b w:val="false"/>
          <w:color w:val="000000"/>
          <w:sz w:val="22"/>
        </w:rPr>
        <w:t>) for the Non-Employee Directors is as follows:</w:t>
      </w:r>
    </w:p>
    <w:p>
      <w:pPr>
        <w:pStyle w:val="TextBody"/>
        <w:bidi w:val="0"/>
        <w:jc w:val="left"/>
        <w:rPr/>
      </w:pPr>
      <w:r>
        <w:rPr/>
        <w:t> </w:t>
      </w:r>
    </w:p>
    <w:tbl>
      <w:tblPr>
        <w:tblW w:w="8087" w:type="dxa"/>
        <w:jc w:val="left"/>
        <w:tblInd w:w="0" w:type="dxa"/>
        <w:tblLayout w:type="fixed"/>
        <w:tblCellMar>
          <w:top w:w="28" w:type="dxa"/>
          <w:left w:w="28" w:type="dxa"/>
          <w:bottom w:w="28" w:type="dxa"/>
          <w:right w:w="28" w:type="dxa"/>
        </w:tblCellMar>
      </w:tblPr>
      <w:tblGrid>
        <w:gridCol w:w="7156"/>
        <w:gridCol w:w="931"/>
      </w:tblGrid>
      <w:tr>
        <w:trPr/>
        <w:tc>
          <w:tcPr>
            <w:tcW w:w="71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7156" w:type="dxa"/>
            <w:tcBorders/>
            <w:shd w:fill="FFFFFF" w:val="clear"/>
            <w:vAlign w:val="center"/>
          </w:tcPr>
          <w:p>
            <w:pPr>
              <w:pStyle w:val="TableContents"/>
              <w:bidi w:val="0"/>
              <w:spacing w:before="0" w:after="283"/>
              <w:ind w:left="200" w:right="0" w:firstLine="200"/>
              <w:jc w:val="center"/>
              <w:rPr>
                <w:rFonts w:ascii="Times New Roman" w:hAnsi="Times New Roman"/>
                <w:b/>
                <w:color w:val="000000"/>
                <w:sz w:val="22"/>
                <w:u w:val="single"/>
              </w:rPr>
            </w:pPr>
            <w:r>
              <w:rPr>
                <w:rFonts w:ascii="Times New Roman" w:hAnsi="Times New Roman"/>
                <w:b/>
                <w:color w:val="000000"/>
                <w:sz w:val="22"/>
                <w:u w:val="single"/>
              </w:rPr>
              <w:t>Position</w:t>
            </w:r>
          </w:p>
        </w:tc>
        <w:tc>
          <w:tcPr>
            <w:tcW w:w="931" w:type="dxa"/>
            <w:tcBorders/>
            <w:shd w:fill="FFFFFF" w:val="clear"/>
            <w:vAlign w:val="center"/>
          </w:tcPr>
          <w:p>
            <w:pPr>
              <w:pStyle w:val="TableContents"/>
              <w:bidi w:val="0"/>
              <w:spacing w:before="0" w:after="283"/>
              <w:jc w:val="center"/>
              <w:rPr>
                <w:rFonts w:ascii="Times New Roman" w:hAnsi="Times New Roman"/>
                <w:b/>
                <w:color w:val="000000"/>
                <w:sz w:val="22"/>
                <w:u w:val="single"/>
              </w:rPr>
            </w:pPr>
            <w:r>
              <w:rPr>
                <w:rFonts w:ascii="Times New Roman" w:hAnsi="Times New Roman"/>
                <w:b/>
                <w:color w:val="000000"/>
                <w:sz w:val="22"/>
                <w:u w:val="single"/>
              </w:rPr>
              <w:t>Amount</w:t>
            </w:r>
          </w:p>
        </w:tc>
      </w:tr>
      <w:tr>
        <w:trPr/>
        <w:tc>
          <w:tcPr>
            <w:tcW w:w="7156" w:type="dxa"/>
            <w:tcBorders/>
            <w:shd w:fill="CFF0FC"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Base Board Retainer</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$35,000</w:t>
            </w:r>
          </w:p>
        </w:tc>
      </w:tr>
      <w:tr>
        <w:trPr/>
        <w:tc>
          <w:tcPr>
            <w:tcW w:w="7156" w:type="dxa"/>
            <w:tcBorders/>
            <w:shd w:fill="FFFFFF"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Chair of the Board</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$30,000</w:t>
            </w:r>
          </w:p>
        </w:tc>
      </w:tr>
      <w:tr>
        <w:trPr/>
        <w:tc>
          <w:tcPr>
            <w:tcW w:w="7156" w:type="dxa"/>
            <w:tcBorders/>
            <w:shd w:fill="CFF0FC"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Chair of Audit Committee</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$15,000</w:t>
            </w:r>
          </w:p>
        </w:tc>
      </w:tr>
      <w:tr>
        <w:trPr/>
        <w:tc>
          <w:tcPr>
            <w:tcW w:w="7156"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Chair of Compensation Committee</w:t>
            </w:r>
          </w:p>
        </w:tc>
        <w:tc>
          <w:tcPr>
            <w:tcW w:w="931"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$10,000</w:t>
            </w:r>
          </w:p>
        </w:tc>
      </w:tr>
      <w:tr>
        <w:trPr/>
        <w:tc>
          <w:tcPr>
            <w:tcW w:w="7156" w:type="dxa"/>
            <w:tcBorders/>
            <w:shd w:fill="CFF0FC"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Chair of Nominating and Corporate Governance Committee</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$8,000</w:t>
            </w:r>
          </w:p>
        </w:tc>
      </w:tr>
      <w:tr>
        <w:trPr/>
        <w:tc>
          <w:tcPr>
            <w:tcW w:w="7156" w:type="dxa"/>
            <w:tcBorders/>
            <w:shd w:fill="FFFFFF"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Chair of Science and Technology Committee</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$10,000</w:t>
            </w:r>
          </w:p>
        </w:tc>
      </w:tr>
      <w:tr>
        <w:trPr/>
        <w:tc>
          <w:tcPr>
            <w:tcW w:w="7156" w:type="dxa"/>
            <w:tcBorders/>
            <w:shd w:fill="CFF0FC"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Member of Audit Committee (non-Chair)</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$7,500</w:t>
            </w:r>
          </w:p>
        </w:tc>
      </w:tr>
      <w:tr>
        <w:trPr/>
        <w:tc>
          <w:tcPr>
            <w:tcW w:w="7156" w:type="dxa"/>
            <w:tcBorders/>
            <w:shd w:fill="FFFFFF"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Member of Compensation Committee (non-Chair)</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$5,000</w:t>
            </w:r>
          </w:p>
        </w:tc>
      </w:tr>
      <w:tr>
        <w:trPr/>
        <w:tc>
          <w:tcPr>
            <w:tcW w:w="7156" w:type="dxa"/>
            <w:tcBorders/>
            <w:shd w:fill="CFF0FC"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Member of Nominating and Corporate Governance Committee (non-Chair)</w:t>
            </w:r>
          </w:p>
        </w:tc>
        <w:tc>
          <w:tcPr>
            <w:tcW w:w="931" w:type="dxa"/>
            <w:tcBorders/>
            <w:shd w:fill="CFF0FC"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$4,000</w:t>
            </w:r>
          </w:p>
        </w:tc>
      </w:tr>
      <w:tr>
        <w:trPr/>
        <w:tc>
          <w:tcPr>
            <w:tcW w:w="7156" w:type="dxa"/>
            <w:tcBorders/>
            <w:shd w:fill="FFFFFF"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Member of Science and Technology Committee (non-Chair)</w:t>
            </w:r>
          </w:p>
        </w:tc>
        <w:tc>
          <w:tcPr>
            <w:tcW w:w="931" w:type="dxa"/>
            <w:tcBorders/>
            <w:shd w:fill="FFFFFF" w:val="cle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$5,000</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w:t>
      </w:r>
    </w:p>
    <w:p>
      <w:pPr>
        <w:pStyle w:val="TextBody"/>
        <w:bidi w:val="0"/>
        <w:jc w:val="left"/>
        <w:rPr>
          <w:rFonts w:ascii="Times New Roman" w:hAnsi="Times New Roman"/>
          <w:sz w:val="20"/>
        </w:rPr>
      </w:pPr>
      <w:r>
        <w:rPr>
          <w:rFonts w:ascii="Times New Roman" w:hAnsi="Times New Roman"/>
          <w:b w:val="false"/>
          <w:color w:val="000000"/>
          <w:sz w:val="16"/>
        </w:rPr>
        <w:t>|US-DOCS\99316230.</w:t>
      </w:r>
      <w:r>
        <w:rPr>
          <w:rFonts w:ascii="Times New Roman" w:hAnsi="Times New Roman"/>
          <w:b w:val="false"/>
          <w:color w:val="000000"/>
          <w:sz w:val="24"/>
        </w:rPr>
        <w:t>|US-DOCS\103576227.24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Annual Retainer paid to such Non-Employee Director shall be prorated for the portion of such calendar quarter actually served as a Non-Employee Director, or in such position, as applicable. In addition, the Annual Retainers will be prorated for the first calendar quarter in which the Effective Date occurs, which proration will be based on the number of days of the calendar quarter remaining in such quarter after the Effective Date. The Board may adopt a program that allows Non-Employee Directors to defer Annual Retainers.</w:t>
      </w:r>
    </w:p>
    <w:p>
      <w:pPr>
        <w:pStyle w:val="TextBody"/>
        <w:bidi w:val="0"/>
        <w:jc w:val="both"/>
        <w:rPr/>
      </w:pPr>
      <w:r>
        <w:rPr/>
        <w:t> </w:t>
      </w:r>
    </w:p>
    <w:p>
      <w:pPr>
        <w:pStyle w:val="TextBody"/>
        <w:bidi w:val="0"/>
        <w:spacing w:before="0" w:after="240"/>
        <w:ind w:left="0" w:right="720" w:hanging="0"/>
        <w:jc w:val="both"/>
        <w:rPr>
          <w:rFonts w:ascii="Times New Roman" w:hAnsi="Times New Roman"/>
          <w:sz w:val="20"/>
        </w:rPr>
      </w:pPr>
      <w:r>
        <w:rPr>
          <w:rFonts w:ascii="Times New Roman" w:hAnsi="Times New Roman"/>
          <w:b/>
          <w:smallCaps/>
          <w:color w:val="000000"/>
          <w:sz w:val="22"/>
        </w:rPr>
        <w:t>Equity Compensation</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Each Non-Employee Director shall be granted the equity awards described below, which equity awards shall be granted under and subject to the terms and provisions of the Company’s 2021 Incentive Award Plan or any other applicable Company equity incentive plan then-maintained by the Company (the “</w:t>
      </w:r>
      <w:r>
        <w:rPr>
          <w:rFonts w:ascii="Times New Roman" w:hAnsi="Times New Roman"/>
          <w:b/>
          <w:i/>
          <w:color w:val="000000"/>
          <w:sz w:val="22"/>
        </w:rPr>
        <w:t>Equity Plan</w:t>
      </w:r>
      <w:r>
        <w:rPr>
          <w:rFonts w:ascii="Times New Roman" w:hAnsi="Times New Roman"/>
          <w:color w:val="000000"/>
          <w:sz w:val="20"/>
        </w:rPr>
        <w:t>”</w:t>
      </w:r>
      <w:r>
        <w:rPr>
          <w:rFonts w:ascii="Times New Roman" w:hAnsi="Times New Roman"/>
          <w:b w:val="false"/>
          <w:color w:val="000000"/>
          <w:sz w:val="22"/>
        </w:rPr>
        <w:t>), and shall be subject to an equity award agreement in substantially the form previously approved by the Board for use under the Equity Plan. All applicable terms of the Equity Plan apply to this Program as if fully set forth herein, and all grants of equity awards hereby are subject in all respects to the terms of the Equity Plan and the applicable equity award agreement.</w:t>
      </w:r>
    </w:p>
    <w:p>
      <w:pPr>
        <w:pStyle w:val="TextBody"/>
        <w:bidi w:val="0"/>
        <w:ind w:left="0" w:right="0" w:firstLine="720"/>
        <w:jc w:val="both"/>
        <w:rPr>
          <w:rFonts w:ascii="Times New Roman" w:hAnsi="Times New Roman"/>
          <w:sz w:val="20"/>
        </w:rPr>
      </w:pPr>
      <w:bookmarkStart w:id="22" w:name="ole_link3"/>
      <w:bookmarkEnd w:id="22"/>
      <w:r>
        <w:rPr>
          <w:rFonts w:ascii="Times New Roman" w:hAnsi="Times New Roman"/>
          <w:b w:val="false"/>
          <w:color w:val="000000"/>
          <w:sz w:val="22"/>
        </w:rPr>
        <w:t xml:space="preserve">A. </w:t>
      </w:r>
      <w:r>
        <w:rPr>
          <w:rFonts w:ascii="Times New Roman" w:hAnsi="Times New Roman"/>
          <w:b w:val="false"/>
          <w:color w:val="000000"/>
          <w:sz w:val="22"/>
          <w:u w:val="single"/>
        </w:rPr>
        <w:t>Initial Awards</w:t>
      </w:r>
      <w:r>
        <w:rPr>
          <w:rFonts w:ascii="Times New Roman" w:hAnsi="Times New Roman"/>
          <w:b w:val="false"/>
          <w:color w:val="000000"/>
          <w:sz w:val="22"/>
        </w:rPr>
        <w:t>. Each Non-Employee Director who is initially elected or appointed to the Board following the Effective Date shall be automatically granted stock options to purchase 29,000 shares of the Company’s common stock</w:t>
      </w:r>
      <w:bookmarkStart w:id="23" w:name="ole_link4"/>
      <w:bookmarkEnd w:id="23"/>
      <w:r>
        <w:rPr>
          <w:rFonts w:ascii="Times New Roman" w:hAnsi="Times New Roman"/>
          <w:color w:val="000000"/>
          <w:sz w:val="20"/>
        </w:rPr>
        <w:t xml:space="preserve"> </w:t>
      </w:r>
      <w:r>
        <w:rPr>
          <w:rFonts w:ascii="Times New Roman" w:hAnsi="Times New Roman"/>
          <w:b w:val="false"/>
          <w:color w:val="000000"/>
          <w:sz w:val="22"/>
        </w:rPr>
        <w:t>under the Equity Plan</w:t>
      </w:r>
      <w:r>
        <w:rPr>
          <w:rFonts w:ascii="Times New Roman" w:hAnsi="Times New Roman"/>
          <w:color w:val="000000"/>
          <w:sz w:val="20"/>
        </w:rPr>
        <w:t xml:space="preserve"> </w:t>
      </w:r>
      <w:r>
        <w:rPr>
          <w:rFonts w:ascii="Times New Roman" w:hAnsi="Times New Roman"/>
          <w:b w:val="false"/>
          <w:color w:val="000000"/>
          <w:sz w:val="22"/>
        </w:rPr>
        <w:t>on the date of such initial election or appointment. The awards described in this Section shall be referred to as “</w:t>
      </w:r>
      <w:r>
        <w:rPr>
          <w:rFonts w:ascii="Times New Roman" w:hAnsi="Times New Roman"/>
          <w:b/>
          <w:i/>
          <w:color w:val="000000"/>
          <w:sz w:val="22"/>
        </w:rPr>
        <w:t>Initial Awards</w:t>
      </w:r>
      <w:r>
        <w:rPr>
          <w:rFonts w:ascii="Times New Roman" w:hAnsi="Times New Roman"/>
          <w:b w:val="false"/>
          <w:color w:val="000000"/>
          <w:sz w:val="22"/>
        </w:rPr>
        <w:t>.”</w:t>
      </w:r>
    </w:p>
    <w:p>
      <w:pPr>
        <w:pStyle w:val="TextBody"/>
        <w:bidi w:val="0"/>
        <w:ind w:left="0" w:right="0" w:firstLine="720"/>
        <w:jc w:val="both"/>
        <w:rPr>
          <w:rFonts w:ascii="Times New Roman" w:hAnsi="Times New Roman"/>
          <w:sz w:val="20"/>
        </w:rPr>
      </w:pPr>
      <w:bookmarkStart w:id="24" w:name="ole_link2"/>
      <w:bookmarkEnd w:id="24"/>
      <w:r>
        <w:rPr>
          <w:rFonts w:ascii="Times New Roman" w:hAnsi="Times New Roman"/>
          <w:b w:val="false"/>
          <w:color w:val="000000"/>
          <w:sz w:val="22"/>
        </w:rPr>
        <w:t xml:space="preserve">B. </w:t>
      </w:r>
      <w:r>
        <w:rPr>
          <w:rFonts w:ascii="Times New Roman" w:hAnsi="Times New Roman"/>
          <w:b w:val="false"/>
          <w:color w:val="000000"/>
          <w:sz w:val="22"/>
          <w:u w:val="single"/>
        </w:rPr>
        <w:t>Annual Awards</w:t>
      </w:r>
      <w:r>
        <w:rPr>
          <w:rFonts w:ascii="Times New Roman" w:hAnsi="Times New Roman"/>
          <w:b w:val="false"/>
          <w:color w:val="000000"/>
          <w:sz w:val="22"/>
        </w:rPr>
        <w:t xml:space="preserve">. A Non-Employee Director who (i) is serving on the Board as of the date of any annual meeting of the Company’s stockholders following the Effective Date, and (ii) will continue to serve as a Non-Employee Director immediately following such meeting, shall be automatically granted stock options to purchase 14,500 shares of the Company’s common stock under the Equity Plan </w:t>
      </w:r>
      <w:bookmarkStart w:id="25" w:name="ole_link1"/>
      <w:bookmarkEnd w:id="25"/>
      <w:r>
        <w:rPr>
          <w:rFonts w:ascii="Times New Roman" w:hAnsi="Times New Roman"/>
          <w:b w:val="false"/>
          <w:color w:val="000000"/>
          <w:sz w:val="22"/>
        </w:rPr>
        <w:t>on the date of such annual meeting. The awards described in this Section shall be referred to as “</w:t>
      </w:r>
      <w:r>
        <w:rPr>
          <w:rFonts w:ascii="Times New Roman" w:hAnsi="Times New Roman"/>
          <w:b/>
          <w:i/>
          <w:color w:val="000000"/>
          <w:sz w:val="22"/>
        </w:rPr>
        <w:t>Annual Awards</w:t>
      </w:r>
      <w:r>
        <w:rPr>
          <w:rFonts w:ascii="Times New Roman" w:hAnsi="Times New Roman"/>
          <w:b w:val="false"/>
          <w:color w:val="000000"/>
          <w:sz w:val="22"/>
        </w:rPr>
        <w:t>.” For the avoidance of doubt, a Non-Employee Director elected for the first time to the Board at an annual meeting of the Company’s stockholders shall only receive an Initial Award in connection with such election, and shall not receive any Annual Award on the date of such meeting as well. In addition, in the event of an adjournment or postponement of any annual meeting following the time such meeting commences, the date of the annual meeting for purposes of this clause (B) shall be the date on which the business to be conducted at the annual meeting is concluded.</w:t>
      </w:r>
    </w:p>
    <w:p>
      <w:pPr>
        <w:pStyle w:val="TextBody"/>
        <w:bidi w:val="0"/>
        <w:ind w:left="0" w:right="0" w:firstLine="72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Notwithstanding the foregoing, a Non-Employee Director shall have served as a Non-Employee Director for at least (6) months as of the date of any annual meeting to receive an Annual Award, unless otherwise determined by the Board; in which case, the Board may determine to grant such Non-Employee Director an Annual Award or a Prorated Annual Award (as defined below). “</w:t>
      </w:r>
      <w:r>
        <w:rPr>
          <w:rFonts w:ascii="Times New Roman" w:hAnsi="Times New Roman"/>
          <w:b/>
          <w:i/>
          <w:color w:val="000000"/>
          <w:sz w:val="22"/>
        </w:rPr>
        <w:t>Prorated Annual Award</w:t>
      </w:r>
      <w:r>
        <w:rPr>
          <w:rFonts w:ascii="Times New Roman" w:hAnsi="Times New Roman"/>
          <w:color w:val="000000"/>
          <w:sz w:val="20"/>
        </w:rPr>
        <w:t xml:space="preserve">” </w:t>
      </w:r>
      <w:r>
        <w:rPr>
          <w:rFonts w:ascii="Times New Roman" w:hAnsi="Times New Roman"/>
          <w:b w:val="false"/>
          <w:color w:val="000000"/>
          <w:sz w:val="22"/>
        </w:rPr>
        <w:t>means the product determined by multiplying (i) the Annual Award, by (ii) a fraction, the numerator of which is equal to (x) 365 minus (y) the number of days that elapsed from the date of the annual meeting of the Company’s stockholders preceding the Non-Employee Director’s date of initial election or appointment to the date of such initial election or appointment, and the denominator of which is 365.</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ind w:left="0" w:right="0" w:firstLine="720"/>
        <w:jc w:val="both"/>
        <w:rPr/>
      </w:pPr>
      <w:r>
        <w:rPr/>
        <w:t> </w:t>
      </w:r>
    </w:p>
    <w:p>
      <w:pPr>
        <w:pStyle w:val="TextBody"/>
        <w:bidi w:val="0"/>
        <w:ind w:left="0" w:right="0" w:firstLine="720"/>
        <w:jc w:val="both"/>
        <w:rPr>
          <w:rFonts w:ascii="Times New Roman" w:hAnsi="Times New Roman"/>
          <w:sz w:val="20"/>
        </w:rPr>
      </w:pPr>
      <w:r>
        <w:rPr>
          <w:rFonts w:ascii="Times New Roman" w:hAnsi="Times New Roman"/>
          <w:b w:val="false"/>
          <w:color w:val="000000"/>
          <w:sz w:val="22"/>
        </w:rPr>
        <w:t xml:space="preserve">C. </w:t>
      </w:r>
      <w:r>
        <w:rPr>
          <w:rFonts w:ascii="Times New Roman" w:hAnsi="Times New Roman"/>
          <w:b w:val="false"/>
          <w:color w:val="000000"/>
          <w:sz w:val="22"/>
          <w:u w:val="single"/>
        </w:rPr>
        <w:t>Terms of Awards Granted to Non-Employee Directors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ind w:left="0" w:right="0" w:firstLine="720"/>
        <w:jc w:val="both"/>
        <w:rPr/>
      </w:pPr>
      <w:r>
        <w:rPr/>
        <w:t> </w:t>
      </w:r>
    </w:p>
    <w:p>
      <w:pPr>
        <w:pStyle w:val="TextBody"/>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1. </w:t>
      </w:r>
      <w:r>
        <w:rPr>
          <w:rFonts w:ascii="Times New Roman" w:hAnsi="Times New Roman"/>
          <w:b w:val="false"/>
          <w:i/>
          <w:color w:val="000000"/>
          <w:sz w:val="22"/>
        </w:rPr>
        <w:t>Vesting</w:t>
      </w:r>
      <w:r>
        <w:rPr>
          <w:rFonts w:ascii="Times New Roman" w:hAnsi="Times New Roman"/>
          <w:b w:val="false"/>
          <w:color w:val="000000"/>
          <w:sz w:val="22"/>
        </w:rPr>
        <w:t>. Each Initial Award shall vest and become exercisable in substantially equal monthly installments over the three (3) years beginning on the date of the Non-Employee Director’s election or appointment to the Board, subject to the Non-Employee Director continuing in service on the Board through each such vesting date. Each Annual Award shall vest and/or become exercisable in substantially equal monthly installments over the twelve (12) months following the date of grant of such Annual Award (or, in the event the next annual meeting of the Company’s stockholders occurs prior to the first anniversary of the date of grant of such Annual Award, any remaining unvested portion of the Annual Award will vest on the date of such annual meeting of the Company’s stockholders), subject to the Non-Employee Director continuing in service on the Board through the applicable vesting date.</w:t>
      </w:r>
      <w:r>
        <w:rPr>
          <w:rFonts w:ascii="Times New Roman" w:hAnsi="Times New Roman"/>
          <w:color w:val="000000"/>
          <w:sz w:val="20"/>
        </w:rPr>
        <w:t xml:space="preserve"> </w:t>
      </w:r>
    </w:p>
    <w:p>
      <w:pPr>
        <w:pStyle w:val="TextBody"/>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2. </w:t>
      </w:r>
      <w:r>
        <w:rPr>
          <w:rFonts w:ascii="Times New Roman" w:hAnsi="Times New Roman"/>
          <w:b w:val="false"/>
          <w:i/>
          <w:color w:val="000000"/>
          <w:sz w:val="22"/>
        </w:rPr>
        <w:t>Forfeiture.</w:t>
      </w:r>
      <w:r>
        <w:rPr>
          <w:rFonts w:ascii="Times New Roman" w:hAnsi="Times New Roman"/>
          <w:color w:val="000000"/>
          <w:sz w:val="20"/>
        </w:rPr>
        <w:t xml:space="preserve"> </w:t>
      </w:r>
      <w:r>
        <w:rPr>
          <w:rFonts w:ascii="Times New Roman" w:hAnsi="Times New Roman"/>
          <w:b w:val="false"/>
          <w:color w:val="000000"/>
          <w:sz w:val="22"/>
        </w:rPr>
        <w:t>Unless the Board otherwise determines, any portion of an Initial Award or Annual Award which is unvested at the time of a Non-Employee Director’s termination of service on the Board as a Non-Employee Director shall be immediately forfeited upon such termination of service and shall not thereafter become vested. All of a Non-Employee Director’s Initial Awards and Annual Awards shall vest in full immediately prior to the occurrence of a Change in Control (as defined in the Equity Plan), to the extent outstanding at such time.</w:t>
      </w:r>
    </w:p>
    <w:p>
      <w:pPr>
        <w:pStyle w:val="TextBody"/>
        <w:bidi w:val="0"/>
        <w:spacing w:before="0" w:after="240"/>
        <w:ind w:left="0" w:right="0" w:firstLine="720"/>
        <w:jc w:val="both"/>
        <w:rPr>
          <w:rFonts w:ascii="Times New Roman" w:hAnsi="Times New Roman"/>
          <w:sz w:val="20"/>
        </w:rPr>
      </w:pPr>
      <w:r>
        <w:rPr>
          <w:rFonts w:ascii="Times New Roman" w:hAnsi="Times New Roman"/>
          <w:b w:val="false"/>
          <w:color w:val="000000"/>
          <w:sz w:val="22"/>
        </w:rPr>
        <w:t xml:space="preserve">3. </w:t>
      </w:r>
      <w:r>
        <w:rPr>
          <w:rFonts w:ascii="Times New Roman" w:hAnsi="Times New Roman"/>
          <w:b w:val="false"/>
          <w:i/>
          <w:color w:val="000000"/>
          <w:sz w:val="22"/>
        </w:rPr>
        <w:t>Reimbursements</w:t>
      </w:r>
      <w:r>
        <w:rPr>
          <w:rFonts w:ascii="Times New Roman" w:hAnsi="Times New Roman"/>
          <w:b w:val="false"/>
          <w:color w:val="000000"/>
          <w:sz w:val="22"/>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r>
        <w:rPr>
          <w:rFonts w:ascii="Times New Roman" w:hAnsi="Times New Roman"/>
          <w:color w:val="000000"/>
          <w:sz w:val="20"/>
        </w:rPr>
        <w:t xml:space="preserve"> </w:t>
      </w:r>
    </w:p>
    <w:p>
      <w:pPr>
        <w:pStyle w:val="TextBody"/>
        <w:bidi w:val="0"/>
        <w:spacing w:before="0" w:after="240"/>
        <w:jc w:val="center"/>
        <w:rPr>
          <w:rFonts w:ascii="Times New Roman" w:hAnsi="Times New Roman"/>
          <w:b w:val="false"/>
          <w:color w:val="000000"/>
          <w:sz w:val="22"/>
        </w:rPr>
      </w:pPr>
      <w:r>
        <w:rPr>
          <w:rFonts w:ascii="Times New Roman" w:hAnsi="Times New Roman"/>
          <w:b w:val="false"/>
          <w:color w:val="000000"/>
          <w:sz w:val="22"/>
        </w:rPr>
        <w:t>* * * *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bookmarkStart w:id="26" w:name="tyra-ex31_1.htm"/>
      <w:bookmarkStart w:id="27" w:name="kstyra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Todd Harris,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Tyra Biosciences,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6802" w:type="dxa"/>
        <w:jc w:val="left"/>
        <w:tblInd w:w="0" w:type="dxa"/>
        <w:tblLayout w:type="fixed"/>
        <w:tblCellMar>
          <w:top w:w="28" w:type="dxa"/>
          <w:left w:w="28" w:type="dxa"/>
          <w:bottom w:w="28" w:type="dxa"/>
          <w:right w:w="28" w:type="dxa"/>
        </w:tblCellMar>
      </w:tblPr>
      <w:tblGrid>
        <w:gridCol w:w="2101"/>
        <w:gridCol w:w="109"/>
        <w:gridCol w:w="406"/>
        <w:gridCol w:w="418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tyra-ex31_2.htm"/>
      <w:bookmarkStart w:id="29" w:name="kstyra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Alan Fuhrman, certify that: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have reviewed this Quarterly Report on Form 10-Q of Tyra Biosciences, Inc.;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pBdr/>
        <w:bidi w:val="0"/>
        <w:ind w:left="0" w:right="0" w:hanging="49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tyra-ex32_1.htm"/>
      <w:bookmarkStart w:id="31" w:name="kstyra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b w:val="false"/>
          <w:color w:val="000000"/>
          <w:sz w:val="20"/>
        </w:rPr>
      </w:pPr>
      <w:r>
        <w:rPr>
          <w:rFonts w:ascii="Times New Roman" w:hAnsi="Times New Roman"/>
          <w:b w:val="false"/>
          <w:color w:val="000000"/>
          <w:sz w:val="20"/>
        </w:rPr>
        <w:t>In connection with the Quarterly Report of Tyra Biosciences, Inc. (the “Company”) on Form 10-Q for the period ending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 of operations of the Company.</w:t>
      </w:r>
    </w:p>
    <w:p>
      <w:pPr>
        <w:pStyle w:val="TextBody"/>
        <w:pBdr/>
        <w:bidi w:val="0"/>
        <w:ind w:left="0" w:right="0" w:hanging="490"/>
        <w:jc w:val="left"/>
        <w:rPr/>
      </w:pPr>
      <w:r>
        <w:rPr/>
        <w:t> </w:t>
      </w:r>
    </w:p>
    <w:tbl>
      <w:tblPr>
        <w:tblW w:w="6802" w:type="dxa"/>
        <w:jc w:val="left"/>
        <w:tblInd w:w="0" w:type="dxa"/>
        <w:tblLayout w:type="fixed"/>
        <w:tblCellMar>
          <w:top w:w="28" w:type="dxa"/>
          <w:left w:w="28" w:type="dxa"/>
          <w:bottom w:w="28" w:type="dxa"/>
          <w:right w:w="28" w:type="dxa"/>
        </w:tblCellMar>
      </w:tblPr>
      <w:tblGrid>
        <w:gridCol w:w="2101"/>
        <w:gridCol w:w="109"/>
        <w:gridCol w:w="406"/>
        <w:gridCol w:w="418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41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Todd Harris, Ph.D.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Chief Executive Officer, and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tyra-ex32_2.htm"/>
      <w:bookmarkStart w:id="33" w:name="kstyraex32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left"/>
        <w:rPr>
          <w:rFonts w:ascii="Times New Roman" w:hAnsi="Times New Roman"/>
          <w:b w:val="false"/>
          <w:color w:val="000000"/>
          <w:sz w:val="20"/>
        </w:rPr>
      </w:pPr>
      <w:r>
        <w:rPr>
          <w:rFonts w:ascii="Times New Roman" w:hAnsi="Times New Roman"/>
          <w:b w:val="false"/>
          <w:color w:val="000000"/>
          <w:sz w:val="20"/>
        </w:rPr>
        <w:t>In connection with the Quarterly Report of Tyra Biosciences, Inc. (the “Company”) on Form 10-Q for the period ending September 30, 2023 as filed with the Securities and Exchange Commission on the date hereof (the “Report”), I certify, pursuant to 18 U.S.C. § 1350, as adopted pursuant to § 906 of the Sarbanes-Oxley Act of 2002, that:</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15(d) of the Securities Exchange Act of 1934; and</w:t>
      </w:r>
    </w:p>
    <w:p>
      <w:pPr>
        <w:pStyle w:val="TextBody"/>
        <w:bidi w:val="0"/>
        <w:spacing w:before="240" w:after="283"/>
        <w:ind w:left="489" w:right="0" w:hanging="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 of operations of the Company.</w:t>
      </w:r>
    </w:p>
    <w:p>
      <w:pPr>
        <w:pStyle w:val="TextBody"/>
        <w:pBdr/>
        <w:bidi w:val="0"/>
        <w:ind w:left="0" w:right="0" w:hanging="490"/>
        <w:jc w:val="left"/>
        <w:rPr/>
      </w:pPr>
      <w:r>
        <w:rPr/>
        <w:t> </w:t>
      </w:r>
    </w:p>
    <w:tbl>
      <w:tblPr>
        <w:tblW w:w="4717" w:type="dxa"/>
        <w:jc w:val="left"/>
        <w:tblInd w:w="0" w:type="dxa"/>
        <w:tblLayout w:type="fixed"/>
        <w:tblCellMar>
          <w:top w:w="28" w:type="dxa"/>
          <w:left w:w="28" w:type="dxa"/>
          <w:bottom w:w="28" w:type="dxa"/>
          <w:right w:w="28" w:type="dxa"/>
        </w:tblCellMar>
      </w:tblPr>
      <w:tblGrid>
        <w:gridCol w:w="2101"/>
        <w:gridCol w:w="109"/>
        <w:gridCol w:w="406"/>
        <w:gridCol w:w="210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1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Alan Fuhrman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3127/000119312521276124/d220261dex31.htm" TargetMode="External"/><Relationship Id="rId3" Type="http://schemas.openxmlformats.org/officeDocument/2006/relationships/hyperlink" Target="https://www.sec.gov/Archives/edgar/data/1863127/000119312523264152/d537796dex31.htm" TargetMode="External"/><Relationship Id="rId4" Type="http://schemas.openxmlformats.org/officeDocument/2006/relationships/hyperlink" Target="https://www.sec.gov/Archives/edgar/data/1863127/000119312521252729/d189651dex41.htm" TargetMode="External"/><Relationship Id="rId5" Type="http://schemas.openxmlformats.org/officeDocument/2006/relationships/hyperlink" Target="https://www.sec.gov/Archives/edgar/data/1863127/000119312521268272/d189651d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14392</Words>
  <Characters>79479</Characters>
  <CharactersWithSpaces>94521</CharactersWithSpaces>
  <Paragraphs>3754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