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tyra-20240930.htm"/>
      <w:bookmarkStart w:id="1" w:name="kstyra20240930"/>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_________ to 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001-40800</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TYRA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83-1476348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2656 State Street</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Carlsbad,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92008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(619) 728-4760</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60" w:type="dxa"/>
        <w:jc w:val="left"/>
        <w:tblInd w:w="0" w:type="dxa"/>
        <w:tblLayout w:type="fixed"/>
        <w:tblCellMar>
          <w:top w:w="28" w:type="dxa"/>
          <w:left w:w="28" w:type="dxa"/>
          <w:bottom w:w="28" w:type="dxa"/>
          <w:right w:w="28" w:type="dxa"/>
        </w:tblCellMar>
      </w:tblPr>
      <w:tblGrid>
        <w:gridCol w:w="3526"/>
        <w:gridCol w:w="146"/>
        <w:gridCol w:w="826"/>
        <w:gridCol w:w="146"/>
        <w:gridCol w:w="331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52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$0.0001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TYRA</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November 4, 2024, the registrant had 50,602,991</w:t>
      </w:r>
      <w:r>
        <w:rPr>
          <w:rFonts w:ascii="Times New Roman" w:hAnsi="Times New Roman"/>
          <w:color w:val="000000"/>
          <w:sz w:val="20"/>
        </w:rPr>
        <w:t xml:space="preserve"> </w:t>
      </w:r>
      <w:r>
        <w:rPr>
          <w:rFonts w:ascii="Times New Roman" w:hAnsi="Times New Roman"/>
          <w:color w:val="000000"/>
          <w:sz w:val="18"/>
        </w:rPr>
        <w:t>shares of common stock, $0.0001</w:t>
      </w:r>
      <w:r>
        <w:rPr>
          <w:rFonts w:ascii="Times New Roman" w:hAnsi="Times New Roman"/>
          <w:color w:val="000000"/>
          <w:sz w:val="20"/>
        </w:rPr>
        <w:t xml:space="preserve"> </w:t>
      </w:r>
      <w:r>
        <w:rPr>
          <w:rFonts w:ascii="Times New Roman" w:hAnsi="Times New Roman"/>
          <w:color w:val="000000"/>
          <w:sz w:val="18"/>
        </w:rPr>
        <w:t>par value per share, outstanding.</w:t>
      </w:r>
    </w:p>
    <w:p>
      <w:pPr>
        <w:pStyle w:val="TextBody"/>
        <w:pBdr>
          <w:bottom w:val="double" w:sz="6"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60" w:type="dxa"/>
        <w:jc w:val="left"/>
        <w:tblInd w:w="0" w:type="dxa"/>
        <w:tblLayout w:type="fixed"/>
        <w:tblCellMar>
          <w:top w:w="28" w:type="dxa"/>
          <w:left w:w="28" w:type="dxa"/>
          <w:bottom w:w="28" w:type="dxa"/>
          <w:right w:w="28" w:type="dxa"/>
        </w:tblCellMar>
      </w:tblPr>
      <w:tblGrid>
        <w:gridCol w:w="886"/>
        <w:gridCol w:w="7366"/>
        <w:gridCol w:w="70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0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Condensed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Balance Sheets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_loss">
              <w:r>
                <w:rPr>
                  <w:rStyle w:val="InternetLink"/>
                  <w:rFonts w:ascii="Times New Roman" w:hAnsi="Times New Roman"/>
                  <w:color w:val="0000FF"/>
                  <w:sz w:val="20"/>
                  <w:u w:val="single"/>
                </w:rPr>
                <w:t>Condensed Statements of Operations and Comprehensive Loss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equity">
              <w:r>
                <w:rPr>
                  <w:rStyle w:val="InternetLink"/>
                  <w:rFonts w:ascii="Times New Roman" w:hAnsi="Times New Roman"/>
                  <w:color w:val="0000FF"/>
                  <w:sz w:val="20"/>
                  <w:u w:val="single"/>
                </w:rPr>
                <w:t>Condensed Statements of Stockholders' Equity</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cash_flows">
              <w:r>
                <w:rPr>
                  <w:rStyle w:val="InternetLink"/>
                  <w:rFonts w:ascii="Times New Roman" w:hAnsi="Times New Roman"/>
                  <w:color w:val="0000FF"/>
                  <w:sz w:val="20"/>
                  <w:u w:val="single"/>
                </w:rPr>
                <w:t>Condensed Statements of Cash Flows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the Condensed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spacing w:before="24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2" w:name="i_item1"/>
      <w:bookmarkEnd w:id="2"/>
      <w:r>
        <w:rPr>
          <w:rFonts w:ascii="Times New Roman" w:hAnsi="Times New Roman"/>
          <w:b/>
          <w:color w:val="000000"/>
          <w:sz w:val="20"/>
        </w:rPr>
        <w:t>Item 1. Condensed Financial Statements</w:t>
      </w:r>
    </w:p>
    <w:p>
      <w:pPr>
        <w:pStyle w:val="TextBody"/>
        <w:bidi w:val="0"/>
        <w:jc w:val="center"/>
        <w:rPr>
          <w:rFonts w:ascii="Times New Roman" w:hAnsi="Times New Roman"/>
          <w:sz w:val="20"/>
        </w:rPr>
      </w:pPr>
      <w:bookmarkStart w:id="3" w:name="balance_sheet"/>
      <w:bookmarkEnd w:id="3"/>
      <w:r>
        <w:rPr>
          <w:rFonts w:ascii="Times New Roman" w:hAnsi="Times New Roman"/>
          <w:b/>
          <w:color w:val="000000"/>
          <w:sz w:val="20"/>
        </w:rPr>
        <w:t xml:space="preserve">Tyra Biosciences, Inc. </w:t>
        <w:br/>
        <w:t>Condensed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par value data)</w:t>
      </w:r>
    </w:p>
    <w:p>
      <w:pPr>
        <w:pStyle w:val="TextBody"/>
        <w:bidi w:val="0"/>
        <w:jc w:val="left"/>
        <w:rPr/>
      </w:pPr>
      <w:r>
        <w:rPr/>
        <w:t> </w:t>
      </w:r>
    </w:p>
    <w:tbl>
      <w:tblPr>
        <w:tblW w:w="8635" w:type="dxa"/>
        <w:jc w:val="left"/>
        <w:tblInd w:w="0" w:type="dxa"/>
        <w:tblLayout w:type="fixed"/>
        <w:tblCellMar>
          <w:top w:w="28" w:type="dxa"/>
          <w:left w:w="28" w:type="dxa"/>
          <w:bottom w:w="28" w:type="dxa"/>
          <w:right w:w="28" w:type="dxa"/>
        </w:tblCellMar>
      </w:tblPr>
      <w:tblGrid>
        <w:gridCol w:w="5551"/>
        <w:gridCol w:w="146"/>
        <w:gridCol w:w="228"/>
        <w:gridCol w:w="912"/>
        <w:gridCol w:w="166"/>
        <w:gridCol w:w="146"/>
        <w:gridCol w:w="219"/>
        <w:gridCol w:w="876"/>
        <w:gridCol w:w="391"/>
      </w:tblGrid>
      <w:tr>
        <w:trPr/>
        <w:tc>
          <w:tcPr>
            <w:tcW w:w="5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145,463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211,671</w:t>
            </w:r>
          </w:p>
        </w:tc>
        <w:tc>
          <w:tcPr>
            <w:tcW w:w="391" w:type="dxa"/>
            <w:tcBorders/>
            <w:shd w:fill="FFFFFF" w:val="clear"/>
            <w:vAlign w:val="center"/>
          </w:tcPr>
          <w:p>
            <w:pPr>
              <w:pStyle w:val="TableContents"/>
              <w:bidi w:val="0"/>
              <w:spacing w:before="0" w:after="283"/>
              <w:jc w:val="left"/>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CFF0FC" w:val="clear"/>
            <w:vAlign w:val="center"/>
          </w:tcPr>
          <w:p>
            <w:pPr>
              <w:pStyle w:val="TableContents"/>
              <w:bidi w:val="0"/>
              <w:spacing w:before="0" w:after="283"/>
              <w:jc w:val="left"/>
              <w:rPr/>
            </w:pPr>
            <w:r>
              <w:rPr/>
              <w:t> </w:t>
            </w:r>
          </w:p>
        </w:tc>
      </w:tr>
      <w:tr>
        <w:trPr/>
        <w:tc>
          <w:tcPr>
            <w:tcW w:w="5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391" w:type="dxa"/>
            <w:tcBorders/>
            <w:shd w:fill="FFFFFF" w:val="clear"/>
            <w:vAlign w:val="center"/>
          </w:tcPr>
          <w:p>
            <w:pPr>
              <w:pStyle w:val="TableContents"/>
              <w:bidi w:val="0"/>
              <w:spacing w:before="0" w:after="283"/>
              <w:jc w:val="left"/>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6,526</w:t>
            </w:r>
          </w:p>
        </w:tc>
        <w:tc>
          <w:tcPr>
            <w:tcW w:w="391" w:type="dxa"/>
            <w:tcBorders/>
            <w:shd w:fill="CFF0FC" w:val="clear"/>
            <w:vAlign w:val="center"/>
          </w:tcPr>
          <w:p>
            <w:pPr>
              <w:pStyle w:val="TableContents"/>
              <w:bidi w:val="0"/>
              <w:spacing w:before="0" w:after="283"/>
              <w:jc w:val="left"/>
              <w:rPr/>
            </w:pPr>
            <w:r>
              <w:rPr/>
              <w:t> </w:t>
            </w:r>
          </w:p>
        </w:tc>
      </w:tr>
      <w:tr>
        <w:trPr/>
        <w:tc>
          <w:tcPr>
            <w:tcW w:w="5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 current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 noncurrent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21,595</w:t>
            </w:r>
          </w:p>
        </w:tc>
        <w:tc>
          <w:tcPr>
            <w:tcW w:w="391" w:type="dxa"/>
            <w:tcBorders/>
            <w:shd w:fill="FFFFFF" w:val="clear"/>
            <w:vAlign w:val="center"/>
          </w:tcPr>
          <w:p>
            <w:pPr>
              <w:pStyle w:val="TableContents"/>
              <w:bidi w:val="0"/>
              <w:spacing w:before="0" w:after="283"/>
              <w:jc w:val="left"/>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Preferred stock, $0.0001 par value; 50,000,000 shares </w:t>
              <w:br/>
              <w:t xml:space="preserve">   authorized at September 30, 2024 and December 31, 2023; </w:t>
              <w:br/>
              <w:t xml:space="preserve">   no shares issued and outstanding at September 30, 2024 and </w:t>
              <w:br/>
              <w:t>   December 31, 2023.</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$0.0001 par value; 500,000,000 shares authorized </w:t>
              <w:br/>
              <w:t xml:space="preserve">   at September 30, 2024 and December 31, 2023; 52,889,090 and </w:t>
              <w:br/>
              <w:t xml:space="preserve">   43,099,055 shares issued at September 30, 2024 and </w:t>
              <w:br/>
              <w:t xml:space="preserve">   December 31, 2023, respectively, and 52,871,825 and </w:t>
              <w:br/>
              <w:t xml:space="preserve">   43,024,634 shares outstanding at September 30, 2024 and </w:t>
              <w:br/>
              <w:t>   December 31, 2023, respectively.</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368,707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comp_loss"/>
      <w:bookmarkEnd w:id="4"/>
      <w:r>
        <w:rPr>
          <w:rFonts w:ascii="Times New Roman" w:hAnsi="Times New Roman"/>
          <w:b/>
          <w:color w:val="000000"/>
          <w:sz w:val="20"/>
        </w:rPr>
        <w:t>Tyra Biosciences, Inc.</w:t>
      </w:r>
      <w:r>
        <w:rPr>
          <w:rFonts w:ascii="Times New Roman" w:hAnsi="Times New Roman"/>
          <w:color w:val="000000"/>
          <w:sz w:val="20"/>
        </w:rPr>
        <w:t xml:space="preserve"> </w:t>
        <w:br/>
      </w:r>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(unaudited)</w:t>
        <w:br/>
        <w:t xml:space="preserve">(in thousands, except share and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gain on marketable securities </w:t>
              <w:br/>
              <w:t>   available-for-sale,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used to compute net loss </w:t>
              <w:br/>
              <w:t>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58,874,497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42,868,340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56,599,050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42,619,075</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Tyra Biosciences,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statement_equity"/>
      <w:bookmarkEnd w:id="5"/>
      <w:r>
        <w:rPr>
          <w:rFonts w:ascii="Times New Roman" w:hAnsi="Times New Roman"/>
          <w:b/>
          <w:color w:val="000000"/>
          <w:sz w:val="20"/>
        </w:rPr>
        <w:t>Condensed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amounts)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02"/>
        <w:gridCol w:w="146"/>
        <w:gridCol w:w="146"/>
        <w:gridCol w:w="1036"/>
        <w:gridCol w:w="146"/>
        <w:gridCol w:w="146"/>
        <w:gridCol w:w="261"/>
        <w:gridCol w:w="430"/>
        <w:gridCol w:w="146"/>
        <w:gridCol w:w="146"/>
        <w:gridCol w:w="211"/>
        <w:gridCol w:w="781"/>
        <w:gridCol w:w="146"/>
        <w:gridCol w:w="146"/>
        <w:gridCol w:w="662"/>
        <w:gridCol w:w="1089"/>
        <w:gridCol w:w="146"/>
        <w:gridCol w:w="146"/>
        <w:gridCol w:w="211"/>
        <w:gridCol w:w="841"/>
        <w:gridCol w:w="166"/>
        <w:gridCol w:w="146"/>
        <w:gridCol w:w="233"/>
        <w:gridCol w:w="863"/>
        <w:gridCol w:w="213"/>
      </w:tblGrid>
      <w:tr>
        <w:trPr/>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160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42,353,550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257,829</w:t>
            </w:r>
          </w:p>
        </w:tc>
        <w:tc>
          <w:tcPr>
            <w:tcW w:w="213" w:type="dxa"/>
            <w:tcBorders/>
            <w:shd w:fill="CFF0FC" w:val="clear"/>
            <w:vAlign w:val="center"/>
          </w:tcPr>
          <w:p>
            <w:pPr>
              <w:pStyle w:val="TableContents"/>
              <w:bidi w:val="0"/>
              <w:spacing w:before="0" w:after="283"/>
              <w:jc w:val="left"/>
              <w:rPr/>
            </w:pPr>
            <w:r>
              <w:rPr/>
              <w:t> </w:t>
            </w:r>
          </w:p>
        </w:tc>
      </w:tr>
      <w:tr>
        <w:trPr/>
        <w:tc>
          <w:tcPr>
            <w:tcW w:w="16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w:t>
              <w:br/>
              <w:t>   benefit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13" w:type="dxa"/>
            <w:tcBorders/>
            <w:shd w:fill="FFFFFF" w:val="clear"/>
            <w:vAlign w:val="center"/>
          </w:tcPr>
          <w:p>
            <w:pPr>
              <w:pStyle w:val="TableContents"/>
              <w:bidi w:val="0"/>
              <w:spacing w:before="0" w:after="283"/>
              <w:jc w:val="left"/>
              <w:rPr/>
            </w:pPr>
            <w:r>
              <w:rPr/>
              <w:t> </w:t>
            </w:r>
          </w:p>
        </w:tc>
      </w:tr>
      <w:tr>
        <w:trPr/>
        <w:tc>
          <w:tcPr>
            <w:tcW w:w="16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shares of common</w:t>
              <w:br/>
              <w:t>   stock subject to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left"/>
              <w:rPr/>
            </w:pPr>
            <w:r>
              <w:rPr/>
              <w:t> </w:t>
            </w:r>
          </w:p>
        </w:tc>
        <w:tc>
          <w:tcPr>
            <w:tcW w:w="10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13" w:type="dxa"/>
            <w:tcBorders/>
            <w:shd w:fill="CFF0FC" w:val="clear"/>
            <w:vAlign w:val="center"/>
          </w:tcPr>
          <w:p>
            <w:pPr>
              <w:pStyle w:val="TableContents"/>
              <w:bidi w:val="0"/>
              <w:spacing w:before="0" w:after="283"/>
              <w:jc w:val="left"/>
              <w:rPr/>
            </w:pPr>
            <w:r>
              <w:rPr/>
              <w:t> </w:t>
            </w:r>
          </w:p>
        </w:tc>
      </w:tr>
      <w:tr>
        <w:trPr/>
        <w:tc>
          <w:tcPr>
            <w:tcW w:w="16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213" w:type="dxa"/>
            <w:tcBorders/>
            <w:shd w:fill="FFFFFF" w:val="clear"/>
            <w:vAlign w:val="center"/>
          </w:tcPr>
          <w:p>
            <w:pPr>
              <w:pStyle w:val="TableContents"/>
              <w:bidi w:val="0"/>
              <w:spacing w:before="0" w:after="283"/>
              <w:jc w:val="left"/>
              <w:rPr/>
            </w:pPr>
            <w:r>
              <w:rPr/>
              <w:t> </w:t>
            </w:r>
          </w:p>
        </w:tc>
      </w:tr>
      <w:tr>
        <w:trPr/>
        <w:tc>
          <w:tcPr>
            <w:tcW w:w="16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42,535,374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248,790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w:t>
              <w:br/>
              <w:t>   benefit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left"/>
              <w:rPr/>
            </w:pPr>
            <w:r>
              <w:rPr/>
              <w:t> </w:t>
            </w:r>
          </w:p>
        </w:tc>
        <w:tc>
          <w:tcPr>
            <w:tcW w:w="10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213" w:type="dxa"/>
            <w:tcBorders/>
            <w:shd w:fill="CFF0FC" w:val="clear"/>
            <w:vAlign w:val="center"/>
          </w:tcPr>
          <w:p>
            <w:pPr>
              <w:pStyle w:val="TableContents"/>
              <w:bidi w:val="0"/>
              <w:spacing w:before="0" w:after="283"/>
              <w:jc w:val="left"/>
              <w:rPr/>
            </w:pPr>
            <w:r>
              <w:rPr/>
              <w:t> </w:t>
            </w:r>
          </w:p>
        </w:tc>
      </w:tr>
      <w:tr>
        <w:trPr/>
        <w:tc>
          <w:tcPr>
            <w:tcW w:w="16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shares of common</w:t>
              <w:br/>
              <w:t>   stock subject to repurchase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3" w:type="dxa"/>
            <w:tcBorders/>
            <w:shd w:fill="FFFFFF" w:val="clear"/>
            <w:vAlign w:val="center"/>
          </w:tcPr>
          <w:p>
            <w:pPr>
              <w:pStyle w:val="TableContents"/>
              <w:bidi w:val="0"/>
              <w:spacing w:before="0" w:after="283"/>
              <w:jc w:val="left"/>
              <w:rPr/>
            </w:pPr>
            <w:r>
              <w:rPr/>
              <w:t> </w:t>
            </w:r>
          </w:p>
        </w:tc>
      </w:tr>
      <w:tr>
        <w:trPr/>
        <w:tc>
          <w:tcPr>
            <w:tcW w:w="16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left"/>
              <w:rPr/>
            </w:pPr>
            <w:r>
              <w:rPr/>
              <w:t> </w:t>
            </w:r>
          </w:p>
        </w:tc>
        <w:tc>
          <w:tcPr>
            <w:tcW w:w="10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213" w:type="dxa"/>
            <w:tcBorders/>
            <w:shd w:fill="CFF0FC" w:val="clear"/>
            <w:vAlign w:val="center"/>
          </w:tcPr>
          <w:p>
            <w:pPr>
              <w:pStyle w:val="TableContents"/>
              <w:bidi w:val="0"/>
              <w:spacing w:before="0" w:after="283"/>
              <w:jc w:val="left"/>
              <w:rPr/>
            </w:pPr>
            <w:r>
              <w:rPr/>
              <w:t> </w:t>
            </w:r>
          </w:p>
        </w:tc>
      </w:tr>
      <w:tr>
        <w:trPr/>
        <w:tc>
          <w:tcPr>
            <w:tcW w:w="16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42,817,233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238,572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w:t>
              <w:br/>
              <w:t>   benefit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13" w:type="dxa"/>
            <w:tcBorders/>
            <w:shd w:fill="FFFFFF" w:val="clear"/>
            <w:vAlign w:val="center"/>
          </w:tcPr>
          <w:p>
            <w:pPr>
              <w:pStyle w:val="TableContents"/>
              <w:bidi w:val="0"/>
              <w:spacing w:before="0" w:after="283"/>
              <w:jc w:val="left"/>
              <w:rPr/>
            </w:pPr>
            <w:r>
              <w:rPr/>
              <w:t> </w:t>
            </w:r>
          </w:p>
        </w:tc>
      </w:tr>
      <w:tr>
        <w:trPr/>
        <w:tc>
          <w:tcPr>
            <w:tcW w:w="16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shares of common</w:t>
              <w:br/>
              <w:t>   stock subject to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left"/>
              <w:rPr/>
            </w:pPr>
            <w:r>
              <w:rPr/>
              <w:t> </w:t>
            </w:r>
          </w:p>
        </w:tc>
        <w:tc>
          <w:tcPr>
            <w:tcW w:w="10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3" w:type="dxa"/>
            <w:tcBorders/>
            <w:shd w:fill="CFF0FC" w:val="clear"/>
            <w:vAlign w:val="center"/>
          </w:tcPr>
          <w:p>
            <w:pPr>
              <w:pStyle w:val="TableContents"/>
              <w:bidi w:val="0"/>
              <w:spacing w:before="0" w:after="283"/>
              <w:jc w:val="left"/>
              <w:rPr/>
            </w:pPr>
            <w:r>
              <w:rPr/>
              <w:t> </w:t>
            </w:r>
          </w:p>
        </w:tc>
      </w:tr>
      <w:tr>
        <w:trPr/>
        <w:tc>
          <w:tcPr>
            <w:tcW w:w="16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w:t>
            </w:r>
          </w:p>
        </w:tc>
        <w:tc>
          <w:tcPr>
            <w:tcW w:w="213" w:type="dxa"/>
            <w:tcBorders/>
            <w:shd w:fill="FFFFFF" w:val="clear"/>
            <w:vAlign w:val="center"/>
          </w:tcPr>
          <w:p>
            <w:pPr>
              <w:pStyle w:val="TableContents"/>
              <w:bidi w:val="0"/>
              <w:spacing w:before="0" w:after="283"/>
              <w:jc w:val="left"/>
              <w:rPr/>
            </w:pPr>
            <w:r>
              <w:rPr/>
              <w:t> </w:t>
            </w:r>
          </w:p>
        </w:tc>
      </w:tr>
      <w:tr>
        <w:trPr/>
        <w:tc>
          <w:tcPr>
            <w:tcW w:w="16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42,928,884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222,170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63"/>
        <w:gridCol w:w="146"/>
        <w:gridCol w:w="146"/>
        <w:gridCol w:w="1036"/>
        <w:gridCol w:w="146"/>
        <w:gridCol w:w="146"/>
        <w:gridCol w:w="261"/>
        <w:gridCol w:w="430"/>
        <w:gridCol w:w="146"/>
        <w:gridCol w:w="146"/>
        <w:gridCol w:w="211"/>
        <w:gridCol w:w="781"/>
        <w:gridCol w:w="146"/>
        <w:gridCol w:w="146"/>
        <w:gridCol w:w="423"/>
        <w:gridCol w:w="1147"/>
        <w:gridCol w:w="166"/>
        <w:gridCol w:w="146"/>
        <w:gridCol w:w="211"/>
        <w:gridCol w:w="841"/>
        <w:gridCol w:w="166"/>
        <w:gridCol w:w="146"/>
        <w:gridCol w:w="233"/>
        <w:gridCol w:w="863"/>
        <w:gridCol w:w="213"/>
      </w:tblGrid>
      <w:tr>
        <w:trPr/>
        <w:tc>
          <w:tcPr>
            <w:tcW w:w="1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7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176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43,024,634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(164,830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204,262</w:t>
            </w:r>
          </w:p>
        </w:tc>
        <w:tc>
          <w:tcPr>
            <w:tcW w:w="213" w:type="dxa"/>
            <w:tcBorders/>
            <w:shd w:fill="CFF0FC" w:val="clear"/>
            <w:vAlign w:val="center"/>
          </w:tcPr>
          <w:p>
            <w:pPr>
              <w:pStyle w:val="TableContents"/>
              <w:bidi w:val="0"/>
              <w:spacing w:before="0" w:after="283"/>
              <w:jc w:val="left"/>
              <w:rPr/>
            </w:pPr>
            <w:r>
              <w:rPr/>
              <w:t> </w:t>
            </w:r>
          </w:p>
        </w:tc>
      </w:tr>
      <w:tr>
        <w:trPr/>
        <w:tc>
          <w:tcPr>
            <w:tcW w:w="1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under </w:t>
              <w:br/>
              <w:t xml:space="preserve">   Private Placement, net of </w:t>
              <w:br/>
              <w:t>   issuance costs of $0.2 million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9,286,023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120,558</w:t>
            </w:r>
          </w:p>
        </w:tc>
        <w:tc>
          <w:tcPr>
            <w:tcW w:w="213" w:type="dxa"/>
            <w:tcBorders/>
            <w:shd w:fill="FFFFFF" w:val="clear"/>
            <w:vAlign w:val="center"/>
          </w:tcPr>
          <w:p>
            <w:pPr>
              <w:pStyle w:val="TableContents"/>
              <w:bidi w:val="0"/>
              <w:spacing w:before="0" w:after="283"/>
              <w:jc w:val="left"/>
              <w:rPr/>
            </w:pPr>
            <w:r>
              <w:rPr/>
              <w:t> </w:t>
            </w:r>
          </w:p>
        </w:tc>
      </w:tr>
      <w:tr>
        <w:trPr/>
        <w:tc>
          <w:tcPr>
            <w:tcW w:w="1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pre-funded warrants, </w:t>
              <w:br/>
              <w:t xml:space="preserve">   net of issuance </w:t>
              <w:br/>
              <w:t>   costs of $0.2 million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11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79,022</w:t>
            </w:r>
          </w:p>
        </w:tc>
        <w:tc>
          <w:tcPr>
            <w:tcW w:w="213" w:type="dxa"/>
            <w:tcBorders/>
            <w:shd w:fill="CFF0FC" w:val="clear"/>
            <w:vAlign w:val="center"/>
          </w:tcPr>
          <w:p>
            <w:pPr>
              <w:pStyle w:val="TableContents"/>
              <w:bidi w:val="0"/>
              <w:spacing w:before="0" w:after="283"/>
              <w:jc w:val="left"/>
              <w:rPr/>
            </w:pPr>
            <w:r>
              <w:rPr/>
              <w:t> </w:t>
            </w:r>
          </w:p>
        </w:tc>
      </w:tr>
      <w:tr>
        <w:trPr/>
        <w:tc>
          <w:tcPr>
            <w:tcW w:w="1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w:t>
              <w:br/>
              <w:t>   benefit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13" w:type="dxa"/>
            <w:tcBorders/>
            <w:shd w:fill="FFFFFF" w:val="clear"/>
            <w:vAlign w:val="center"/>
          </w:tcPr>
          <w:p>
            <w:pPr>
              <w:pStyle w:val="TableContents"/>
              <w:bidi w:val="0"/>
              <w:spacing w:before="0" w:after="283"/>
              <w:jc w:val="left"/>
              <w:rPr/>
            </w:pPr>
            <w:r>
              <w:rPr/>
              <w:t> </w:t>
            </w:r>
          </w:p>
        </w:tc>
      </w:tr>
      <w:tr>
        <w:trPr/>
        <w:tc>
          <w:tcPr>
            <w:tcW w:w="1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shares of common</w:t>
              <w:br/>
              <w:t>   stock subject to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11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3" w:type="dxa"/>
            <w:tcBorders/>
            <w:shd w:fill="CFF0FC" w:val="clear"/>
            <w:vAlign w:val="center"/>
          </w:tcPr>
          <w:p>
            <w:pPr>
              <w:pStyle w:val="TableContents"/>
              <w:bidi w:val="0"/>
              <w:spacing w:before="0" w:after="283"/>
              <w:jc w:val="left"/>
              <w:rPr/>
            </w:pPr>
            <w:r>
              <w:rPr/>
              <w:t> </w:t>
            </w:r>
          </w:p>
        </w:tc>
      </w:tr>
      <w:tr>
        <w:trPr/>
        <w:tc>
          <w:tcPr>
            <w:tcW w:w="1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213" w:type="dxa"/>
            <w:tcBorders/>
            <w:shd w:fill="FFFFFF" w:val="clear"/>
            <w:vAlign w:val="center"/>
          </w:tcPr>
          <w:p>
            <w:pPr>
              <w:pStyle w:val="TableContents"/>
              <w:bidi w:val="0"/>
              <w:spacing w:before="0" w:after="283"/>
              <w:jc w:val="left"/>
              <w:rPr/>
            </w:pPr>
            <w:r>
              <w:rPr/>
              <w:t> </w:t>
            </w:r>
          </w:p>
        </w:tc>
      </w:tr>
      <w:tr>
        <w:trPr/>
        <w:tc>
          <w:tcPr>
            <w:tcW w:w="1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marketable </w:t>
              <w:br/>
              <w:t>   securities available-for-sale,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11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52,474,533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389,879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w:t>
              <w:br/>
              <w:t>   benefit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213" w:type="dxa"/>
            <w:tcBorders/>
            <w:shd w:fill="FFFFFF" w:val="clear"/>
            <w:vAlign w:val="center"/>
          </w:tcPr>
          <w:p>
            <w:pPr>
              <w:pStyle w:val="TableContents"/>
              <w:bidi w:val="0"/>
              <w:spacing w:before="0" w:after="283"/>
              <w:jc w:val="left"/>
              <w:rPr/>
            </w:pPr>
            <w:r>
              <w:rPr/>
              <w:t> </w:t>
            </w:r>
          </w:p>
        </w:tc>
      </w:tr>
      <w:tr>
        <w:trPr/>
        <w:tc>
          <w:tcPr>
            <w:tcW w:w="1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shares of common</w:t>
              <w:br/>
              <w:t>   stock subject to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11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3" w:type="dxa"/>
            <w:tcBorders/>
            <w:shd w:fill="CFF0FC" w:val="clear"/>
            <w:vAlign w:val="center"/>
          </w:tcPr>
          <w:p>
            <w:pPr>
              <w:pStyle w:val="TableContents"/>
              <w:bidi w:val="0"/>
              <w:spacing w:before="0" w:after="283"/>
              <w:jc w:val="left"/>
              <w:rPr/>
            </w:pPr>
            <w:r>
              <w:rPr/>
              <w:t> </w:t>
            </w:r>
          </w:p>
        </w:tc>
      </w:tr>
      <w:tr>
        <w:trPr/>
        <w:tc>
          <w:tcPr>
            <w:tcW w:w="1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213" w:type="dxa"/>
            <w:tcBorders/>
            <w:shd w:fill="FFFFFF" w:val="clear"/>
            <w:vAlign w:val="center"/>
          </w:tcPr>
          <w:p>
            <w:pPr>
              <w:pStyle w:val="TableContents"/>
              <w:bidi w:val="0"/>
              <w:spacing w:before="0" w:after="283"/>
              <w:jc w:val="left"/>
              <w:rPr/>
            </w:pPr>
            <w:r>
              <w:rPr/>
              <w:t> </w:t>
            </w:r>
          </w:p>
        </w:tc>
      </w:tr>
      <w:tr>
        <w:trPr/>
        <w:tc>
          <w:tcPr>
            <w:tcW w:w="1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marketable </w:t>
              <w:br/>
              <w:t>   securities available-for-sale,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11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52,736,458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577,946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376,043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w:t>
              <w:br/>
              <w:t>   benefit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213" w:type="dxa"/>
            <w:tcBorders/>
            <w:shd w:fill="FFFFFF" w:val="clear"/>
            <w:vAlign w:val="center"/>
          </w:tcPr>
          <w:p>
            <w:pPr>
              <w:pStyle w:val="TableContents"/>
              <w:bidi w:val="0"/>
              <w:spacing w:before="0" w:after="283"/>
              <w:jc w:val="left"/>
              <w:rPr/>
            </w:pPr>
            <w:r>
              <w:rPr/>
              <w:t> </w:t>
            </w:r>
          </w:p>
        </w:tc>
      </w:tr>
      <w:tr>
        <w:trPr/>
        <w:tc>
          <w:tcPr>
            <w:tcW w:w="1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shares of common</w:t>
              <w:br/>
              <w:t>   stock subject to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11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3" w:type="dxa"/>
            <w:tcBorders/>
            <w:shd w:fill="CFF0FC" w:val="clear"/>
            <w:vAlign w:val="center"/>
          </w:tcPr>
          <w:p>
            <w:pPr>
              <w:pStyle w:val="TableContents"/>
              <w:bidi w:val="0"/>
              <w:spacing w:before="0" w:after="283"/>
              <w:jc w:val="left"/>
              <w:rPr/>
            </w:pPr>
            <w:r>
              <w:rPr/>
              <w:t> </w:t>
            </w:r>
          </w:p>
        </w:tc>
      </w:tr>
      <w:tr>
        <w:trPr/>
        <w:tc>
          <w:tcPr>
            <w:tcW w:w="1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w:t>
            </w:r>
          </w:p>
        </w:tc>
        <w:tc>
          <w:tcPr>
            <w:tcW w:w="213" w:type="dxa"/>
            <w:tcBorders/>
            <w:shd w:fill="FFFFFF" w:val="clear"/>
            <w:vAlign w:val="center"/>
          </w:tcPr>
          <w:p>
            <w:pPr>
              <w:pStyle w:val="TableContents"/>
              <w:bidi w:val="0"/>
              <w:spacing w:before="0" w:after="283"/>
              <w:jc w:val="left"/>
              <w:rPr/>
            </w:pPr>
            <w:r>
              <w:rPr/>
              <w:t> </w:t>
            </w:r>
          </w:p>
        </w:tc>
      </w:tr>
      <w:tr>
        <w:trPr/>
        <w:tc>
          <w:tcPr>
            <w:tcW w:w="1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gain on marketable </w:t>
              <w:br/>
              <w:t>   securities available-for-sale,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11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213" w:type="dxa"/>
            <w:tcBorders/>
            <w:shd w:fill="CFF0FC" w:val="clear"/>
            <w:vAlign w:val="center"/>
          </w:tcPr>
          <w:p>
            <w:pPr>
              <w:pStyle w:val="TableContents"/>
              <w:bidi w:val="0"/>
              <w:spacing w:before="0" w:after="283"/>
              <w:jc w:val="left"/>
              <w:rPr/>
            </w:pPr>
            <w:r>
              <w:rPr/>
              <w:t> </w:t>
            </w:r>
          </w:p>
        </w:tc>
      </w:tr>
      <w:tr>
        <w:trPr/>
        <w:tc>
          <w:tcPr>
            <w:tcW w:w="1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52,871,825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362,288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Tyra Biosciences, Inc.</w:t>
      </w:r>
    </w:p>
    <w:p>
      <w:pPr>
        <w:pStyle w:val="TextBody"/>
        <w:bidi w:val="0"/>
        <w:jc w:val="center"/>
        <w:rPr>
          <w:rFonts w:ascii="Times New Roman" w:hAnsi="Times New Roman"/>
          <w:sz w:val="20"/>
        </w:rPr>
      </w:pPr>
      <w:bookmarkStart w:id="6" w:name="statement_cash_flows"/>
      <w:bookmarkEnd w:id="6"/>
      <w:r>
        <w:rPr>
          <w:rFonts w:ascii="Times New Roman" w:hAnsi="Times New Roman"/>
          <w:b/>
          <w:color w:val="000000"/>
          <w:sz w:val="20"/>
        </w:rPr>
        <w:t>Condensed Statements</w:t>
      </w:r>
      <w:r>
        <w:rPr>
          <w:rFonts w:ascii="Times New Roman" w:hAnsi="Times New Roman"/>
          <w:color w:val="000000"/>
          <w:sz w:val="20"/>
        </w:rPr>
        <w:t xml:space="preserve"> </w:t>
      </w:r>
      <w:r>
        <w:rPr>
          <w:rFonts w:ascii="Times New Roman" w:hAnsi="Times New Roman"/>
          <w:b/>
          <w:color w:val="000000"/>
          <w:sz w:val="20"/>
        </w:rPr>
        <w:t>of Cash Flows</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2"/>
        <w:gridCol w:w="146"/>
        <w:gridCol w:w="211"/>
        <w:gridCol w:w="841"/>
        <w:gridCol w:w="166"/>
        <w:gridCol w:w="146"/>
        <w:gridCol w:w="211"/>
        <w:gridCol w:w="781"/>
        <w:gridCol w:w="611"/>
      </w:tblGrid>
      <w:tr>
        <w:trPr/>
        <w:tc>
          <w:tcPr>
            <w:tcW w:w="7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(46,304</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on marketable securities,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70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 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0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Right-of-use assets and lease liabilities,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(105,361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issuances of common stock under benefit plans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611" w:type="dxa"/>
            <w:tcBorders/>
            <w:shd w:fill="FFFFFF" w:val="cle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and pre-funded warrants from Private Placement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issuance costs for common stock and pre-funded warrants from Private Placement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increase (decrease) for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(35,561</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216,652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Reconciliation of cash, cash equivalents and restricted cash to the </w:t>
              <w:br/>
              <w:t>   balance sheet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215,652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216,652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obtained in exchange for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70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Purchases of property and equipment included in accounts payable and 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Vesting of options early exercised subject to repurchase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Tyra Biosciences, Inc.</w:t>
      </w:r>
    </w:p>
    <w:p>
      <w:pPr>
        <w:pStyle w:val="TextBody"/>
        <w:bidi w:val="0"/>
        <w:jc w:val="center"/>
        <w:rPr>
          <w:rFonts w:ascii="Times New Roman" w:hAnsi="Times New Roman"/>
          <w:b/>
          <w:color w:val="000000"/>
          <w:sz w:val="20"/>
        </w:rPr>
      </w:pPr>
      <w:bookmarkStart w:id="7" w:name="notes_consolidated_financial_statements"/>
      <w:bookmarkEnd w:id="7"/>
      <w:r>
        <w:rPr>
          <w:rFonts w:ascii="Times New Roman" w:hAnsi="Times New Roman"/>
          <w:b/>
          <w:color w:val="000000"/>
          <w:sz w:val="20"/>
        </w:rPr>
        <w:t>Notes to the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Organization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Tyra Biosciences, Inc. (the Company) was incorporated in the state of Delaware on August 2, 2018. The Company is a clinical-stage biotechnology company focused on developing next-generation precision medicines that target large opportunities in Fibroblast Growth Factor Receptor (FGFR) biology. The Company’s in-house precision medicine platform, SNÅP, enables rapid and precise drug design through iterative molecular SNÅPshots that help predict genetic alterations most likely to cause acquired resistance to existing therapies. The Company’s initial focus is on applying its accelerated small molecule drug discovery engine to develop therapies in targeted oncology and genetically defined conditions.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in accordance with generally accepted accounting principles in the United States (GAAP) for interim financial information and pursuant to the instructions of the Securities and Exchange Commission (SEC) on Form 10-Q and Rule 10-01 of Regulation S-X. Accordingly, they do not include all of the information and disclosures required by GAAP for complete financial statements. Any reference in these notes to applicable guidance is meant to refer to GAAP as found in the Accounting Standards Codification (ASC) and Accounting Standards Updates (ASU) promulgated by the Financial Accounting Standards Board (FASB). The unaudited condensed financial statements include only normal and recurring adjustments that the Company believes are necessary to fairly state the Company’s financial position and the results of its operations and cash flows. The results for the three and nine months ended September 30, 2024 and 2023 are not necessarily indicative of the results expected for the full fiscal year or any subsequent interim period. The condensed balance sheet at September 30, 2024 has been derived from the financial statements at that date but does not include all disclosures required by GAAP for complete financial statements. Because all of the disclosures required by GAAP for complete financial statements are not included herein, these unaudited condensed financial statements and the notes accompanying them should be read in conjunction with the Company’s Annual Report on Form 10-K for the year ended December 31, 2023. </w:t>
      </w:r>
    </w:p>
    <w:p>
      <w:pPr>
        <w:pStyle w:val="TextBody"/>
        <w:bidi w:val="0"/>
        <w:spacing w:before="240" w:after="283"/>
        <w:jc w:val="left"/>
        <w:rPr>
          <w:rFonts w:ascii="Times New Roman" w:hAnsi="Times New Roman"/>
          <w:sz w:val="20"/>
        </w:rPr>
      </w:pPr>
      <w:r>
        <w:rPr>
          <w:rFonts w:ascii="Times New Roman" w:hAnsi="Times New Roman"/>
          <w:b/>
          <w:color w:val="000000"/>
          <w:sz w:val="20"/>
        </w:rPr>
        <w:t>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and nine months ended September 30, 2024, there have been no changes to the Company's significant accounting policies as described in the Company’s Annual Report on Form 10-K for the year ended December 31, 2023.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cash equivalents and available-for-sale debt securities at fair value. Fair value is defined as an exit price, representing the amount that would be received to sell an asset or paid to transfer a liability in an orderly transaction between market participants. Therefore, fair value is a market-based measurement that is determined based on assumptions that market participants would use in pricing an asset or liability. Fair value is affected by a number of factors, including the type of asset or liability, the characteristics specific to the asset or liability and the state of the marketplace including the existence and transparency of transactions between market participants. As a basis for considering such assumptions, the accounting guidance establishes a three-tier fair value hierarchy, which prioritizes the inputs used in measuring fair value as follows:</w:t>
      </w:r>
    </w:p>
    <w:p>
      <w:pPr>
        <w:pStyle w:val="TextBody"/>
        <w:bidi w:val="0"/>
        <w:spacing w:before="240" w:after="283"/>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—Unadjusted quoted prices in active markets that are accessible at the measurement date for identical, unrestricted assets or liabilities. </w:t>
      </w:r>
    </w:p>
    <w:p>
      <w:pPr>
        <w:pStyle w:val="TextBody"/>
        <w:bidi w:val="0"/>
        <w:spacing w:before="240" w:after="283"/>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—Quoted prices for similar assets and liabilities in active markets, quoted prices in markets that are not active, or inputs which are observable, either directly or indirectly, for substantially the full term of the asset or liability. </w:t>
      </w:r>
    </w:p>
    <w:p>
      <w:pPr>
        <w:pStyle w:val="TextBody"/>
        <w:bidi w:val="0"/>
        <w:spacing w:before="240" w:after="283"/>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—Prices or valuation techniques that require inputs that are both significant to the fair value measurement and unobservable (i.e. supported by little or no market activity).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Money market funds are highly liquid investments and are classified as Level 1. The pricing information for these assets is readily available and can be independently validated as of the measurement date. Available-for sale debt securities are valued using observable inputs from similar assets, or from observable data in markets that are not active. These assets are classified as Level 2.</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Marketable securities consist of debt securities of government-sponsored entities. These securities are classified as available-for 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The amortized cost of available-for-sale securities reflects amortization of premiums and accretion of discounts to maturity. Premiums and discounts on debt securities are amortized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sales of these investments to fund current operations, as necessary.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cash is comprised of cash that is restricted as to its withdrawal or use under the terms of certain contractual agreements. Restricted cash as of both September 30, 2024 and December 31, 2023 was $1.0 million, which consisted of collateral for letters of credit related to the Company’s operating leases.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Pre-funded warrants are considered outstanding for the purposes of computing basic and diluted net loss per share because shares may be issued for little or no additional consideration and are fully vested and exercisable after the original issuance date of the pre-funded warrant. The Company’s potentially dilutive securities include unvested common stock, unvested common stock upon early exercise of stock options, outstanding stock options under the Company’s equity incentive plan, and estimated shares purchasable under the employee stock purchase plan,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w:t>
      </w:r>
    </w:p>
    <w:p>
      <w:pPr>
        <w:pStyle w:val="TextBody"/>
        <w:bidi w:val="0"/>
        <w:spacing w:before="240" w:after="283"/>
        <w:jc w:val="left"/>
        <w:rPr>
          <w:rFonts w:ascii="Times New Roman" w:hAnsi="Times New Roman"/>
          <w:sz w:val="20"/>
        </w:rPr>
      </w:pPr>
      <w:r>
        <w:rPr>
          <w:rFonts w:ascii="Times New Roman" w:hAnsi="Times New Roman"/>
          <w:b/>
          <w:i/>
          <w:color w:val="000000"/>
          <w:sz w:val="20"/>
        </w:rPr>
        <w:t>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5, 2020, the Financial Accounting Standards Board (FASB) issued ASU 2020-06, “Debt - Debt With Conversion and Other Options (Subtopic 470-20) and Derivatives and Hedging - Contracts in Entity’s Own Equity (Subtopic 815-40)”, which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For smaller reporting companies, this ASU is effective for fiscal years beginning after December 15, 2023. The Company adopted this standard effective January 1, 2024, which did not have a material impact on the Company's condensed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Issued Accounting Pronouncements Not Yet Adopted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this guidance on its condensed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2023, the FASB issued ASU 2023-07, Segment Reporting (Topic 280): Improvements to Reportable Segment Disclosures. ASU 2023-07 updates reportable segment disclosure requirements primarily through enhanced disclosures about significant segment expenses. ASU 2023-07 is effective for all entities for fiscal years beginning after December 15, 2023, and for interim periods within fiscal years beginning after December 15, 2024. Early adoption is permitted. The amendments should be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applied retrospectively to all prior periods presented in the financial statements. The Company operates as a single segment and does not expect ASU 2023-07 to have a material impact on its condensed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2. 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show the Company’s cash, cash equivalents, marketable securities and restricted cash measured at fair value as of September 30, 2024 and December 31, 2023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79"/>
        <w:gridCol w:w="211"/>
        <w:gridCol w:w="781"/>
        <w:gridCol w:w="146"/>
        <w:gridCol w:w="538"/>
        <w:gridCol w:w="1994"/>
        <w:gridCol w:w="146"/>
        <w:gridCol w:w="429"/>
        <w:gridCol w:w="1591"/>
        <w:gridCol w:w="146"/>
        <w:gridCol w:w="737"/>
        <w:gridCol w:w="1212"/>
        <w:gridCol w:w="295"/>
      </w:tblGrid>
      <w:tr>
        <w:trPr/>
        <w:tc>
          <w:tcPr>
            <w:tcW w:w="1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979" w:type="dxa"/>
            <w:tcBorders/>
            <w:shd w:fill="FFFFFF" w:val="clear"/>
            <w:vAlign w:val="center"/>
          </w:tcPr>
          <w:p>
            <w:pPr>
              <w:pStyle w:val="TableContents"/>
              <w:bidi w:val="0"/>
              <w:spacing w:before="0" w:after="283"/>
              <w:jc w:val="left"/>
              <w:rPr/>
            </w:pPr>
            <w:r>
              <w:rPr/>
              <w:t> </w:t>
            </w:r>
          </w:p>
        </w:tc>
        <w:tc>
          <w:tcPr>
            <w:tcW w:w="793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9"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02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949" w:type="dxa"/>
            <w:gridSpan w:val="2"/>
            <w:tcBorders/>
            <w:shd w:fill="CFF0FC" w:val="clear"/>
            <w:vAlign w:val="center"/>
          </w:tcPr>
          <w:p>
            <w:pPr>
              <w:pStyle w:val="TableContents"/>
              <w:bidi w:val="0"/>
              <w:spacing w:before="0" w:after="283"/>
              <w:jc w:val="center"/>
              <w:rPr/>
            </w:pPr>
            <w:r>
              <w:rPr/>
              <w:t> </w:t>
            </w:r>
          </w:p>
        </w:tc>
        <w:tc>
          <w:tcPr>
            <w:tcW w:w="295" w:type="dxa"/>
            <w:tcBorders/>
            <w:shd w:fill="CFF0FC" w:val="clear"/>
            <w:vAlign w:val="center"/>
          </w:tcPr>
          <w:p>
            <w:pPr>
              <w:pStyle w:val="TableContents"/>
              <w:bidi w:val="0"/>
              <w:spacing w:before="0" w:after="283"/>
              <w:jc w:val="center"/>
              <w:rPr/>
            </w:pPr>
            <w:r>
              <w:rPr/>
              <w:t> </w:t>
            </w:r>
          </w:p>
        </w:tc>
      </w:tr>
      <w:tr>
        <w:trPr/>
        <w:tc>
          <w:tcPr>
            <w:tcW w:w="197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and money market funds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103,892</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103,892</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FFFFFF" w:val="clear"/>
            <w:vAlign w:val="center"/>
          </w:tcPr>
          <w:p>
            <w:pPr>
              <w:pStyle w:val="TableContents"/>
              <w:bidi w:val="0"/>
              <w:spacing w:before="0" w:after="283"/>
              <w:jc w:val="right"/>
              <w:rPr>
                <w:color w:val="000000"/>
              </w:rPr>
            </w:pPr>
            <w:r>
              <w:rPr>
                <w:color w:val="000000"/>
              </w:rPr>
              <w:t>—</w:t>
            </w:r>
          </w:p>
        </w:tc>
        <w:tc>
          <w:tcPr>
            <w:tcW w:w="295" w:type="dxa"/>
            <w:tcBorders/>
            <w:shd w:fill="FFFFFF" w:val="clear"/>
            <w:vAlign w:val="center"/>
          </w:tcPr>
          <w:p>
            <w:pPr>
              <w:pStyle w:val="TableContents"/>
              <w:bidi w:val="0"/>
              <w:spacing w:before="0" w:after="283"/>
              <w:jc w:val="left"/>
              <w:rPr/>
            </w:pPr>
            <w:r>
              <w:rPr/>
              <w:t> </w:t>
            </w:r>
          </w:p>
        </w:tc>
      </w:tr>
      <w:tr>
        <w:trPr/>
        <w:tc>
          <w:tcPr>
            <w:tcW w:w="19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49" w:type="dxa"/>
            <w:gridSpan w:val="2"/>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right"/>
              <w:rPr/>
            </w:pPr>
            <w:r>
              <w:rPr/>
              <w:t> </w:t>
            </w:r>
          </w:p>
        </w:tc>
      </w:tr>
      <w:tr>
        <w:trPr/>
        <w:tc>
          <w:tcPr>
            <w:tcW w:w="197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1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color w:val="000000"/>
              </w:rPr>
            </w:pPr>
            <w:r>
              <w:rPr>
                <w:color w:val="000000"/>
              </w:rPr>
              <w:t>—</w:t>
            </w:r>
          </w:p>
        </w:tc>
        <w:tc>
          <w:tcPr>
            <w:tcW w:w="295" w:type="dxa"/>
            <w:tcBorders/>
            <w:shd w:fill="FFFFFF" w:val="clear"/>
            <w:vAlign w:val="center"/>
          </w:tcPr>
          <w:p>
            <w:pPr>
              <w:pStyle w:val="TableContents"/>
              <w:bidi w:val="0"/>
              <w:spacing w:before="0" w:after="283"/>
              <w:jc w:val="left"/>
              <w:rPr/>
            </w:pPr>
            <w:r>
              <w:rPr/>
              <w:t> </w:t>
            </w:r>
          </w:p>
        </w:tc>
      </w:tr>
      <w:tr>
        <w:trPr/>
        <w:tc>
          <w:tcPr>
            <w:tcW w:w="19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49" w:type="dxa"/>
            <w:gridSpan w:val="2"/>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right"/>
              <w:rPr/>
            </w:pPr>
            <w:r>
              <w:rPr/>
              <w:t> </w:t>
            </w:r>
          </w:p>
        </w:tc>
      </w:tr>
      <w:tr>
        <w:trPr/>
        <w:tc>
          <w:tcPr>
            <w:tcW w:w="197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securities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118,043</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19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118,043</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color w:val="000000"/>
              </w:rPr>
            </w:pPr>
            <w:r>
              <w:rPr>
                <w:color w:val="000000"/>
              </w:rPr>
              <w:t>—</w:t>
            </w:r>
          </w:p>
        </w:tc>
        <w:tc>
          <w:tcPr>
            <w:tcW w:w="295" w:type="dxa"/>
            <w:tcBorders/>
            <w:shd w:fill="FFFFFF" w:val="clear"/>
            <w:vAlign w:val="center"/>
          </w:tcPr>
          <w:p>
            <w:pPr>
              <w:pStyle w:val="TableContents"/>
              <w:bidi w:val="0"/>
              <w:spacing w:before="0" w:after="283"/>
              <w:jc w:val="left"/>
              <w:rPr/>
            </w:pPr>
            <w:r>
              <w:rPr/>
              <w:t> </w:t>
            </w:r>
          </w:p>
        </w:tc>
      </w:tr>
      <w:tr>
        <w:trPr/>
        <w:tc>
          <w:tcPr>
            <w:tcW w:w="197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7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79"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91"/>
        <w:gridCol w:w="211"/>
        <w:gridCol w:w="781"/>
        <w:gridCol w:w="146"/>
        <w:gridCol w:w="593"/>
        <w:gridCol w:w="1902"/>
        <w:gridCol w:w="146"/>
        <w:gridCol w:w="432"/>
        <w:gridCol w:w="1602"/>
        <w:gridCol w:w="146"/>
        <w:gridCol w:w="741"/>
        <w:gridCol w:w="1219"/>
        <w:gridCol w:w="295"/>
      </w:tblGrid>
      <w:tr>
        <w:trPr/>
        <w:tc>
          <w:tcPr>
            <w:tcW w:w="1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991" w:type="dxa"/>
            <w:tcBorders/>
            <w:shd w:fill="FFFFFF" w:val="clear"/>
            <w:vAlign w:val="center"/>
          </w:tcPr>
          <w:p>
            <w:pPr>
              <w:pStyle w:val="TableContents"/>
              <w:bidi w:val="0"/>
              <w:spacing w:before="0" w:after="283"/>
              <w:jc w:val="left"/>
              <w:rPr/>
            </w:pPr>
            <w:r>
              <w:rPr/>
              <w:t> </w:t>
            </w:r>
          </w:p>
        </w:tc>
        <w:tc>
          <w:tcPr>
            <w:tcW w:w="791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0" w:type="dxa"/>
            <w:gridSpan w:val="2"/>
            <w:tcBorders/>
            <w:shd w:fill="FFFFFF" w:val="clear"/>
            <w:vAlign w:val="center"/>
          </w:tcPr>
          <w:p>
            <w:pPr>
              <w:pStyle w:val="TableContents"/>
              <w:bidi w:val="0"/>
              <w:spacing w:before="0" w:after="283"/>
              <w:jc w:val="center"/>
              <w:rPr/>
            </w:pPr>
            <w:r>
              <w:rPr/>
              <w:t> </w:t>
            </w:r>
          </w:p>
        </w:tc>
        <w:tc>
          <w:tcPr>
            <w:tcW w:w="295" w:type="dxa"/>
            <w:tcBorders/>
            <w:shd w:fill="FFFFFF" w:val="clear"/>
            <w:vAlign w:val="center"/>
          </w:tcPr>
          <w:p>
            <w:pPr>
              <w:pStyle w:val="TableContents"/>
              <w:bidi w:val="0"/>
              <w:spacing w:before="0" w:after="283"/>
              <w:jc w:val="center"/>
              <w:rPr/>
            </w:pPr>
            <w:r>
              <w:rPr/>
              <w:t> </w:t>
            </w:r>
          </w:p>
        </w:tc>
      </w:tr>
      <w:tr>
        <w:trPr/>
        <w:tc>
          <w:tcPr>
            <w:tcW w:w="199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and money market funds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58,006</w:t>
            </w:r>
          </w:p>
        </w:tc>
        <w:tc>
          <w:tcPr>
            <w:tcW w:w="146"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58,006</w:t>
            </w:r>
          </w:p>
        </w:tc>
        <w:tc>
          <w:tcPr>
            <w:tcW w:w="14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vAlign w:val="center"/>
          </w:tcPr>
          <w:p>
            <w:pPr>
              <w:pStyle w:val="TableContents"/>
              <w:bidi w:val="0"/>
              <w:spacing w:before="0" w:after="283"/>
              <w:jc w:val="right"/>
              <w:rPr>
                <w:color w:val="000000"/>
              </w:rPr>
            </w:pPr>
            <w:r>
              <w:rPr>
                <w:color w:val="000000"/>
              </w:rPr>
              <w:t>—</w:t>
            </w:r>
          </w:p>
        </w:tc>
        <w:tc>
          <w:tcPr>
            <w:tcW w:w="295" w:type="dxa"/>
            <w:tcBorders/>
            <w:shd w:fill="CFF0FC" w:val="clear"/>
            <w:vAlign w:val="center"/>
          </w:tcPr>
          <w:p>
            <w:pPr>
              <w:pStyle w:val="TableContents"/>
              <w:bidi w:val="0"/>
              <w:spacing w:before="0" w:after="283"/>
              <w:jc w:val="left"/>
              <w:rPr/>
            </w:pPr>
            <w:r>
              <w:rPr/>
              <w:t> </w:t>
            </w:r>
          </w:p>
        </w:tc>
      </w:tr>
      <w:tr>
        <w:trPr/>
        <w:tc>
          <w:tcPr>
            <w:tcW w:w="1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3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0" w:type="dxa"/>
            <w:gridSpan w:val="2"/>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right"/>
              <w:rPr/>
            </w:pPr>
            <w:r>
              <w:rPr/>
              <w:t> </w:t>
            </w:r>
          </w:p>
        </w:tc>
      </w:tr>
      <w:tr>
        <w:trPr/>
        <w:tc>
          <w:tcPr>
            <w:tcW w:w="199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left"/>
              <w:rPr/>
            </w:pPr>
            <w:r>
              <w:rPr/>
              <w:t> </w:t>
            </w:r>
          </w:p>
        </w:tc>
        <w:tc>
          <w:tcPr>
            <w:tcW w:w="19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pPr>
            <w:r>
              <w:rPr/>
              <w:t> </w:t>
            </w:r>
          </w:p>
        </w:tc>
        <w:tc>
          <w:tcPr>
            <w:tcW w:w="1219" w:type="dxa"/>
            <w:tcBorders/>
            <w:shd w:fill="CFF0FC" w:val="clear"/>
            <w:vAlign w:val="center"/>
          </w:tcPr>
          <w:p>
            <w:pPr>
              <w:pStyle w:val="TableContents"/>
              <w:bidi w:val="0"/>
              <w:spacing w:before="0" w:after="283"/>
              <w:jc w:val="right"/>
              <w:rPr>
                <w:color w:val="000000"/>
              </w:rPr>
            </w:pPr>
            <w:r>
              <w:rPr>
                <w:color w:val="000000"/>
              </w:rPr>
              <w:t>—</w:t>
            </w:r>
          </w:p>
        </w:tc>
        <w:tc>
          <w:tcPr>
            <w:tcW w:w="295" w:type="dxa"/>
            <w:tcBorders/>
            <w:shd w:fill="CFF0FC" w:val="clear"/>
            <w:vAlign w:val="center"/>
          </w:tcPr>
          <w:p>
            <w:pPr>
              <w:pStyle w:val="TableContents"/>
              <w:bidi w:val="0"/>
              <w:spacing w:before="0" w:after="283"/>
              <w:jc w:val="left"/>
              <w:rPr/>
            </w:pPr>
            <w:r>
              <w:rPr/>
              <w:t> </w:t>
            </w:r>
          </w:p>
        </w:tc>
      </w:tr>
      <w:tr>
        <w:trPr/>
        <w:tc>
          <w:tcPr>
            <w:tcW w:w="1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3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0" w:type="dxa"/>
            <w:gridSpan w:val="2"/>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right"/>
              <w:rPr/>
            </w:pPr>
            <w:r>
              <w:rPr/>
              <w:t> </w:t>
            </w:r>
          </w:p>
        </w:tc>
      </w:tr>
      <w:tr>
        <w:trPr/>
        <w:tc>
          <w:tcPr>
            <w:tcW w:w="199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securities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95,599</w:t>
            </w:r>
          </w:p>
        </w:tc>
        <w:tc>
          <w:tcPr>
            <w:tcW w:w="146"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left"/>
              <w:rPr/>
            </w:pPr>
            <w:r>
              <w:rPr/>
              <w:t> </w:t>
            </w:r>
          </w:p>
        </w:tc>
        <w:tc>
          <w:tcPr>
            <w:tcW w:w="19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95,599</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pPr>
            <w:r>
              <w:rPr/>
              <w:t> </w:t>
            </w:r>
          </w:p>
        </w:tc>
        <w:tc>
          <w:tcPr>
            <w:tcW w:w="1219" w:type="dxa"/>
            <w:tcBorders/>
            <w:shd w:fill="CFF0FC" w:val="clear"/>
            <w:vAlign w:val="center"/>
          </w:tcPr>
          <w:p>
            <w:pPr>
              <w:pStyle w:val="TableContents"/>
              <w:bidi w:val="0"/>
              <w:spacing w:before="0" w:after="283"/>
              <w:jc w:val="right"/>
              <w:rPr>
                <w:color w:val="000000"/>
              </w:rPr>
            </w:pPr>
            <w:r>
              <w:rPr>
                <w:color w:val="000000"/>
              </w:rPr>
              <w:t>—</w:t>
            </w:r>
          </w:p>
        </w:tc>
        <w:tc>
          <w:tcPr>
            <w:tcW w:w="295" w:type="dxa"/>
            <w:tcBorders/>
            <w:shd w:fill="CFF0FC" w:val="clear"/>
            <w:vAlign w:val="center"/>
          </w:tcPr>
          <w:p>
            <w:pPr>
              <w:pStyle w:val="TableContents"/>
              <w:bidi w:val="0"/>
              <w:spacing w:before="0" w:after="283"/>
              <w:jc w:val="left"/>
              <w:rPr/>
            </w:pPr>
            <w:r>
              <w:rPr/>
              <w:t> </w:t>
            </w:r>
          </w:p>
        </w:tc>
      </w:tr>
      <w:tr>
        <w:trPr/>
        <w:tc>
          <w:tcPr>
            <w:tcW w:w="199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marketable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91"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amounts of the Company’s prepaid and other current assets, accounts payable, and accrued and other current liabilities, approximate fair value due to their short maturities. None of the Company’s non-financial assets or liabilities are recorded at fair value on a non-recurring basis. There were no transfers between Levels 1, 2 or 3 for any of the periods presented.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the Company's marketable securities (see below and Note 2) accounted for as available-for-sale securities (in thousands, except years):</w:t>
      </w:r>
    </w:p>
    <w:p>
      <w:pPr>
        <w:pStyle w:val="TextBody"/>
        <w:bidi w:val="0"/>
        <w:jc w:val="left"/>
        <w:rPr/>
      </w:pPr>
      <w:r>
        <w:rPr/>
        <w:t> </w:t>
      </w:r>
    </w:p>
    <w:tbl>
      <w:tblPr>
        <w:tblW w:w="9871" w:type="dxa"/>
        <w:jc w:val="left"/>
        <w:tblInd w:w="0" w:type="dxa"/>
        <w:tblLayout w:type="fixed"/>
        <w:tblCellMar>
          <w:top w:w="28" w:type="dxa"/>
          <w:left w:w="28" w:type="dxa"/>
          <w:bottom w:w="28" w:type="dxa"/>
          <w:right w:w="28" w:type="dxa"/>
        </w:tblCellMar>
      </w:tblPr>
      <w:tblGrid>
        <w:gridCol w:w="2911"/>
        <w:gridCol w:w="811"/>
        <w:gridCol w:w="255"/>
        <w:gridCol w:w="945"/>
        <w:gridCol w:w="146"/>
        <w:gridCol w:w="352"/>
        <w:gridCol w:w="953"/>
        <w:gridCol w:w="146"/>
        <w:gridCol w:w="499"/>
        <w:gridCol w:w="821"/>
        <w:gridCol w:w="166"/>
        <w:gridCol w:w="335"/>
        <w:gridCol w:w="1240"/>
        <w:gridCol w:w="291"/>
      </w:tblGrid>
      <w:tr>
        <w:trPr/>
        <w:tc>
          <w:tcPr>
            <w:tcW w:w="29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6669"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center"/>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Maturity </w:t>
              <w:br/>
              <w:t>(in years)</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8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58,846</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59,003</w:t>
            </w:r>
          </w:p>
        </w:tc>
        <w:tc>
          <w:tcPr>
            <w:tcW w:w="2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8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25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101,969</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102,341</w:t>
            </w:r>
          </w:p>
        </w:tc>
        <w:tc>
          <w:tcPr>
            <w:tcW w:w="2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8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25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58,274</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59,040</w:t>
            </w:r>
          </w:p>
        </w:tc>
        <w:tc>
          <w:tcPr>
            <w:tcW w:w="2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8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811" w:type="dxa"/>
            <w:tcBorders/>
            <w:shd w:fill="CFF0FC" w:val="clear"/>
            <w:vAlign w:val="center"/>
          </w:tcPr>
          <w:p>
            <w:pPr>
              <w:pStyle w:val="TableContents"/>
              <w:bidi w:val="0"/>
              <w:spacing w:before="0" w:after="283"/>
              <w:ind w:left="100" w:right="0" w:firstLine="100"/>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256,238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871" w:type="dxa"/>
        <w:jc w:val="left"/>
        <w:tblInd w:w="0" w:type="dxa"/>
        <w:tblLayout w:type="fixed"/>
        <w:tblCellMar>
          <w:top w:w="28" w:type="dxa"/>
          <w:left w:w="28" w:type="dxa"/>
          <w:bottom w:w="28" w:type="dxa"/>
          <w:right w:w="28" w:type="dxa"/>
        </w:tblCellMar>
      </w:tblPr>
      <w:tblGrid>
        <w:gridCol w:w="2911"/>
        <w:gridCol w:w="811"/>
        <w:gridCol w:w="255"/>
        <w:gridCol w:w="945"/>
        <w:gridCol w:w="146"/>
        <w:gridCol w:w="434"/>
        <w:gridCol w:w="871"/>
        <w:gridCol w:w="146"/>
        <w:gridCol w:w="499"/>
        <w:gridCol w:w="821"/>
        <w:gridCol w:w="166"/>
        <w:gridCol w:w="335"/>
        <w:gridCol w:w="1240"/>
        <w:gridCol w:w="291"/>
      </w:tblGrid>
      <w:tr>
        <w:trPr/>
        <w:tc>
          <w:tcPr>
            <w:tcW w:w="29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6669"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center"/>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Maturity </w:t>
              <w:br/>
              <w:t>(in years)</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8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2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76,481</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76,634</w:t>
            </w:r>
          </w:p>
        </w:tc>
        <w:tc>
          <w:tcPr>
            <w:tcW w:w="2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8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25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37,376</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37,411</w:t>
            </w:r>
          </w:p>
        </w:tc>
        <w:tc>
          <w:tcPr>
            <w:tcW w:w="2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8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25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18,846</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18,964</w:t>
            </w:r>
          </w:p>
        </w:tc>
        <w:tc>
          <w:tcPr>
            <w:tcW w:w="2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8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811" w:type="dxa"/>
            <w:tcBorders/>
            <w:shd w:fill="FFFFFF" w:val="clear"/>
            <w:vAlign w:val="center"/>
          </w:tcPr>
          <w:p>
            <w:pPr>
              <w:pStyle w:val="TableContents"/>
              <w:bidi w:val="0"/>
              <w:spacing w:before="0" w:after="283"/>
              <w:ind w:left="100" w:right="0" w:firstLine="100"/>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145,463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fair values and gross unrealized losses for those available-for-sale securities that were in an unrealized loss position, aggregated by category and the length of time that the securities have been in a continuous loss position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9"/>
        <w:gridCol w:w="295"/>
        <w:gridCol w:w="800"/>
        <w:gridCol w:w="204"/>
        <w:gridCol w:w="204"/>
        <w:gridCol w:w="484"/>
        <w:gridCol w:w="624"/>
        <w:gridCol w:w="166"/>
        <w:gridCol w:w="146"/>
        <w:gridCol w:w="326"/>
        <w:gridCol w:w="536"/>
        <w:gridCol w:w="226"/>
        <w:gridCol w:w="226"/>
        <w:gridCol w:w="468"/>
        <w:gridCol w:w="640"/>
        <w:gridCol w:w="146"/>
        <w:gridCol w:w="146"/>
        <w:gridCol w:w="220"/>
        <w:gridCol w:w="598"/>
        <w:gridCol w:w="146"/>
        <w:gridCol w:w="146"/>
        <w:gridCol w:w="484"/>
        <w:gridCol w:w="624"/>
        <w:gridCol w:w="321"/>
      </w:tblGrid>
      <w:tr>
        <w:trPr/>
        <w:tc>
          <w:tcPr>
            <w:tcW w:w="20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029" w:type="dxa"/>
            <w:tcBorders/>
            <w:shd w:fill="FFFFFF" w:val="clear"/>
            <w:vAlign w:val="center"/>
          </w:tcPr>
          <w:p>
            <w:pPr>
              <w:pStyle w:val="TableContents"/>
              <w:bidi w:val="0"/>
              <w:spacing w:before="0" w:after="283"/>
              <w:jc w:val="left"/>
              <w:rPr/>
            </w:pPr>
            <w:r>
              <w:rPr/>
              <w:t> </w:t>
            </w:r>
          </w:p>
        </w:tc>
        <w:tc>
          <w:tcPr>
            <w:tcW w:w="785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9" w:type="dxa"/>
            <w:tcBorders/>
            <w:shd w:fill="FFFFFF" w:val="clear"/>
            <w:vAlign w:val="center"/>
          </w:tcPr>
          <w:p>
            <w:pPr>
              <w:pStyle w:val="TableContents"/>
              <w:bidi w:val="0"/>
              <w:spacing w:before="0" w:after="283"/>
              <w:jc w:val="center"/>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 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 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9"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righ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02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9"/>
        <w:gridCol w:w="295"/>
        <w:gridCol w:w="800"/>
        <w:gridCol w:w="204"/>
        <w:gridCol w:w="204"/>
        <w:gridCol w:w="484"/>
        <w:gridCol w:w="624"/>
        <w:gridCol w:w="166"/>
        <w:gridCol w:w="146"/>
        <w:gridCol w:w="326"/>
        <w:gridCol w:w="536"/>
        <w:gridCol w:w="226"/>
        <w:gridCol w:w="226"/>
        <w:gridCol w:w="468"/>
        <w:gridCol w:w="640"/>
        <w:gridCol w:w="146"/>
        <w:gridCol w:w="146"/>
        <w:gridCol w:w="220"/>
        <w:gridCol w:w="598"/>
        <w:gridCol w:w="146"/>
        <w:gridCol w:w="146"/>
        <w:gridCol w:w="484"/>
        <w:gridCol w:w="624"/>
        <w:gridCol w:w="321"/>
      </w:tblGrid>
      <w:tr>
        <w:trPr/>
        <w:tc>
          <w:tcPr>
            <w:tcW w:w="20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029" w:type="dxa"/>
            <w:tcBorders/>
            <w:shd w:fill="FFFFFF" w:val="clear"/>
            <w:vAlign w:val="center"/>
          </w:tcPr>
          <w:p>
            <w:pPr>
              <w:pStyle w:val="TableContents"/>
              <w:bidi w:val="0"/>
              <w:spacing w:before="0" w:after="283"/>
              <w:jc w:val="left"/>
              <w:rPr/>
            </w:pPr>
            <w:r>
              <w:rPr/>
              <w:t> </w:t>
            </w:r>
          </w:p>
        </w:tc>
        <w:tc>
          <w:tcPr>
            <w:tcW w:w="785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9" w:type="dxa"/>
            <w:tcBorders/>
            <w:shd w:fill="FFFFFF" w:val="clear"/>
            <w:vAlign w:val="center"/>
          </w:tcPr>
          <w:p>
            <w:pPr>
              <w:pStyle w:val="TableContents"/>
              <w:bidi w:val="0"/>
              <w:spacing w:before="0" w:after="283"/>
              <w:jc w:val="center"/>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 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 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9"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9,939</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righ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02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9,939</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there was one available-for-sale security with an estimated fair value of $3.0 million in a gross unrealized loss position for less than 12 months. As of September 30, 2024, unrealized losses on available-for-sale securities are not attributed to credit risk. The Company believes that an allowance for credit losses is unnecessary because the unrealized loss is due to market factors and interest rate fluctuations. Additionally, the Company does not intend to sell the security nor is it more likely than not that the Company will be required to sell the security before recovery of its amortized cost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interest on the Company's available-for-sale securities was $1.9 million as of September 30, 2024 and is included in prepaid and other current assets on the condensed balance sheet.</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consisted of the following (in thousands):</w:t>
      </w:r>
    </w:p>
    <w:p>
      <w:pPr>
        <w:pStyle w:val="TextBody"/>
        <w:bidi w:val="0"/>
        <w:jc w:val="left"/>
        <w:rPr/>
      </w:pPr>
      <w:r>
        <w:rPr/>
        <w:t> </w:t>
      </w:r>
    </w:p>
    <w:tbl>
      <w:tblPr>
        <w:tblW w:w="5800" w:type="dxa"/>
        <w:jc w:val="left"/>
        <w:tblInd w:w="0" w:type="dxa"/>
        <w:tblLayout w:type="fixed"/>
        <w:tblCellMar>
          <w:top w:w="28" w:type="dxa"/>
          <w:left w:w="28" w:type="dxa"/>
          <w:bottom w:w="28" w:type="dxa"/>
          <w:right w:w="28" w:type="dxa"/>
        </w:tblCellMar>
      </w:tblPr>
      <w:tblGrid>
        <w:gridCol w:w="2896"/>
        <w:gridCol w:w="146"/>
        <w:gridCol w:w="285"/>
        <w:gridCol w:w="855"/>
        <w:gridCol w:w="166"/>
        <w:gridCol w:w="146"/>
        <w:gridCol w:w="294"/>
        <w:gridCol w:w="80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1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$0.1 million and $0.4 million in depreciation expense for the three and nine months ended September 30, 2024, respectively, and $0.1 million and $0.3 million in depreciation expense for the three and nine months ended September 30, 2023, respectively.</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5. Accrued and Other Current Liabilities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Accrued and other current liabilities consisted of the following (in thousands): </w:t>
      </w:r>
    </w:p>
    <w:tbl>
      <w:tblPr>
        <w:tblW w:w="6690" w:type="dxa"/>
        <w:jc w:val="left"/>
        <w:tblInd w:w="0" w:type="dxa"/>
        <w:tblLayout w:type="fixed"/>
        <w:tblCellMar>
          <w:top w:w="28" w:type="dxa"/>
          <w:left w:w="28" w:type="dxa"/>
          <w:bottom w:w="28" w:type="dxa"/>
          <w:right w:w="28" w:type="dxa"/>
        </w:tblCellMar>
      </w:tblPr>
      <w:tblGrid>
        <w:gridCol w:w="3826"/>
        <w:gridCol w:w="146"/>
        <w:gridCol w:w="271"/>
        <w:gridCol w:w="869"/>
        <w:gridCol w:w="146"/>
        <w:gridCol w:w="146"/>
        <w:gridCol w:w="260"/>
        <w:gridCol w:w="835"/>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other employee benefits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91" w:type="dxa"/>
            <w:tcBorders/>
            <w:shd w:fill="CFF0FC"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w:t>
            </w:r>
          </w:p>
        </w:tc>
        <w:tc>
          <w:tcPr>
            <w:tcW w:w="191" w:type="dxa"/>
            <w:tcBorders/>
            <w:shd w:fill="FFFFFF" w:val="clear"/>
            <w:vAlign w:val="center"/>
          </w:tcPr>
          <w:p>
            <w:pPr>
              <w:pStyle w:val="TableContents"/>
              <w:bidi w:val="0"/>
              <w:spacing w:before="0" w:after="283"/>
              <w:jc w:val="left"/>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fees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91" w:type="dxa"/>
            <w:tcBorders/>
            <w:shd w:fill="CFF0FC"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general and administrative fees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Common stock reserved for future issuance consisted of the following:</w:t>
      </w:r>
    </w:p>
    <w:p>
      <w:pPr>
        <w:pStyle w:val="TextBody"/>
        <w:bidi w:val="0"/>
        <w:jc w:val="left"/>
        <w:rPr/>
      </w:pPr>
      <w:r>
        <w:rPr/>
        <w:t> </w:t>
      </w:r>
    </w:p>
    <w:tbl>
      <w:tblPr>
        <w:tblW w:w="7239" w:type="dxa"/>
        <w:jc w:val="left"/>
        <w:tblInd w:w="0" w:type="dxa"/>
        <w:tblLayout w:type="fixed"/>
        <w:tblCellMar>
          <w:top w:w="28" w:type="dxa"/>
          <w:left w:w="28" w:type="dxa"/>
          <w:bottom w:w="28" w:type="dxa"/>
          <w:right w:w="28" w:type="dxa"/>
        </w:tblCellMar>
      </w:tblPr>
      <w:tblGrid>
        <w:gridCol w:w="4246"/>
        <w:gridCol w:w="146"/>
        <w:gridCol w:w="146"/>
        <w:gridCol w:w="1036"/>
        <w:gridCol w:w="146"/>
        <w:gridCol w:w="146"/>
        <w:gridCol w:w="146"/>
        <w:gridCol w:w="1036"/>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granted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10,751,083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8,276,442</w:t>
            </w:r>
          </w:p>
        </w:tc>
        <w:tc>
          <w:tcPr>
            <w:tcW w:w="1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the 2021</w:t>
              <w:br/>
              <w:t>   Incentive Award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2,922,806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3,677,313</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Shares available for future issuance under the </w:t>
              <w:br/>
              <w:t>   2021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1,491,195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1,129,399</w:t>
            </w:r>
          </w:p>
        </w:tc>
        <w:tc>
          <w:tcPr>
            <w:tcW w:w="1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issued and outstanding under</w:t>
              <w:br/>
              <w:t>   the 2024 Private Placement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21,252,314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13,083,154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3, 2022, the Company entered into an ATM Sales Agreement (the Sales Agreement) with Virtu Americas LLC (the Agent), under which the Company may, from time to time, sell shares of its common stock having an aggregate offering price of up to $150.0 million in “at the market” offerings through the Agent. Sales of the shares of common stock, if any, will be made at prevailing market prices at the time of sale, or as otherwise agreed with the Agent. The Agent will receive a commission from the Company of up to 3.0% of the gross proceeds of any shares of common stock sold under the Sales Agreement. As of September 30, 2024, no shares of common stock were issued and sold pursuant to the Sales Agreement since inception.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 2024, the Company entered into a securities purchase agreement (the February 2024 SPA) for a private placement of 9,286,023 shares of the Company's common stock at a price of $13.01 per share (the 2024 Private Placement). The February 2024 SPA also included pre-funded warrants (the 2024 Pre-Funded Warrants) to purchase an aggregate of 6,087,230 shares of common stock at a purchase price of $13.009 per pre-funded warrant. Each pre-funded warrant has an exercise price of $0.001 per share of common stock, is immediately exercisable on the date of issuance and will not expire. The 2024 Private Placement closed on February 6, 2024 and the Company received gross proceeds of approximately $200 million, before deducting offering expenses of $0.4 million. On March 19, 2024, the Company filed a registration statement on Form S-3 with the SEC registering the resale of the shares of common stock issued, or underlying the pre-funded warrants issued, in the 2024 Private Placement. There were no exercises of the 2024 Pre-Funded Warrants during the three and nine months ended September 30, 2024. The 2024 Pre-funded Warrants did not meet the characteristics of a liability or a derivative and are classified within stockholders' equity.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Equity Incentive Plans and Stock-Based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Incentive Award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2021, the Company's Board of Directors adopted, and its stockholders approved, the 2021 Incentive Award Plan (the 2021 Plan). Upon the adoption of the 2021 Plan, the Company restricted the grant of future equity awards under the 2020 Equity Incentive Plan (the 2020 Plan).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2021 Plan provides for the grants of stock options and other equity-based awards to employees, non-employee directors, and consultants of the Company. A total of 5,570,000 shares of the Company’s common stock were initially reserved for issuance pursuant to the 2021 Plan, consisting of 4,537,850 shares reserved under the 2021 Plan and 1,032,150 shares of the Company’s common stock that remained available for issuance under the 2020 Plan. The 2021 Plan share reserve increased by the number of shares under the 2020 Plan that were repurchased, forfeited, expired or cancelled after the effective date of the 2021 Plan. In addition, the number of shares of the Company’s common stock available for issuance under the 2021 Plan automatically increases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 On January 1, 2024, the shares available for grant under the 2021 Plan were increased by 2,154,952. As of September 30, 2024, 2,922,806 shares were available for future grant under the 2021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Company’s stock option activity for the period ended September 30, 2024 was as follows (in thousands, except share and per share data and years):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18"/>
        <w:gridCol w:w="146"/>
        <w:gridCol w:w="146"/>
        <w:gridCol w:w="1036"/>
        <w:gridCol w:w="166"/>
        <w:gridCol w:w="146"/>
        <w:gridCol w:w="396"/>
        <w:gridCol w:w="1075"/>
        <w:gridCol w:w="146"/>
        <w:gridCol w:w="146"/>
        <w:gridCol w:w="423"/>
        <w:gridCol w:w="1048"/>
        <w:gridCol w:w="146"/>
        <w:gridCol w:w="146"/>
        <w:gridCol w:w="240"/>
        <w:gridCol w:w="889"/>
        <w:gridCol w:w="192"/>
      </w:tblGrid>
      <w:tr>
        <w:trPr/>
        <w:tc>
          <w:tcPr>
            <w:tcW w:w="3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Remaining</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8,276,442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40,420</w:t>
            </w:r>
          </w:p>
        </w:tc>
        <w:tc>
          <w:tcPr>
            <w:tcW w:w="192" w:type="dxa"/>
            <w:tcBorders/>
            <w:shd w:fill="CFF0FC" w:val="clear"/>
            <w:vAlign w:val="center"/>
          </w:tcPr>
          <w:p>
            <w:pPr>
              <w:pStyle w:val="TableContents"/>
              <w:bidi w:val="0"/>
              <w:spacing w:before="0" w:after="283"/>
              <w:jc w:val="left"/>
              <w:rPr/>
            </w:pPr>
            <w:r>
              <w:rPr/>
              <w:t> </w:t>
            </w:r>
          </w:p>
        </w:tc>
      </w:tr>
      <w:tr>
        <w:trPr/>
        <w:tc>
          <w:tcPr>
            <w:tcW w:w="3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2,926,848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r>
      <w:tr>
        <w:trPr/>
        <w:tc>
          <w:tcPr>
            <w:tcW w:w="37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92" w:type="dxa"/>
            <w:tcBorders/>
            <w:shd w:fill="CFF0FC" w:val="clear"/>
            <w:vAlign w:val="center"/>
          </w:tcPr>
          <w:p>
            <w:pPr>
              <w:pStyle w:val="TableContents"/>
              <w:bidi w:val="0"/>
              <w:spacing w:before="0" w:after="283"/>
              <w:jc w:val="right"/>
              <w:rPr/>
            </w:pPr>
            <w:r>
              <w:rPr/>
              <w:t> </w:t>
            </w:r>
          </w:p>
        </w:tc>
      </w:tr>
      <w:tr>
        <w:trPr/>
        <w:tc>
          <w:tcPr>
            <w:tcW w:w="3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r>
      <w:tr>
        <w:trPr/>
        <w:tc>
          <w:tcPr>
            <w:tcW w:w="37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10,751,083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110,998</w:t>
            </w:r>
          </w:p>
        </w:tc>
        <w:tc>
          <w:tcPr>
            <w:tcW w:w="192" w:type="dxa"/>
            <w:tcBorders/>
            <w:shd w:fill="CFF0FC" w:val="clear"/>
            <w:vAlign w:val="center"/>
          </w:tcPr>
          <w:p>
            <w:pPr>
              <w:pStyle w:val="TableContents"/>
              <w:bidi w:val="0"/>
              <w:spacing w:before="0" w:after="283"/>
              <w:jc w:val="left"/>
              <w:rPr/>
            </w:pPr>
            <w:r>
              <w:rPr/>
              <w:t> </w:t>
            </w:r>
          </w:p>
        </w:tc>
      </w:tr>
      <w:tr>
        <w:trPr/>
        <w:tc>
          <w:tcPr>
            <w:tcW w:w="3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4,510,940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62,669</w:t>
            </w:r>
          </w:p>
        </w:tc>
        <w:tc>
          <w:tcPr>
            <w:tcW w:w="192" w:type="dxa"/>
            <w:tcBorders/>
            <w:shd w:fill="FFFFFF" w:val="clear"/>
            <w:vAlign w:val="center"/>
          </w:tcPr>
          <w:p>
            <w:pPr>
              <w:pStyle w:val="TableContents"/>
              <w:bidi w:val="0"/>
              <w:spacing w:before="0" w:after="283"/>
              <w:jc w:val="left"/>
              <w:rPr/>
            </w:pPr>
            <w:r>
              <w:rPr/>
              <w:t> </w:t>
            </w:r>
          </w:p>
        </w:tc>
      </w:tr>
      <w:tr>
        <w:trPr/>
        <w:tc>
          <w:tcPr>
            <w:tcW w:w="37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10,751,083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110,998</w:t>
            </w:r>
          </w:p>
        </w:tc>
        <w:tc>
          <w:tcPr>
            <w:tcW w:w="192"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estimated the fair value of stock options using the Black-Scholes valuation model. The Company accounts for forfeitures of options when they occur. Previously recognized compensation expense for an award is reversed in the period that the award is forfeited. The fair value of stock options was estimated using the following assumptions: </w:t>
      </w:r>
    </w:p>
    <w:p>
      <w:pPr>
        <w:pStyle w:val="TextBody"/>
        <w:bidi w:val="0"/>
        <w:jc w:val="left"/>
        <w:rPr/>
      </w:pPr>
      <w:r>
        <w:rPr/>
        <w:t> </w:t>
      </w:r>
    </w:p>
    <w:tbl>
      <w:tblPr>
        <w:tblW w:w="5436" w:type="dxa"/>
        <w:jc w:val="left"/>
        <w:tblInd w:w="0" w:type="dxa"/>
        <w:tblLayout w:type="fixed"/>
        <w:tblCellMar>
          <w:top w:w="28" w:type="dxa"/>
          <w:left w:w="28" w:type="dxa"/>
          <w:bottom w:w="28" w:type="dxa"/>
          <w:right w:w="28" w:type="dxa"/>
        </w:tblCellMar>
      </w:tblPr>
      <w:tblGrid>
        <w:gridCol w:w="2626"/>
        <w:gridCol w:w="146"/>
        <w:gridCol w:w="1141"/>
        <w:gridCol w:w="146"/>
        <w:gridCol w:w="1186"/>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 of interest</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3.5 - 4.6%</w:t>
            </w:r>
          </w:p>
        </w:tc>
        <w:tc>
          <w:tcPr>
            <w:tcW w:w="14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3.5 - 4.3%</w:t>
            </w:r>
          </w:p>
        </w:tc>
        <w:tc>
          <w:tcPr>
            <w:tcW w:w="191" w:type="dxa"/>
            <w:tcBorders/>
            <w:shd w:fill="FFFFFF" w:val="cle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5.3 - 6.1</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5.2 - 6.1</w:t>
            </w:r>
          </w:p>
        </w:tc>
        <w:tc>
          <w:tcPr>
            <w:tcW w:w="191" w:type="dxa"/>
            <w:tcBorders/>
            <w:shd w:fill="FFFFFF" w:val="cle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87.8 - 98.7%</w:t>
            </w:r>
          </w:p>
        </w:tc>
        <w:tc>
          <w:tcPr>
            <w:tcW w:w="14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87.0 - 92.3 %</w:t>
            </w:r>
          </w:p>
        </w:tc>
        <w:tc>
          <w:tcPr>
            <w:tcW w:w="191" w:type="dxa"/>
            <w:tcBorders/>
            <w:shd w:fill="FFFFFF" w:val="cle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color w:val="000000"/>
              </w:rPr>
            </w:pPr>
            <w:r>
              <w:rPr>
                <w:color w:val="000000"/>
              </w:rPr>
              <w:t>—</w:t>
            </w:r>
          </w:p>
        </w:tc>
        <w:tc>
          <w:tcPr>
            <w:tcW w:w="191" w:type="dxa"/>
            <w:tcBorders/>
            <w:shd w:fill="FFFFFF" w:val="clear"/>
            <w:vAlign w:val="center"/>
          </w:tcPr>
          <w:p>
            <w:pPr>
              <w:pStyle w:val="TableContents"/>
              <w:bidi w:val="0"/>
              <w:spacing w:before="0" w:after="283"/>
              <w:jc w:val="center"/>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Stock-based compensation expense recognized for all equity awards has been reported in the condensed statements of operations and comprehensive loss as follows (in thousands):</w:t>
      </w:r>
    </w:p>
    <w:p>
      <w:pPr>
        <w:pStyle w:val="TextBody"/>
        <w:bidi w:val="0"/>
        <w:jc w:val="left"/>
        <w:rPr/>
      </w:pPr>
      <w:r>
        <w:rPr/>
        <w:t> </w:t>
      </w:r>
    </w:p>
    <w:tbl>
      <w:tblPr>
        <w:tblW w:w="7462" w:type="dxa"/>
        <w:jc w:val="left"/>
        <w:tblInd w:w="0" w:type="dxa"/>
        <w:tblLayout w:type="fixed"/>
        <w:tblCellMar>
          <w:top w:w="28" w:type="dxa"/>
          <w:left w:w="28" w:type="dxa"/>
          <w:bottom w:w="28" w:type="dxa"/>
          <w:right w:w="28" w:type="dxa"/>
        </w:tblCellMar>
      </w:tblPr>
      <w:tblGrid>
        <w:gridCol w:w="3016"/>
        <w:gridCol w:w="146"/>
        <w:gridCol w:w="211"/>
        <w:gridCol w:w="571"/>
        <w:gridCol w:w="146"/>
        <w:gridCol w:w="146"/>
        <w:gridCol w:w="211"/>
        <w:gridCol w:w="571"/>
        <w:gridCol w:w="146"/>
        <w:gridCol w:w="146"/>
        <w:gridCol w:w="211"/>
        <w:gridCol w:w="676"/>
        <w:gridCol w:w="146"/>
        <w:gridCol w:w="146"/>
        <w:gridCol w:w="211"/>
        <w:gridCol w:w="57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w:t>
            </w:r>
          </w:p>
        </w:tc>
        <w:tc>
          <w:tcPr>
            <w:tcW w:w="19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weighted-average grant date fair value of options granted for the nine months ended September 30, 2024 and 2023 was $15.96 and $10.01 per share,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September 30, 2024, the Company entered into a transition agreement (the Transition Agreement) with its Chief Medical Officer. The Transition Agreement included accelerated vesting of 50% of unvested stock options and extended the exercise period of vested options from three months to two years from the separation date. As a result, the Company recognized an additional stock-based compensation expense of $2.0 million recorded within research and development expenses, including $1.2 million related to accelerated vesting and incremental stock-based compensation of $0.8 million resulting from modified option terms.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nine months ended September 30, 2024 and 2023, forfeitures resulting in the reversal of compensation expenses were immaterial.</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2024, the unrecognized compensation cost related to outstanding employee and nonemployee options was $71.7 million, and is expected to be recognized as expense over a weighted-average period of approximately 2.7 years.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2021, the Company’s Board of Directors and stockholders approved and adopted the 2021 Employee Stock Purchase Plan (ESPP). The ESPP became effective on the business day immediately prior to the effective date of the Company’s first registration statement. A total of 380,000 shares of the Company’s common stock were initially reserved for issuance pursuant to the ESPP. In addition, the number of shares of the Company’s common stock available for issuance under the ESPP will automatically increase on the first day of each fiscal year, beginning with the Company’s 2022 fiscal year, in an amount equal to the lesser of (1) 1% of the outstanding shares of the Company’s common stock on the last day of the immediately preceding fiscal year, or (2) such smaller amount as determined by the Company’s Board of Directors. On January 1, 2024, the number of shares reserved for issuance under the ESPP was increased by 430,990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Each offering period is 24 months, with new offering periods commencing every six months on or about the dates of March 15 and September 15 of each year. During the nine months ended September 30, 2024 and 2023, the Company issued 69,194 and 56,387 shares, respectively, of common stock in connection with the ESPP. As of September 30, 2024, there were 1,491,195 shares available for future purchase under the ESPP.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recognized compensation expense of $0.1 million and $0.1 million for the three months ended September 30, 2024 and 2023, respectively, and $0.2 million and $0.4 million for the nine months ended September 30, 2024 and 2023, respectively, related to the ESPP. As of September 30, 2024, the remaining unrecognized compensation expense related to the ESPP was $0.4 million, and is expected to be recognized as expense over a weighted-average period of approximately 1.7 years.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58,898,277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43,020,965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56,638,732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42,822,677</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52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Less: weighted-average unvested restricted common stock subject to repurchase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Less: weighted-average unvested common stock issued upon early exercise of common stock options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(200,840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to compute 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58,874,497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42,868,340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56,599,050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42,619,075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Included in the weighted-average shares of common stock outstanding, both basic and diluted for the three and nine months ended September 30, 2024 are weighted shares of common stock issuable upon the exercise of the 2024 Pre-Funded Warrants issued under the 2024 Private Placement (described in Note 6). The 2024 Pre-Funded Warrants are exercisable at any time for nominal consideration, and therefore these shares are considered outstanding for the purpose of calculating basic and diluted net loss per share.</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the outstanding potentially dilutive securities that have been excluded from the calculation of diluted net loss per share because their inclusion would be anti-dilutive. </w:t>
      </w:r>
    </w:p>
    <w:p>
      <w:pPr>
        <w:pStyle w:val="TextBody"/>
        <w:bidi w:val="0"/>
        <w:jc w:val="left"/>
        <w:rPr/>
      </w:pPr>
      <w:r>
        <w:rPr/>
        <w:t> </w:t>
      </w:r>
    </w:p>
    <w:tbl>
      <w:tblPr>
        <w:tblW w:w="7974" w:type="dxa"/>
        <w:jc w:val="left"/>
        <w:tblInd w:w="0" w:type="dxa"/>
        <w:tblLayout w:type="fixed"/>
        <w:tblCellMar>
          <w:top w:w="28" w:type="dxa"/>
          <w:left w:w="28" w:type="dxa"/>
          <w:bottom w:w="28" w:type="dxa"/>
          <w:right w:w="28" w:type="dxa"/>
        </w:tblCellMar>
      </w:tblPr>
      <w:tblGrid>
        <w:gridCol w:w="5086"/>
        <w:gridCol w:w="146"/>
        <w:gridCol w:w="146"/>
        <w:gridCol w:w="1036"/>
        <w:gridCol w:w="146"/>
        <w:gridCol w:w="146"/>
        <w:gridCol w:w="146"/>
        <w:gridCol w:w="931"/>
        <w:gridCol w:w="19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 subject to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91" w:type="dxa"/>
            <w:tcBorders/>
            <w:shd w:fill="CFF0FC" w:val="clear"/>
            <w:vAlign w:val="center"/>
          </w:tcPr>
          <w:p>
            <w:pPr>
              <w:pStyle w:val="TableContents"/>
              <w:bidi w:val="0"/>
              <w:spacing w:before="0" w:after="283"/>
              <w:jc w:val="left"/>
              <w:rPr/>
            </w:pPr>
            <w:r>
              <w:rPr/>
              <w:t> </w:t>
            </w:r>
          </w:p>
        </w:tc>
      </w:tr>
      <w:tr>
        <w:trPr/>
        <w:tc>
          <w:tcPr>
            <w:tcW w:w="5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stock upon early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124,644</w:t>
            </w:r>
          </w:p>
        </w:tc>
        <w:tc>
          <w:tcPr>
            <w:tcW w:w="191" w:type="dxa"/>
            <w:tcBorders/>
            <w:shd w:fill="FFFFFF" w:val="clear"/>
            <w:vAlign w:val="center"/>
          </w:tcPr>
          <w:p>
            <w:pPr>
              <w:pStyle w:val="TableContents"/>
              <w:bidi w:val="0"/>
              <w:spacing w:before="0" w:after="283"/>
              <w:jc w:val="left"/>
              <w:rPr/>
            </w:pPr>
            <w:r>
              <w:rPr/>
              <w:t> </w:t>
            </w:r>
          </w:p>
        </w:tc>
      </w:tr>
      <w:tr>
        <w:trPr/>
        <w:tc>
          <w:tcPr>
            <w:tcW w:w="5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10,751,083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8,110,570</w:t>
            </w:r>
          </w:p>
        </w:tc>
        <w:tc>
          <w:tcPr>
            <w:tcW w:w="191" w:type="dxa"/>
            <w:tcBorders/>
            <w:shd w:fill="CFF0FC" w:val="clear"/>
            <w:vAlign w:val="center"/>
          </w:tcPr>
          <w:p>
            <w:pPr>
              <w:pStyle w:val="TableContents"/>
              <w:bidi w:val="0"/>
              <w:spacing w:before="0" w:after="283"/>
              <w:jc w:val="left"/>
              <w:rPr/>
            </w:pPr>
            <w:r>
              <w:rPr/>
              <w:t> </w:t>
            </w:r>
          </w:p>
        </w:tc>
      </w:tr>
      <w:tr>
        <w:trPr/>
        <w:tc>
          <w:tcPr>
            <w:tcW w:w="5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shares purchasable under the ESPP</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10,769,905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8,240,944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9.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operating leases for its office and laboratory space, including its corporate headquarters.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2020, the Company entered into a lease agreement for approximately 4,734 square feet of office and lab space at 2656 State Street in Carlsbad, California, for the Company’s headquarters (the Original Lease). The Original Lease commenced in May 2021 and had an original term of 60 months, with an option to extend for two additional 36-month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2022, the Company entered into a lease agreement for approximately 8,331 square feet of additional office and laboratory space at 2676 State Street in Carlsbad, California (the Expansion Lease). The Expansion Lease commenced for accounting purposes when the Company gained access to the premises in May 2023. The Company's obligation for payment of base rent began on the date the landlord delivered possession of the Expansion Lease premises in November 2023. The landlord completed improvements on the Expansion Lease premises, and the Company paid $0.5 million of these costs prior to the Expansion Lease commencement. The Company has concluded that the landlord is the accounting owner of these improvements, and therefore this payment has been included in the calculation of the right-of-use asset and lease liability. The Company is entitled to certain rent abatement for delays related to the landlord's delivery of the Expansion Lease premises to the Company. The Expansion Lease has a lease term of 120 months, starting on the day the landlord delivered possession of the Expansion Lease premises. The Company has an option to renew the Expansion Lease for two additional 36-month periods. The Original Lease was also amended to have the same lease expiration as the Expansion Lease.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include the renewal periods in determining the lease term, as the Company was not reasonably certain to exercise either the amended Original Lease or the Expansion Lease renewal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Company's lease agreements, the Company paid security deposits of $0.1 million and is required to maintain a letter of credit of $1.0 million. The letter of credit may be reduced to $0.9 million in 2027 and further reduced to $0.5 million in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 was $0.2 million and $0.1 million for the three months ended September 30, 2024 and 2023, respectively, and $0.5 million and $0.8 million for the nine months ended September 30, 2024 and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lease expense include operating, short-term, and variable lease costs. Amortization is recorded within research and development and general and administrative expenses in the condensed statements of operations and comprehensive loss. Components of lease cost for the three and nine months ended September 30, 2024 and 2023, respectively, were as follows (in thousands):</w:t>
      </w:r>
    </w:p>
    <w:p>
      <w:pPr>
        <w:pStyle w:val="TextBody"/>
        <w:bidi w:val="0"/>
        <w:jc w:val="left"/>
        <w:rPr/>
      </w:pPr>
      <w:r>
        <w:rPr/>
        <w:t> </w:t>
      </w:r>
    </w:p>
    <w:tbl>
      <w:tblPr>
        <w:tblW w:w="5588" w:type="dxa"/>
        <w:jc w:val="left"/>
        <w:tblInd w:w="0" w:type="dxa"/>
        <w:tblLayout w:type="fixed"/>
        <w:tblCellMar>
          <w:top w:w="28" w:type="dxa"/>
          <w:left w:w="28" w:type="dxa"/>
          <w:bottom w:w="28" w:type="dxa"/>
          <w:right w:w="28" w:type="dxa"/>
        </w:tblCellMar>
      </w:tblPr>
      <w:tblGrid>
        <w:gridCol w:w="1801"/>
        <w:gridCol w:w="146"/>
        <w:gridCol w:w="217"/>
        <w:gridCol w:w="434"/>
        <w:gridCol w:w="150"/>
        <w:gridCol w:w="150"/>
        <w:gridCol w:w="217"/>
        <w:gridCol w:w="434"/>
        <w:gridCol w:w="146"/>
        <w:gridCol w:w="146"/>
        <w:gridCol w:w="211"/>
        <w:gridCol w:w="421"/>
        <w:gridCol w:w="146"/>
        <w:gridCol w:w="146"/>
        <w:gridCol w:w="211"/>
        <w:gridCol w:w="421"/>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91" w:type="dxa"/>
            <w:tcBorders/>
            <w:shd w:fill="CFF0FC" w:val="clear"/>
            <w:vAlign w:val="center"/>
          </w:tcPr>
          <w:p>
            <w:pPr>
              <w:pStyle w:val="TableContents"/>
              <w:bidi w:val="0"/>
              <w:spacing w:before="0" w:after="283"/>
              <w:jc w:val="left"/>
              <w:rPr/>
            </w:pPr>
            <w:r>
              <w:rPr/>
              <w:t> </w:t>
            </w:r>
          </w:p>
        </w:tc>
      </w:tr>
      <w:tr>
        <w:trPr/>
        <w:tc>
          <w:tcPr>
            <w:tcW w:w="18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shd w:fill="FFFFFF" w:val="clear"/>
            <w:vAlign w:val="center"/>
          </w:tcPr>
          <w:p>
            <w:pPr>
              <w:pStyle w:val="TableContents"/>
              <w:bidi w:val="0"/>
              <w:spacing w:before="0" w:after="283"/>
              <w:jc w:val="left"/>
              <w:rPr/>
            </w:pPr>
            <w:r>
              <w:rPr/>
              <w:t> </w:t>
            </w:r>
          </w:p>
        </w:tc>
      </w:tr>
      <w:tr>
        <w:trPr/>
        <w:tc>
          <w:tcPr>
            <w:tcW w:w="18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Maturities of lease liabilities, weighted-average remaining term and weighted-average discount rate were as follows (in thousands):</w:t>
      </w:r>
    </w:p>
    <w:p>
      <w:pPr>
        <w:pStyle w:val="TextBody"/>
        <w:bidi w:val="0"/>
        <w:jc w:val="left"/>
        <w:rPr/>
      </w:pPr>
      <w:r>
        <w:rPr/>
        <w:t> </w:t>
      </w:r>
    </w:p>
    <w:tbl>
      <w:tblPr>
        <w:tblW w:w="5383" w:type="dxa"/>
        <w:jc w:val="left"/>
        <w:tblInd w:w="0" w:type="dxa"/>
        <w:tblLayout w:type="fixed"/>
        <w:tblCellMar>
          <w:top w:w="28" w:type="dxa"/>
          <w:left w:w="28" w:type="dxa"/>
          <w:bottom w:w="28" w:type="dxa"/>
          <w:right w:w="28" w:type="dxa"/>
        </w:tblCellMar>
      </w:tblPr>
      <w:tblGrid>
        <w:gridCol w:w="3286"/>
        <w:gridCol w:w="146"/>
        <w:gridCol w:w="390"/>
        <w:gridCol w:w="1170"/>
        <w:gridCol w:w="3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vAlign w:val="center"/>
          </w:tcPr>
          <w:p>
            <w:pPr>
              <w:pStyle w:val="TableContents"/>
              <w:bidi w:val="0"/>
              <w:spacing w:before="0" w:after="283"/>
              <w:jc w:val="left"/>
              <w:rPr/>
            </w:pPr>
            <w:r>
              <w:rPr/>
              <w:t> </w:t>
            </w:r>
          </w:p>
        </w:tc>
        <w:tc>
          <w:tcPr>
            <w:tcW w:w="156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2024 (remaining three months)</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left"/>
              <w:rPr/>
            </w:pPr>
            <w:r>
              <w:rPr/>
              <w:t> </w:t>
            </w:r>
          </w:p>
        </w:tc>
        <w:tc>
          <w:tcPr>
            <w:tcW w:w="11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left"/>
              <w:rPr/>
            </w:pPr>
            <w:r>
              <w:rPr/>
              <w:t> </w:t>
            </w:r>
          </w:p>
        </w:tc>
        <w:tc>
          <w:tcPr>
            <w:tcW w:w="11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w:t>
            </w:r>
          </w:p>
        </w:tc>
        <w:tc>
          <w:tcPr>
            <w:tcW w:w="39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CFF0FC" w:val="cle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w:t>
            </w:r>
          </w:p>
        </w:tc>
        <w:tc>
          <w:tcPr>
            <w:tcW w:w="39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lease liabilities</w:t>
            </w:r>
          </w:p>
        </w:tc>
        <w:tc>
          <w:tcPr>
            <w:tcW w:w="146" w:type="dxa"/>
            <w:tcBorders/>
            <w:shd w:fill="CFF0FC" w:val="cle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46" w:type="dxa"/>
            <w:tcBorders/>
            <w:shd w:fill="FFFFFF" w:val="cle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85" w:type="dxa"/>
        <w:jc w:val="left"/>
        <w:tblInd w:w="0" w:type="dxa"/>
        <w:tblLayout w:type="fixed"/>
        <w:tblCellMar>
          <w:top w:w="28" w:type="dxa"/>
          <w:left w:w="28" w:type="dxa"/>
          <w:bottom w:w="28" w:type="dxa"/>
          <w:right w:w="28" w:type="dxa"/>
        </w:tblCellMar>
      </w:tblPr>
      <w:tblGrid>
        <w:gridCol w:w="5371"/>
        <w:gridCol w:w="146"/>
        <w:gridCol w:w="271"/>
        <w:gridCol w:w="869"/>
        <w:gridCol w:w="271"/>
        <w:gridCol w:w="146"/>
        <w:gridCol w:w="261"/>
        <w:gridCol w:w="834"/>
        <w:gridCol w:w="316"/>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vAlign w:val="center"/>
          </w:tcPr>
          <w:p>
            <w:pPr>
              <w:pStyle w:val="TableContents"/>
              <w:bidi w:val="0"/>
              <w:spacing w:before="0" w:after="283"/>
              <w:jc w:val="center"/>
              <w:rPr/>
            </w:pPr>
            <w:r>
              <w:rPr/>
              <w:t> </w:t>
            </w:r>
          </w:p>
        </w:tc>
      </w:tr>
      <w:tr>
        <w:trPr/>
        <w:tc>
          <w:tcPr>
            <w:tcW w:w="5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 - operating leases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16" w:type="dxa"/>
            <w:tcBorders/>
            <w:shd w:fill="CFF0FC" w:val="clear"/>
            <w:vAlign w:val="center"/>
          </w:tcPr>
          <w:p>
            <w:pPr>
              <w:pStyle w:val="TableContents"/>
              <w:bidi w:val="0"/>
              <w:spacing w:before="0" w:after="283"/>
              <w:jc w:val="left"/>
              <w:rPr/>
            </w:pPr>
            <w:r>
              <w:rPr/>
              <w:t> </w:t>
            </w:r>
          </w:p>
        </w:tc>
      </w:tr>
      <w:tr>
        <w:trPr/>
        <w:tc>
          <w:tcPr>
            <w:tcW w:w="5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incremental borrowing rate - operating leases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Funding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the Company had ongoing clinical and pre-clinical studies for its various pipeline programs. The Company enters into contracts in the normal course of business with contract research organizations in preparation for clinical trials, professional consultants for expert advice and other vendors for clinical supply manufacturing or other services. These contracts are generally cancellable, with notice, at the Company's option and do not have significant cancellation penalties.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from time to time, may be party to litigation arising in the ordinary course of business. The Company was not subject to any material legal proceedings as of September 30, 2024, and no material legal proceedings are currently pending or threatened. If the potential loss from any claim, asserted or unasserted, or legal proceeding is considered probable and the amount is reasonably estimable, the Company will accrue a liability for the estimated loss.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Subsequent Events</w:t>
      </w:r>
    </w:p>
    <w:p>
      <w:pPr>
        <w:pStyle w:val="TextBody"/>
        <w:bidi w:val="0"/>
        <w:jc w:val="left"/>
        <w:rPr>
          <w:rFonts w:ascii="Times New Roman" w:hAnsi="Times New Roman"/>
          <w:color w:val="000000"/>
          <w:sz w:val="20"/>
        </w:rPr>
      </w:pPr>
      <w:r>
        <w:rPr>
          <w:rFonts w:ascii="Times New Roman" w:hAnsi="Times New Roman"/>
          <w:color w:val="000000"/>
          <w:sz w:val="20"/>
        </w:rPr>
        <w:t>On October 18, 2024, the Company entered into an exchange agreement with Boxer Capital, LLC and RA Capital Healthcare Fund, L.P. pursuant to which (i) Boxer Capital, LLC agreed to exchange 2,000,000 shares of the Company’s common stock for one or more pre-funded warrants to acquire an aggregate of 2,000,000 shares of common stock and (ii) RA Capital Healthcare Fund, L.P. agreed to exchange 1,000,000 shares of common stock for one or more pre-funded warrants to acquire an aggregate of 1,000,000 shares of common stock. Each pre-funded warrant has an exercise price of $0.001 per share of common stock, is immediately exercisable on the date of issuance and will not expire. No cash was exchanged related to the transaction. The exchange closed on October 22,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Subsequent to September 30, 2024, 705,043 Pre-Funded Warrants issued under the 2024 Private Placement were exercised in a cashless transaction, which resulted in 705,000 shares of common stock being issued to the investor.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8" w:name="i_item2"/>
      <w:bookmarkEnd w:id="8"/>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discussion and analysis and the unaudited interim condensed financial statements included in this Quarterly Report on Form 10-Q should be read in conjunction with the financial statements and notes thereto for the year ended December 31, 2023 and the related Management’s Discussion and Analysis of Financial Condition and Results of Operations, both of which are contained in the Annual Report on Form 10-K for the year ended December 31, 2023 (the 2023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within the meaning of Section 27A of the Securities Act of 1933, as amended,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and phase of development, costs, design and conduct of our ongoing and planned preclinical studies and clinical trials for our product candidates, the potential benefits of regulatory designations, the timing and likelihood of regulatory filings and approvals for our product candidates, the potential to develop product candidates and the safety and therapeutic benefits of our product candidates, our ability to commercialize our product candidates, if approved, the pricing and reimbursement of our product candidates, if approved,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“anticipate,” “believe,” “contemplate,” “continue” “could,” “estimate,” “expect,” “intend,” “may,” “plan,” “potential,” “predict,” “project,” “should,” “target” “will” or “would”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clinical-stage biotechnology company focused on developing next-generation precision medicines that target large opportunities in Fibroblast Growth Factor Receptor (FGFR) biology. Our in-house precision medicine platform, SNÅP, enables rapid and precise drug design through iterative molecular SNÅPshots that help predict genetic alterations most likely to cause acquired resistance to existing therapies. Our initial focus is on applying our accelerated small molecule drug discovery engine to develop therapies in targeted oncology and genetically defined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oncology, the widespread availability of approved targeted treatments, such as kinase inhibitors, has transformed the cancer treatment landscape. Despite the therapeutic benefit that targeted oncology treatments have created for some patients, the response rate and duration of efficacy is often limited by acquired drug resistance, off-target toxicities and other shortcomings of existing therapies. We are using our proprietary SNÅP platform in order to generate novel product candidates that are specifically designed to limit off-target toxicities and address acquired drug resistance to provide next-generation treatment options.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lead product candidate, TYRA-300, is an investigational, oral, FGFR3-selective inhibitor currently being evaluated in an international, multi-center, open label Phase 1 clinical trial, SURF301 (Study in Untreated and Resistant FGFR3+ Advanced Solid Tumors). SURF301 (NCT05544552) was designed to determine the optimal and maximum tolerated doses (MTD) and the recommended Phase 2 dose (RP2D) of TYRA-300, as well as to evaluate the preliminary antitumor activity of TYRA-300. SURF301 is currently enrolling adults with locally advanced or metastatic urothelial carcinoma (mUC) and other advanced solid tumors with FGFR3 gene alterations. We expect that the Phase 1 portion of SURF301 will provide data to inform the dosing schedule of TYRA-300 we intend to evaluate in potential future studies in mUC and non-muscle invasive bladder cancer (NMIBC). The Part A, Phase 1 portion of SURF301 has completed dose escalation without determining an MTD, and the current expansion cohorts in Part B are evaluating potentially therapeutic once daily and twice daily doses in preparation for potential future Phase 2 studies in NMIBC and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mUC. In October 2024, we announced that we plan to submit an Investigational New Drug (IND) application for a Phase 2 study of TYRA-300 in NMIBC by year-end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2024, we also announced interim clinical proof-of-concept data for TYRA-300 in patients with mUC from our ongoing SURF301 Phase 1/2 study. These data were presented at a late-breaking oral presentation at the 36th EORTC-NCI-AACR Symposium on Molecular Targets and Cancer Therapeutics in Barcelona, Spain. As of the August 15, 2024 data cutoff, 41 patients were enrolled in the Phase 1 portion of the SURF301 Phase 1/2 study. Eligible participants were adults with advanced malignancies with or without FGFR3 alterations, including those with prior treatment with Erdafitinib. The enrolled patient population was heavily pre-treated, with 44% of patients receiving ≥ 3 lines of therapy prior to receiving TYRA-300, and 76% of FGFR3+ mUC patients receiving ≥ 3 lines of therapy. Treatment with TYRA-300 was evaluated across six dose levels, ranging from 10 mg-120 mg once daily (QD). Preliminary pharmacokinetics (PK)/pharmacodynamics (PD) analysis in 41 patients as of the data cutoff date was as follows: TYRA-300 plasma concentrations indicate adequate target coverage at ≥90 mg QD, with further pharmacokinetic characterization ongoing.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patients with FGFR3+ mUC who received doses ≥ 90 mg QD, anti-tumor activity was observed in all patients: (i) 6 out of 11 (54.5%) patients at ≥ 90 mg QD achieved a confirmed partial response (PR), 3 of which are still ongoing; (ii) 5 out of 10 (50%) patients at 90 mg QD achieved a PR; (iii) 1 out of 1 (100%) patient at 120 mg QD achieved a PR; and (iv) a 100% disease control rate (DCR) was achieved for all patients at ≥ 90 mg QD (PR + stable disease). TYRA-300 has demonstrated favorable interim safety results as of the data cutoff date: (i) preliminary data from SURF301 suggest TYRA-300 to be generally well-tolerated, with infrequent FGFR2- and FGFR1-associated toxicities; (ii) in doses from 10 mg up to 120 mg QD, there were 4 (10%) serious adverse events related to TYRA-300, 1 dose-limiting toxicity (DLT) of grade (Gr) 3 diarrhea at 90 mg QD, and 1 treatment-related adverse event (TRAE) leading to discontinuation of treatment (Gr3 ALT, 90 mg QD); (iii) there were no ≥ Gr4 TRAEs; and (iv) the 120 mg QD dose was the highest dose evaluated with no DLTs reported.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Beyond oncology, FGFR3 is implicated in many genetically-defined conditions, such as achondroplasia (ACH) and other skeletal dysplasias, due to its role in regulating bone and cartilage formation. In March 2023, we announced we were expanding development of TYRA-300 into ACH based on positive preclinical results demonstrated in a study performed in collaboration with the Imagine Institute in Paris, France. Data from the study showed that TYRA-300 increased body length in mice by 17.9% compared to the vehicle (p&lt;0.0001) and increased the length of the femur (+22.6%), tibia (+33.0%) and L4-L6 (+23.5%) in mice (p&lt;0.0001) (with n=8 for TYRA-300, after excluding two mice from the dataset when molecular analysis showed chimeric incorporation of mutation, and n=10 for vehicle, after excluding one vehicle mouse from the dataset when molecular analysis showed chimeric incorporation of mutation). Achondroplasia, the most common form of dwarfism, is a skeletal dysplasia in which growth plate cartilage is affected, resulting in decreased growth of the long bones, vertebral bodies and skull base. These growth differences can result in health complications such as foramen magnum and spinal stenosis, hydrocephalus, genu varum (bowed legs), and sleep apnea. A specific DNA mutation in FGFR3 causes an estimated 99% of 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2024, we announced that the FDA allowed the Company’s IND application for TYRA-300 to proceed with a Phase 2 clinical trial of TYRA-300 for children with achondroplasia (BEACH301). BEACH301 will be a Phase 2, multicenter, open-label, dose-escalation/dose-expansion study evaluating TYRA-300 in children ages 3 to 10 with achondroplasia with open growth plates. The study will enroll children who are treatment-naïve (Cohort 1) and those who have received prior growth-accelerating therapy (Cohort 2) at multiple sites across the globe. Each of these cohorts is expected to enroll up to 10 participants per dose level (0.125, 0.25, 0.375, 0.50 mg/kg) for up to 12 months. Prior to initiation of Cohorts 1 and 2, the study will enroll a safety sentinel cohort of up to 3 treatment-naïve participants per dose level in children ages 5 to 10. The primary objectives of the study will be to assess safety and tolerability in children with achondroplasia and evaluate change from baseline in annualized growth velocity to determine the dose(s) for further development. Secondary objectives will include evaluating change from baseline in height z-score, proportionality and PK. The Company is also planning exploratory assessments of clinical outcomes such as functional improvements, changes in the spine, and quality of life measures. The Company expects to dose the first child with achondroplasia in the BEACH301 study in the first quarter of 2025. In July 2023 and January 2024, the FDA granted Orphan Drug Designation (ODD) and Rare Pediatric Disease (RPD) Designation to TYRA-300, respectively, for the treatment of ACH.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2024, we announced the expansion of development of TYRA-300 into hypochondroplasia (HCH) based on positive preclinical results. In a preclinical HCH model, TYRA-300 demonstrated increases in long bone length and binding against the HCH altered protein. HCH is a skeletal dysplasia closely related to ACH. HCH is most commonly caused by the N540K mutation (~70-80%) in the FGFR3 gene. The design of TYRA-300 may inhibit the alteration driving FGFR3-related skeletal dysplasias including ACH, HCH and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second oncology product candidate, TYRA-200, is an investigational, oral, FGFR1/2/3 inhibitor with potency against activating FGFR2 gene alterations, as well as clinically important molecular brake and gatekeeper resistance mutations. TYRA-200 is currently being evaluated in a multi-center, open label Phase 1 clinical study, SURF201 (Study in PrevioUsly treated and Resistant FGFR2+ Cholangiocarcinoma and Other Advanced Solid Tumors) (NCT06160752) that is designed to evaluate the safety, tolerability,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PK of TYRA-200 and determine the optimal dose for further development and the MTD and RP2D, as well as evaluate preliminary antitumor activity.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nominated our third candidate for clinical development, TYRA-430, an investigational FGFR4/3 biased inhibitor for FGF19+/FGFR4-driven cancers. In August 2024, we announced that the FDA allowed our IND to proceed with a Phase 1 clinical study of TYRA-430. The Phase 1 study will be a multicenter, open-label, first-in-human study of TYRA-430 in advanced hepatocellular carcinoma (HCC) and other solid tumors with activating FGF/FGFR pathway aberrations (SURF431). We believe TYRA-430 has the potential to address a significant unmet need in HCC, where there are no approved biomarker-driven, targeted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and the issuance of Simple Agreements for Future Equity. Our net losses for the nine months ended September 30, 2024 and 2023 were $60.9 million and $46.3 million, respectively. As of September 30, 2024, we had an accumulated deficit of $225.7 million. As of September 30, 2024, we had cash, cash equivalents, and marketable securities of $360.1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2024, we completed a private placement of 9,286,023 shares of our common stock and pre-funded warrants to purchase an aggregate of 6,087,230 shares of our common stock for gross proceeds of approximately $200 million (the 2024 Private Placement) before deducting offering expenses of $0.4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particularly if and as we conduct preclinical studies and clinical trials, continue our research and development activities, utilize third parties to manufacture our product candidates and related raw materials, hire additional personnel, expand and protect our intellectual property, and incur additional costs associated with being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we believe that our cash, cash equivalents, and marketable securities as of September 30, 2024 will be sufficient to fund our operating expenses and capital expenditures through at least 2026. We have never generated any revenue and do not expect to generate any revenues from product sales unless and until we successfully complete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our research and development expenses consist primarily of external and internal costs related to the development of our SNÅP platform and our product candidates and development programs. Our research and development expenses primarily include: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costs,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incurred in connection with conducting clinical trials, including investigator grants and site payments for time and pass-through expenses and expenses incurred under agreements with contract research organizations (CROs), central laboratories and other vendors and service providers engaged to conduct our trials;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expenses incurred in connection with the discovery and preclinical development of our product candidates, including under agreements with third parties, such as consultants and CROs;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associated with consultants for chemistry, manufacturing and controls (CMC) development, and other services;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of manufacturing compounds for use in our preclinical studies, including under agreements with third parties, such as consultants and third-party manufacturers;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related to compliance with drug development regulatory requirements;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costs,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employee-related expenses, including salaries, related benefits, travel and share-based compensation expenses for employees engaged in research and development functions;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of laboratory supplies and acquiring, developing and manufacturing preclinical study materials;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facilities, depreciation and other expenses, which include allocated expenses for rent and maintenance of facilities, and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 specific basis. However, we do not track internal costs on a program specific basis because these costs primarily relate to compensation, early research and consumable costs, which are deployed across multiple programs under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research and development expenses may vary significantly based on a wide variety of factors such as: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and scope, rate of progress, expense and results of our discovery and preclinical development activities and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sites included in each of our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patients that participate in the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identify appropriate patients eligible for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doses that patients receive;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phase of development of the product candidate;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efficacy and safety profile of the product candidate;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receipt, and terms of any approvals from applicable regulatory authorities including the FDA and non-U.S. regulators;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our product candidates following approval, if any;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 and timing of manufacturing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and changing government regulation and regulatory guidance;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to attract and retain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geopolitical instability, such as the war and other conflicts in Ukraine and the Middle East;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effects on the financial markets, the global economy, the supply chain and our expenses due to pandemic or epidemic diseases, geopolitical instability, inflation, interest rates and other factors;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to which we establish additional strategic collaborations or other arrangements.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of any of our product candidates could significantly change the costs and timing associated with the development of that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expenses, including employee salaries, bonuses, benefits, and stock-based compensation charges, for personnel in executive and administrative functions. Other significant general and administrative expenses include legal fees relating to intellectual property and corporate matters, professional fees for accounting, tax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of additional personnel, audit, legal, regulatory and tax-related services associated with maintaining compliance with exchange listing and the Securities and Exchange Commission (SEC) requirements, director and officer insurance costs, and investor and public relations costs.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2024 and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indicated (in thousands): </w:t>
      </w:r>
    </w:p>
    <w:p>
      <w:pPr>
        <w:pStyle w:val="TextBody"/>
        <w:bidi w:val="0"/>
        <w:jc w:val="left"/>
        <w:rPr/>
      </w:pPr>
      <w:r>
        <w:rPr/>
        <w:t> </w:t>
      </w:r>
    </w:p>
    <w:tbl>
      <w:tblPr>
        <w:tblW w:w="7095" w:type="dxa"/>
        <w:jc w:val="left"/>
        <w:tblInd w:w="0" w:type="dxa"/>
        <w:tblLayout w:type="fixed"/>
        <w:tblCellMar>
          <w:top w:w="28" w:type="dxa"/>
          <w:left w:w="28" w:type="dxa"/>
          <w:bottom w:w="28" w:type="dxa"/>
          <w:right w:w="28" w:type="dxa"/>
        </w:tblCellMar>
      </w:tblPr>
      <w:tblGrid>
        <w:gridCol w:w="2721"/>
        <w:gridCol w:w="146"/>
        <w:gridCol w:w="256"/>
        <w:gridCol w:w="896"/>
        <w:gridCol w:w="202"/>
        <w:gridCol w:w="177"/>
        <w:gridCol w:w="256"/>
        <w:gridCol w:w="896"/>
        <w:gridCol w:w="166"/>
        <w:gridCol w:w="146"/>
        <w:gridCol w:w="211"/>
        <w:gridCol w:w="631"/>
        <w:gridCol w:w="3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22,697</w:t>
            </w:r>
          </w:p>
        </w:tc>
        <w:tc>
          <w:tcPr>
            <w:tcW w:w="20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(28,604</w:t>
            </w:r>
          </w:p>
        </w:tc>
        <w:tc>
          <w:tcPr>
            <w:tcW w:w="2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(24,016</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$22.7 million and $19.3 million for the three months ended September 30, 2024 and 2023, respectively. The overall increase of $3.4 million was primarily due to an increase in stock-based compensation costs of $2.5 million, an increase in personnel costs of $1.3 million, an increase in costs to support our ongoing and planned clinical trials of $1.1 million, and an increase in facilities and other operating costs of $0.5 million. The increase was partially offset by a decrease in drug manufacturing and toxicology studies costs of $1.6 million and a decrease in preclinical expenses of $0.4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by development program for the three months ended September 30, 2024 and 2023 (in thousands): </w:t>
      </w:r>
    </w:p>
    <w:p>
      <w:pPr>
        <w:pStyle w:val="TextBody"/>
        <w:bidi w:val="0"/>
        <w:jc w:val="left"/>
        <w:rPr/>
      </w:pPr>
      <w:r>
        <w:rPr/>
        <w:t> </w:t>
      </w:r>
    </w:p>
    <w:tbl>
      <w:tblPr>
        <w:tblW w:w="7195" w:type="dxa"/>
        <w:jc w:val="left"/>
        <w:tblInd w:w="0" w:type="dxa"/>
        <w:tblLayout w:type="fixed"/>
        <w:tblCellMar>
          <w:top w:w="28" w:type="dxa"/>
          <w:left w:w="28" w:type="dxa"/>
          <w:bottom w:w="28" w:type="dxa"/>
          <w:right w:w="28" w:type="dxa"/>
        </w:tblCellMar>
      </w:tblPr>
      <w:tblGrid>
        <w:gridCol w:w="3976"/>
        <w:gridCol w:w="146"/>
        <w:gridCol w:w="274"/>
        <w:gridCol w:w="878"/>
        <w:gridCol w:w="189"/>
        <w:gridCol w:w="189"/>
        <w:gridCol w:w="274"/>
        <w:gridCol w:w="878"/>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 by</w:t>
              <w:br/>
              <w:t>   program</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TYRA-300 ACH</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TYRA-300 ONC</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TYRA-200</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TYRA-430</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development programs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3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and stock-based compensation</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9,574</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22,697</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$5.9 million and $4.7 million for the three months ended September 30, 2024 and 2023, respectively. The increase of $1.2 million was primarily due to an increase in stock-based compensation costs of $0.7 million, an increase in personnel costs of $0.4 million, and an increase in other operating costs of $0.1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was $4.6 million and $2.8 million for the three months ended September 30, 2024 and 2023, respectively. The increase of $1.8 million was primarily related to the increase in cash, cash equivalents, and marketable securities resulting from proceeds received from the 2024 Private Placement, as well as fluctuations in interest rates.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2024 and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indicated (in thousands): </w:t>
      </w:r>
    </w:p>
    <w:p>
      <w:pPr>
        <w:pStyle w:val="TextBody"/>
        <w:bidi w:val="0"/>
        <w:jc w:val="left"/>
        <w:rPr/>
      </w:pPr>
      <w:r>
        <w:rPr/>
        <w:t> </w:t>
      </w:r>
    </w:p>
    <w:tbl>
      <w:tblPr>
        <w:tblW w:w="7111" w:type="dxa"/>
        <w:jc w:val="left"/>
        <w:tblInd w:w="0" w:type="dxa"/>
        <w:tblLayout w:type="fixed"/>
        <w:tblCellMar>
          <w:top w:w="28" w:type="dxa"/>
          <w:left w:w="28" w:type="dxa"/>
          <w:bottom w:w="28" w:type="dxa"/>
          <w:right w:w="28" w:type="dxa"/>
        </w:tblCellMar>
      </w:tblPr>
      <w:tblGrid>
        <w:gridCol w:w="2721"/>
        <w:gridCol w:w="146"/>
        <w:gridCol w:w="248"/>
        <w:gridCol w:w="866"/>
        <w:gridCol w:w="195"/>
        <w:gridCol w:w="171"/>
        <w:gridCol w:w="248"/>
        <w:gridCol w:w="866"/>
        <w:gridCol w:w="166"/>
        <w:gridCol w:w="146"/>
        <w:gridCol w:w="211"/>
        <w:gridCol w:w="736"/>
        <w:gridCol w:w="3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57,897</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16,536</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74,433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(74,433</w:t>
            </w:r>
          </w:p>
        </w:tc>
        <w:tc>
          <w:tcPr>
            <w:tcW w:w="1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(20,122</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13,523</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(60,910</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$57.9 million and $41.8 million for the nine months ended September 30, 2024 and 2023, respectively. The overall increase of $16.1 million was primarily due to an increase in CRO and drug manufacturing costs to support our ongoing and planned clinical trials of $7.2 million, an increase in stock-based compensation costs of $4.7 million, an increase of personnel costs of $3.7 million, and an increase in facilities and other operating costs of $1.7 million. The increase was partially offset by a decrease in preclinical expenses of $1.2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by development program for the nine months ended September 30, 2024 and 2023 (in thousands): </w:t>
      </w:r>
    </w:p>
    <w:p>
      <w:pPr>
        <w:pStyle w:val="TextBody"/>
        <w:bidi w:val="0"/>
        <w:jc w:val="left"/>
        <w:rPr/>
      </w:pPr>
      <w:r>
        <w:rPr/>
        <w:t> </w:t>
      </w:r>
    </w:p>
    <w:tbl>
      <w:tblPr>
        <w:tblW w:w="7107" w:type="dxa"/>
        <w:jc w:val="left"/>
        <w:tblInd w:w="0" w:type="dxa"/>
        <w:tblLayout w:type="fixed"/>
        <w:tblCellMar>
          <w:top w:w="28" w:type="dxa"/>
          <w:left w:w="28" w:type="dxa"/>
          <w:bottom w:w="28" w:type="dxa"/>
          <w:right w:w="28" w:type="dxa"/>
        </w:tblCellMar>
      </w:tblPr>
      <w:tblGrid>
        <w:gridCol w:w="3976"/>
        <w:gridCol w:w="146"/>
        <w:gridCol w:w="265"/>
        <w:gridCol w:w="849"/>
        <w:gridCol w:w="183"/>
        <w:gridCol w:w="183"/>
        <w:gridCol w:w="265"/>
        <w:gridCol w:w="849"/>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 by</w:t>
              <w:br/>
              <w:t>   program</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TYRA-300 ACH</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TYRA-300 ONC</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11,408</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TYRA-200</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TYRA-430</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development programs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7,399</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6,019</w:t>
            </w:r>
          </w:p>
        </w:tc>
        <w:tc>
          <w:tcPr>
            <w:tcW w:w="3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and stock-based compensation</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57,897</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$16.5 million and $12.5 million for the nine months ended September 30, 2024 and 2023, respectively. The increase of $4.0 million was primarily due to an increase in stock-based compensation costs of $2.0 million, an increase in professional service costs of $0.9 million, an increase in personnel costs of $0.9 million, and an increase in other operating costs of $0.2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was $13.5 million and $8.0 million for the nine months ended September 30, 2024 and 2023, respectively. The increase of $5.5 million was primarily related to the increase in cash, cash equivalents, and marketable securities resulting from proceeds received from the 2024 Private Placement, as well as fluctuations in interest rates.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17, 2021, we completed our IPO and issued 12,420,000 shares of common stock for net proceeds of approximately $181.2 million. Prior to our IPO, we funded our operations primarily through private placements of our convertible preferred stock with net proceeds of $157.2 million excluding issuance costs of $0.4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6, 2024, we completed the 2024 Private Placement for gross proceeds of approximately $200 million, before deducting offering expenses of $0.4 million. On March 19, 2024, we filed a registration statement on Form S-3 registering the resale of the shares of common stock and shares of common stock issuable upon the exercise of pre-funded warrants issued in the private placement, which registration statement was declared effective by the SEC on April 22,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uses of cash to date have been to fund our research and development activities, including with respect to TYRA-300, TYRA-300 ACH, TYRA430 and TYRA-200 and other research programs, business planning, establishing and maintaining our intellectual property portfolio, hiring personnel, raising capital, and providing general and administrative support for these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3, 2022, we entered into an ATM Sales Agreement (the Sales Agreement) with Virtu Americas LLC (the Agent), under which we may, from time to time, sell shares of our common stock having an aggregate offering price of up to $150.0 million in “at the market” offerings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not obligated to sell, and the Agent is not obligated to buy or sell, any shares of common stock under the Sales Agreement. No assurance can be given that we will sell any shares of common stock under the Sales Agreement, or, if we do, as to the price or amount of shares of common stock that we may sell or the dates when such sales will take place. As of September 30, 2024, we have not sold any shares under the Sales Agreement.</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a summary of our cash flows for the periods indicated (in thousands): </w:t>
      </w:r>
    </w:p>
    <w:p>
      <w:pPr>
        <w:pStyle w:val="TextBody"/>
        <w:bidi w:val="0"/>
        <w:jc w:val="left"/>
        <w:rPr/>
      </w:pPr>
      <w:r>
        <w:rPr/>
        <w:t> </w:t>
      </w:r>
    </w:p>
    <w:tbl>
      <w:tblPr>
        <w:tblW w:w="6462" w:type="dxa"/>
        <w:jc w:val="left"/>
        <w:tblInd w:w="0" w:type="dxa"/>
        <w:tblLayout w:type="fixed"/>
        <w:tblCellMar>
          <w:top w:w="28" w:type="dxa"/>
          <w:left w:w="28" w:type="dxa"/>
          <w:bottom w:w="28" w:type="dxa"/>
          <w:right w:w="28" w:type="dxa"/>
        </w:tblCellMar>
      </w:tblPr>
      <w:tblGrid>
        <w:gridCol w:w="3511"/>
        <w:gridCol w:w="146"/>
        <w:gridCol w:w="237"/>
        <w:gridCol w:w="944"/>
        <w:gridCol w:w="186"/>
        <w:gridCol w:w="164"/>
        <w:gridCol w:w="237"/>
        <w:gridCol w:w="826"/>
        <w:gridCol w:w="21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(50,184</w:t>
            </w:r>
          </w:p>
        </w:tc>
        <w:tc>
          <w:tcPr>
            <w:tcW w:w="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(105,361</w:t>
            </w:r>
          </w:p>
        </w:tc>
        <w:tc>
          <w:tcPr>
            <w:tcW w:w="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201,431</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increase (decrease) for the period</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45,886</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for the nine months ended September 30, 2024 was $50.2 million, consisting primarily of our net loss of $60.9 million and $1.1 million for net changes in operating assets and liabilities, adjusted for $11.8 million of non-cash charges primarily related to stock-based compensation expense and accretion on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for the nine months ended September 30, 2023 was $36.6 million, consisting primarily of our net loss of $46.3 million, adjusted for $9.6 million of non-cash charges primarily related to stock-based compensation expense and $0.1 million for net changes in operating assets and liabilities.</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investing activities for the nine months ended September 30, 2024 was $105.4 million, consisting of purchases of marketable securities available-for-sale of $225.6 million and purchases of property and equipment of $0.7 million, offset by $120.9 million related to sales and maturities of marketable securities available-for-sale.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investing activities for the nine months ended September 30, 2023 was $0.2 million, consisting of purchases of property and equipment.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for the nine months ended September 30, 2024 was $201.4 million, consisting primarily of proceeds from the issuance of common stock and pre-funded warrants from the 2024 Private Placement of $200 million, offset by issuance costs of $0.4 million and proceeds from issuances of common stock under benefit plans of $1.9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for the nine months ended September 30, 2023 was $1.2 million, related to proceeds from issuances of common stock under benefit plans.</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operating plan, we believe that our existing cash, cash equivalents, and marketable securities as of September 30, 2024 will be sufficient to meet our anticipated operating expenses and capital expenditures through at least 2026.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manufacturing for current or future product candidates, including commercial scale manufacturing if any product candidate is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current or future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of obtaining, maintaining and enforcing our patents and other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associated with hiring additional personnel and consultants as our business grows, including additional executive officers and clinical development personnel, as well as retaining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current or future product candidate is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associated with any products or technologies that we may in-license or acquire;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or issues with any of the above, including that the risk of each may be exacerbated by any future pandemics or epidemic diseases, potential geopolitical instability and war, inflation or rising interest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material changes outside the ordinary course of our business during the nine months ended September 30, 2024 to the information regarding our contractual obligations that was disclosed in “Management’s Discussion and Analysis of Financial Condition and Results of Operations” included in the 2023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total future aggregate operating lease commitments were $8.9 million, with approximately $0.2 million due during 2024, and the remaining due in periods from 2025 through 2033.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during the three and nine months ended September 30, 2024, as compared to the critical accounting policies and estimates disclosed in “Management’s Discussion and Analysis of Financial Condition and Results of Operations” included in the 2023 Annual Report.</w:t>
      </w:r>
    </w:p>
    <w:p>
      <w:pPr>
        <w:pStyle w:val="TextBody"/>
        <w:bidi w:val="0"/>
        <w:spacing w:before="240" w:after="283"/>
        <w:jc w:val="left"/>
        <w:rPr>
          <w:rFonts w:ascii="Times New Roman" w:hAnsi="Times New Roman"/>
          <w:sz w:val="20"/>
        </w:rPr>
      </w:pPr>
      <w:r>
        <w:rPr>
          <w:rFonts w:ascii="Times New Roman" w:hAnsi="Times New Roman"/>
          <w:b/>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 Note 1 to our condensed financial statements included elsewhere in this Quarterly Report on Form 10-Q for recently issued accounting pronouncements that may potentially impact our financial position and results of operations. </w:t>
      </w:r>
    </w:p>
    <w:p>
      <w:pPr>
        <w:pStyle w:val="TextBody"/>
        <w:bidi w:val="0"/>
        <w:spacing w:before="240" w:after="283"/>
        <w:jc w:val="left"/>
        <w:rPr>
          <w:rFonts w:ascii="Times New Roman" w:hAnsi="Times New Roman"/>
          <w:b/>
          <w:color w:val="000000"/>
          <w:sz w:val="20"/>
        </w:rPr>
      </w:pPr>
      <w:bookmarkStart w:id="9" w:name="i_item3"/>
      <w:bookmarkEnd w:id="9"/>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2023 Annual Report.</w:t>
      </w:r>
    </w:p>
    <w:p>
      <w:pPr>
        <w:pStyle w:val="TextBody"/>
        <w:bidi w:val="0"/>
        <w:spacing w:before="240" w:after="283"/>
        <w:jc w:val="left"/>
        <w:rPr>
          <w:rFonts w:ascii="Times New Roman" w:hAnsi="Times New Roman"/>
          <w:b/>
          <w:color w:val="000000"/>
          <w:sz w:val="20"/>
        </w:rPr>
      </w:pPr>
      <w:bookmarkStart w:id="10" w:name="i_item4"/>
      <w:bookmarkEnd w:id="10"/>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(our principal executive officer and principal financial and accounting officer, respectively),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As required by SEC Rule 13a-15(b), we carried out an evaluation of our disclosure controls and procedures as of the end of the quarter covered by this report. Based on such evaluation, our chief executive officer and our chief financial officer concluded that, as of such date, our disclosure controls and procedures were effective at the reasonable assurance level.</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September 30, 2024 that have materially affected, or are reasonably likely to materially affect, our internal control over financial reporting.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part_ii_other_information"/>
      <w:bookmarkEnd w:id="11"/>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2" w:name="ii_item1"/>
      <w:bookmarkEnd w:id="12"/>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 </w:t>
      </w:r>
    </w:p>
    <w:p>
      <w:pPr>
        <w:pStyle w:val="TextBody"/>
        <w:bidi w:val="0"/>
        <w:spacing w:before="240" w:after="283"/>
        <w:jc w:val="left"/>
        <w:rPr>
          <w:rFonts w:ascii="Times New Roman" w:hAnsi="Times New Roman"/>
          <w:b/>
          <w:color w:val="000000"/>
          <w:sz w:val="20"/>
        </w:rPr>
      </w:pPr>
      <w:bookmarkStart w:id="13" w:name="ii_item1a"/>
      <w:bookmarkEnd w:id="13"/>
      <w:r>
        <w:rPr>
          <w:rFonts w:ascii="Times New Roman" w:hAnsi="Times New Roman"/>
          <w:b/>
          <w:color w:val="000000"/>
          <w:sz w:val="20"/>
        </w:rPr>
        <w:t>Item 1A.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no material changes to the risk factors disclosed in Item 1A of our 2023 Annual Report. </w:t>
      </w:r>
    </w:p>
    <w:p>
      <w:pPr>
        <w:pStyle w:val="TextBody"/>
        <w:bidi w:val="0"/>
        <w:spacing w:before="240" w:after="283"/>
        <w:jc w:val="left"/>
        <w:rPr>
          <w:rFonts w:ascii="Times New Roman" w:hAnsi="Times New Roman"/>
          <w:b/>
          <w:color w:val="000000"/>
          <w:sz w:val="20"/>
        </w:rPr>
      </w:pPr>
      <w:bookmarkStart w:id="14" w:name="ii_item2"/>
      <w:bookmarkEnd w:id="14"/>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 from Initial Public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14, 2021, our registration statement on Form S-1 (File No. 333-258970) was declared effective by the SEC for our IPO. At the closing of the offering on September 17, 2021, we sold 12,420,000 shares of common stock, which included the exercise in full by the underwriters of their option to purchase 1,620,000 additional shares, at an initial public offering price of $16.00 per share and received gross proceeds of $198.7 million, which resulted in net proceeds to us of approximately $181.2 million, after deducting underwriting discounts and commissions of approximately $13.9 million and offering-related transaction costs of approximately $3.6 million. None of the expenses associated with the IPO were paid to directors, officers, persons owning 10% or more of any class of equity securities, or to their associates, or to our affiliates. BofA Securities, Inc., Jefferies LLC, and Cowen and Company, LLC acted as joint book-running managers for the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we estimate that we have used approximately $163.2 million of the proceeds from our IPO for general corporate purposes, including to fund the development of TYRA-300, TYRA-200 and our other development programs. There has been no material change in the planned use of proceeds from that described in the final prospectus filed with the SEC pursuant to Rule 424(b)(4) under the Securities Act on September 15, 2021.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5" w:name="ii_item3"/>
      <w:bookmarkEnd w:id="15"/>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6" w:name="ii_item4"/>
      <w:bookmarkEnd w:id="16"/>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7" w:name="ii_item5"/>
      <w:bookmarkEnd w:id="17"/>
      <w:r>
        <w:rPr>
          <w:rFonts w:ascii="Times New Roman" w:hAnsi="Times New Roman"/>
          <w:b/>
          <w:color w:val="000000"/>
          <w:sz w:val="20"/>
        </w:rPr>
        <w:t>Item 5. Other Information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our officers (as defined in Rule 16a-1(f) of the Exchange Act) and directors may enter into Rule 10b5-1 or non-Rule 10b5-1 trading arrangements (as each such term is defined in Item 408 of Regulation S-K). During the three months ended September 30, 2024, none of our officers or directors adopted, modified or terminated any such trading arrangements.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8" w:name="ii_item6"/>
      <w:bookmarkEnd w:id="18"/>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3"/>
        <w:gridCol w:w="146"/>
        <w:gridCol w:w="5378"/>
        <w:gridCol w:w="146"/>
        <w:gridCol w:w="586"/>
        <w:gridCol w:w="146"/>
        <w:gridCol w:w="609"/>
        <w:gridCol w:w="146"/>
        <w:gridCol w:w="796"/>
        <w:gridCol w:w="146"/>
        <w:gridCol w:w="1083"/>
      </w:tblGrid>
      <w:tr>
        <w:trPr/>
        <w:tc>
          <w:tcPr>
            <w:tcW w:w="1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102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7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Filed Herewith</w:t>
            </w:r>
          </w:p>
        </w:tc>
      </w:tr>
      <w:tr>
        <w:trPr/>
        <w:tc>
          <w:tcPr>
            <w:tcW w:w="10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of Amended and Restated Certificate of Incorporation, dated May 29,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effective as of October 26,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stock certificate evidencing the shares of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Investors’ Rights Agreement, dated March 5, 2021, by and among the Registrant and certain of its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Exchange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10_1.htm">
              <w:r>
                <w:rPr>
                  <w:rStyle w:val="InternetLink"/>
                  <w:rFonts w:ascii="Times New Roman" w:hAnsi="Times New Roman"/>
                  <w:color w:val="0000FF"/>
                  <w:sz w:val="20"/>
                  <w:u w:val="single"/>
                </w:rPr>
                <w:t>Transition Agreement, dated August 3, 2024, between the Registrant and Hiroomi Tada, M.D., Ph.D.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10_2.htm">
              <w:r>
                <w:rPr>
                  <w:rStyle w:val="InternetLink"/>
                  <w:rFonts w:ascii="Times New Roman" w:hAnsi="Times New Roman"/>
                  <w:color w:val="0000FF"/>
                  <w:sz w:val="20"/>
                  <w:u w:val="single"/>
                </w:rPr>
                <w:t>Employment Agreement, dated September 9, 2024, between the Registrant and Douglas Warner, M.D.</w:t>
              </w:r>
            </w:hyperlink>
            <w:hyperlink w:anchor="tyra-ex10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1_1.htm">
              <w:r>
                <w:rPr>
                  <w:rStyle w:val="InternetLink"/>
                  <w:rFonts w:ascii="Times New Roman" w:hAnsi="Times New Roman"/>
                  <w:color w:val="0000FF"/>
                  <w:sz w:val="20"/>
                  <w:u w:val="single"/>
                </w:rPr>
                <w:t>Certification of Chief Executive Officer, as required by Rule 13a-14(a) or Rule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1_2.htm">
              <w:r>
                <w:rPr>
                  <w:rStyle w:val="InternetLink"/>
                  <w:rFonts w:ascii="Times New Roman" w:hAnsi="Times New Roman"/>
                  <w:color w:val="0000FF"/>
                  <w:sz w:val="20"/>
                  <w:u w:val="single"/>
                </w:rPr>
                <w:t>Certification of Chief Financial Officer, as required by Rule 13a-14(a) or Rule 15d-14(a), as adopted pursuant to Section 302 of the Sarbanes-Oxley Act of 2002</w:t>
              </w:r>
            </w:hyperlink>
            <w:hyperlink w:anchor="tyra-ex31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2_1.htm">
              <w:r>
                <w:rPr>
                  <w:rStyle w:val="InternetLink"/>
                  <w:rFonts w:ascii="Times New Roman" w:hAnsi="Times New Roman"/>
                  <w:color w:val="0000FF"/>
                  <w:sz w:val="20"/>
                  <w:u w:val="single"/>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2_2.htm">
              <w:r>
                <w:rPr>
                  <w:rStyle w:val="InternetLink"/>
                  <w:rFonts w:ascii="Times New Roman" w:hAnsi="Times New Roman"/>
                  <w:color w:val="0000FF"/>
                  <w:sz w:val="20"/>
                  <w:u w:val="single"/>
                </w:rPr>
                <w:t>Certification of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This certification is deemed not filed for purpose of Section 18 of the Exchange Act or otherwise subject to the liability of that section, nor shall it be deemed incorporated by reference into any filing under the Securities Act or the Exchange Act. </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 Certain schedules and annexes have been omitted in accordance with Item 601(a)(5) of Regulation S-K. A copy of any omitted schedule and/or annex will be furnished as a supplement to the U.S. Securities and Exchange Commission upon request.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839" w:type="dxa"/>
        <w:jc w:val="left"/>
        <w:tblInd w:w="0" w:type="dxa"/>
        <w:tblLayout w:type="fixed"/>
        <w:tblCellMar>
          <w:top w:w="28" w:type="dxa"/>
          <w:left w:w="28" w:type="dxa"/>
          <w:bottom w:w="28" w:type="dxa"/>
          <w:right w:w="28" w:type="dxa"/>
        </w:tblCellMar>
      </w:tblPr>
      <w:tblGrid>
        <w:gridCol w:w="2101"/>
        <w:gridCol w:w="146"/>
        <w:gridCol w:w="406"/>
        <w:gridCol w:w="418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92" w:type="dxa"/>
            <w:gridSpan w:val="2"/>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TYRA BIOSCIENCES, INC.</w:t>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Harris, Ph.D.</w:t>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Harris, Ph.D.</w:t>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Director</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center"/>
              <w:rPr>
                <w:color w:val="000000"/>
              </w:rPr>
            </w:pPr>
            <w:r>
              <w:rPr>
                <w:color w:val="000000"/>
              </w:rPr>
              <w:t> </w:t>
            </w:r>
            <w:r>
              <w:rPr>
                <w:rFonts w:ascii="Times New Roman" w:hAnsi="Times New Roman"/>
                <w:b/>
                <w:color w:val="000000"/>
                <w:sz w:val="20"/>
              </w:rPr>
              <w:t>(Principal Executive Officer)</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Fuhrman</w:t>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Fuhrman</w:t>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 w:name="tyra-ex10_1.htm"/>
      <w:bookmarkStart w:id="21" w:name="kstyraex10_1"/>
      <w:bookmarkEnd w:id="20"/>
      <w:bookmarkEnd w:id="21"/>
      <w:r>
        <w:rPr>
          <w:rFonts w:ascii="Times New Roman" w:hAnsi="Times New Roman"/>
          <w:b/>
          <w:color w:val="000000"/>
          <w:sz w:val="20"/>
        </w:rPr>
        <w:t>Exhibit 10.1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TYRA BIOSCIENCES, INC.</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TRANSITION AGREEMENT</w:t>
      </w:r>
    </w:p>
    <w:p>
      <w:pPr>
        <w:pStyle w:val="TextBody"/>
        <w:bidi w:val="0"/>
        <w:spacing w:before="240" w:after="283"/>
        <w:jc w:val="left"/>
        <w:rPr>
          <w:rFonts w:ascii="Times New Roman" w:hAnsi="Times New Roman"/>
          <w:sz w:val="20"/>
        </w:rPr>
      </w:pPr>
      <w:r>
        <w:rPr>
          <w:rFonts w:ascii="Times New Roman" w:hAnsi="Times New Roman"/>
          <w:color w:val="000000"/>
          <w:sz w:val="20"/>
        </w:rPr>
        <w:t>This Transition Agreement (the “</w:t>
      </w:r>
      <w:r>
        <w:rPr>
          <w:rFonts w:ascii="Times New Roman" w:hAnsi="Times New Roman"/>
          <w:color w:val="000000"/>
          <w:sz w:val="20"/>
          <w:u w:val="single"/>
        </w:rPr>
        <w:t>Agreement</w:t>
      </w:r>
      <w:r>
        <w:rPr>
          <w:rFonts w:ascii="Times New Roman" w:hAnsi="Times New Roman"/>
          <w:color w:val="000000"/>
          <w:sz w:val="20"/>
        </w:rPr>
        <w:t>”) is entered into effective as of August 3, 2024 (the “</w:t>
      </w:r>
      <w:r>
        <w:rPr>
          <w:rFonts w:ascii="Times New Roman" w:hAnsi="Times New Roman"/>
          <w:color w:val="000000"/>
          <w:sz w:val="20"/>
          <w:u w:val="single"/>
        </w:rPr>
        <w:t>Effective Date</w:t>
      </w:r>
      <w:r>
        <w:rPr>
          <w:rFonts w:ascii="Times New Roman" w:hAnsi="Times New Roman"/>
          <w:color w:val="000000"/>
          <w:sz w:val="20"/>
        </w:rPr>
        <w:t>”), by and between Tyra Biosciences, Inc., a Delaware corporation (the “</w:t>
      </w:r>
      <w:r>
        <w:rPr>
          <w:rFonts w:ascii="Times New Roman" w:hAnsi="Times New Roman"/>
          <w:color w:val="000000"/>
          <w:sz w:val="20"/>
          <w:u w:val="single"/>
        </w:rPr>
        <w:t>Company</w:t>
      </w:r>
      <w:r>
        <w:rPr>
          <w:rFonts w:ascii="Times New Roman" w:hAnsi="Times New Roman"/>
          <w:color w:val="000000"/>
          <w:sz w:val="20"/>
        </w:rPr>
        <w:t>”) and Hiroomi Tada, M.D., Ph.D. (“</w:t>
      </w:r>
      <w:r>
        <w:rPr>
          <w:rFonts w:ascii="Times New Roman" w:hAnsi="Times New Roman"/>
          <w:color w:val="000000"/>
          <w:sz w:val="20"/>
          <w:u w:val="single"/>
        </w:rPr>
        <w:t>Executive</w:t>
      </w:r>
      <w:r>
        <w:rPr>
          <w:rFonts w:ascii="Times New Roman" w:hAnsi="Times New Roman"/>
          <w:color w:val="000000"/>
          <w:sz w:val="20"/>
        </w:rPr>
        <w:t>” and, together with the Company, the “</w:t>
      </w:r>
      <w:r>
        <w:rPr>
          <w:rFonts w:ascii="Times New Roman" w:hAnsi="Times New Roman"/>
          <w:color w:val="000000"/>
          <w:sz w:val="20"/>
          <w:u w:val="single"/>
        </w:rPr>
        <w:t>Parties</w:t>
      </w:r>
      <w:r>
        <w:rPr>
          <w:rFonts w:ascii="Times New Roman" w:hAnsi="Times New Roman"/>
          <w:color w:val="000000"/>
          <w:sz w:val="20"/>
        </w:rPr>
        <w:t xml:space="preserve">”). Capitalized terms used herein and not otherwise defined shall have those meanings set forth in </w:t>
      </w:r>
      <w:r>
        <w:rPr>
          <w:rFonts w:ascii="Times New Roman" w:hAnsi="Times New Roman"/>
          <w:color w:val="000000"/>
          <w:sz w:val="20"/>
          <w:u w:val="single"/>
        </w:rPr>
        <w:t>Appendix I</w:t>
      </w:r>
      <w:r>
        <w:rPr>
          <w:rFonts w:ascii="Times New Roman" w:hAnsi="Times New Roman"/>
          <w:color w:val="000000"/>
          <w:sz w:val="20"/>
        </w:rPr>
        <w:t xml:space="preserve"> hereto.</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WHEREAS, </w:t>
      </w:r>
      <w:r>
        <w:rPr>
          <w:rFonts w:ascii="Times New Roman" w:hAnsi="Times New Roman"/>
          <w:color w:val="000000"/>
          <w:sz w:val="20"/>
        </w:rPr>
        <w:t>the Company and Executive are parties to that certain Amended and Restated Employment Agreement dated as of August 18, 2021 (the “</w:t>
      </w:r>
      <w:r>
        <w:rPr>
          <w:rFonts w:ascii="Times New Roman" w:hAnsi="Times New Roman"/>
          <w:color w:val="000000"/>
          <w:sz w:val="20"/>
          <w:u w:val="single"/>
        </w:rPr>
        <w:t>Prior Agreement</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Company desires to continue to employ Executive, and Executive desires to continue employment with the Company, during a transition period through January 1, 2025 (or such earlier date on which Executive’s employment terminates for any reason) (such date, the “</w:t>
      </w:r>
      <w:r>
        <w:rPr>
          <w:rFonts w:ascii="Times New Roman" w:hAnsi="Times New Roman"/>
          <w:color w:val="000000"/>
          <w:sz w:val="20"/>
          <w:u w:val="single"/>
        </w:rPr>
        <w:t>Separation Date</w:t>
      </w:r>
      <w:r>
        <w:rPr>
          <w:rFonts w:ascii="Times New Roman" w:hAnsi="Times New Roman"/>
          <w:color w:val="000000"/>
          <w:sz w:val="20"/>
        </w:rPr>
        <w:t>”), on the terms hereof.</w:t>
      </w:r>
    </w:p>
    <w:p>
      <w:pPr>
        <w:pStyle w:val="TextBody"/>
        <w:bidi w:val="0"/>
        <w:spacing w:before="240" w:after="283"/>
        <w:jc w:val="left"/>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in consideration of the foregoing, and for other good and valuable consideration, including the respective covenants and agreements set forth below, the receipt and sufficiency of which are hereby acknowledged, the Parties hereto agree as follows:</w:t>
      </w:r>
    </w:p>
    <w:p>
      <w:pPr>
        <w:pStyle w:val="TextBody"/>
        <w:bidi w:val="0"/>
        <w:spacing w:before="240" w:after="283"/>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u w:val="single"/>
        </w:rPr>
        <w:t>Employment</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color w:val="000000"/>
          <w:sz w:val="20"/>
          <w:u w:val="single"/>
        </w:rPr>
        <w:t>General</w:t>
      </w:r>
      <w:r>
        <w:rPr>
          <w:rFonts w:ascii="Times New Roman" w:hAnsi="Times New Roman"/>
          <w:color w:val="000000"/>
          <w:sz w:val="20"/>
        </w:rPr>
        <w:t>. During the continuation of the Term of Employment (as defined below), the Executive shall continue in his current role as Chief Medical Officer until (i) the Separation Date or (ii) if earlier, the date on which the Executive’s successor as Chief Medical Officer commences employment or service with the Company (whichever is earlier, the “</w:t>
      </w:r>
      <w:r>
        <w:rPr>
          <w:rFonts w:ascii="Times New Roman" w:hAnsi="Times New Roman"/>
          <w:color w:val="000000"/>
          <w:sz w:val="20"/>
          <w:u w:val="single"/>
        </w:rPr>
        <w:t>Role Conversion Date</w:t>
      </w:r>
      <w:r>
        <w:rPr>
          <w:rFonts w:ascii="Times New Roman" w:hAnsi="Times New Roman"/>
          <w:color w:val="000000"/>
          <w:sz w:val="20"/>
        </w:rPr>
        <w:t>”). During the period commencing on the Effective Date and ending on the Role Conversion Date, Executive shall continue to be employed by the Company as the Chief Medical Officer on the terms set forth in this Agreement. During the period commencing on the Role Conversion Date and ending on the Separation Date, if any, Executive shall continue to be employed by the Company as Special Advisor on the terms set forth in this Agreement.</w:t>
      </w:r>
    </w:p>
    <w:p>
      <w:pPr>
        <w:pStyle w:val="TextBody"/>
        <w:bidi w:val="0"/>
        <w:spacing w:before="240" w:after="283"/>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color w:val="000000"/>
          <w:sz w:val="20"/>
          <w:u w:val="single"/>
        </w:rPr>
        <w:t>Position and Duties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 During the Term of Employment, (A) subject to Section 1(b)(ii) below, prior to the Role Conversion Date, Executive shall serve as the Company’s Chief Medical Officer, with responsibilities, duties, and authority usual and customary for such position subject to direction by the Chief Executive Officer (the “</w:t>
      </w:r>
      <w:r>
        <w:rPr>
          <w:rFonts w:ascii="Times New Roman" w:hAnsi="Times New Roman"/>
          <w:color w:val="000000"/>
          <w:sz w:val="20"/>
          <w:u w:val="single"/>
        </w:rPr>
        <w:t>CEO</w:t>
      </w:r>
      <w:r>
        <w:rPr>
          <w:rFonts w:ascii="Times New Roman" w:hAnsi="Times New Roman"/>
          <w:color w:val="000000"/>
          <w:sz w:val="20"/>
        </w:rPr>
        <w:t>”), (B) Executive shall use his reasonable best efforts to advance the interests of the Company and facilitate the successful transition of his responsibilities to the individual who succeeds him as Chief Medical Officer in whatever reasonable capacity may be requested by the CEO or the Board of Directors of the Company (the “</w:t>
      </w:r>
      <w:r>
        <w:rPr>
          <w:rFonts w:ascii="Times New Roman" w:hAnsi="Times New Roman"/>
          <w:color w:val="000000"/>
          <w:sz w:val="20"/>
          <w:u w:val="single"/>
        </w:rPr>
        <w:t>Board</w:t>
      </w:r>
      <w:r>
        <w:rPr>
          <w:rFonts w:ascii="Times New Roman" w:hAnsi="Times New Roman"/>
          <w:color w:val="000000"/>
          <w:sz w:val="20"/>
        </w:rPr>
        <w:t>”), consistent with his position as Chief Medical Officer or his position as Special Advisor (as defined in Section 1(b)(ii) below), as the case may be, and (C) Executive shall communicate a mutually agreed upon message regarding the transition consistent with the Board’s direction to key employees, investors, analysts, customers, suppliers, and other relevant third parties. During Executive’s continued employment with the Company, Executive shall continue to report directly to the CEO and agrees promptly and faithfully to continue to comply with all present and future policies, requirements, rules and regulations and reasonable directions and requests of the Company in connection with the Company’s business. Executive will at all times perform all of the duties and obligations required by Executive under this Agreement in a conscientious manner and to the best of Executive’s ability and experience.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(ii) In the event Executive’s successor as Chief Medical Officer of the Company commences employment or service with the Company during the Term of Employment and prior to the Separation Date, then, as of such Role Conversion Date, Executive shall automatically cease to serve as Chief Medical Officer of the Company and, during the period beginning on the Role Conversion Date and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ending on the Separation Date, Executive shall serve as a non-executive employee with the title of Special Advisor. During the period in which Executive serves as Special Advisor and subject to the terms of this Agreement, the salary and benefits Executive is eligible to receive will be identical to those he was receiving as Chief Medical Officer immediately prior to the Role Conversion Date pursuant to Section 3 and shall continue in effect until the Separation Date.</w:t>
      </w:r>
    </w:p>
    <w:p>
      <w:pPr>
        <w:pStyle w:val="TextBody"/>
        <w:bidi w:val="0"/>
        <w:spacing w:before="240" w:after="283"/>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color w:val="000000"/>
          <w:sz w:val="20"/>
          <w:u w:val="single"/>
        </w:rPr>
        <w:t>Performance of Executive’s Duties</w:t>
      </w:r>
      <w:r>
        <w:rPr>
          <w:rFonts w:ascii="Times New Roman" w:hAnsi="Times New Roman"/>
          <w:color w:val="000000"/>
          <w:sz w:val="20"/>
        </w:rPr>
        <w:t>. During Executive’s employment with the Company, and except for periods of illness, vacation, Disability, or excused leaves of absence, Executive shall devote Executive’s full time and attention to the business and affairs of the Company pursuant to the general direction of the CEO; provided that nothing herein shall preclude Executive from, subject to prior consent of the CEO, such consent not to be unreasonably withheld, delayed or conditioned: (i) engaging in additional activities in connection with personal investments and community affairs including service on non-profit boards of directors; (ii) serving as a member of the board of directors for for-profit organizations that are not competitors of the Company; and (iii) serving as an advisor, or as a member of an advisory board of organizations that are not competitors of the Company; provided such activities do not individually or in the aggregate interfere with the performance of Executive’s duties under this Agreement in any material respect, violate the Company’s written standards of conduct then in effect for all executives of the Company or raise a conflict under the Company’s conflict of interest policies.</w:t>
      </w:r>
    </w:p>
    <w:p>
      <w:pPr>
        <w:pStyle w:val="TextBody"/>
        <w:bidi w:val="0"/>
        <w:spacing w:before="240" w:after="283"/>
        <w:jc w:val="left"/>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color w:val="000000"/>
          <w:sz w:val="20"/>
          <w:u w:val="single"/>
        </w:rPr>
        <w:t>Public Disclosure Concerning Transition</w:t>
      </w:r>
      <w:r>
        <w:rPr>
          <w:rFonts w:ascii="Times New Roman" w:hAnsi="Times New Roman"/>
          <w:color w:val="000000"/>
          <w:sz w:val="20"/>
        </w:rPr>
        <w:t>. Executive shall be provided the opportunity to review the public disclosure on Form 8-K and in any press release describing the Executive’s transition or departure prior to its public dissemination, provided that the Company shall have final authority over the content of any such Form 8-K filing or press release.</w:t>
      </w:r>
    </w:p>
    <w:p>
      <w:pPr>
        <w:pStyle w:val="TextBody"/>
        <w:bidi w:val="0"/>
        <w:spacing w:before="24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u w:val="single"/>
        </w:rPr>
        <w:t>Term</w:t>
      </w:r>
      <w:r>
        <w:rPr>
          <w:rFonts w:ascii="Times New Roman" w:hAnsi="Times New Roman"/>
          <w:color w:val="000000"/>
          <w:sz w:val="20"/>
        </w:rPr>
        <w:t>. The period of Executive’s employment under this Agreement shall continue until the Separation Date. The phrase “</w:t>
      </w:r>
      <w:r>
        <w:rPr>
          <w:rFonts w:ascii="Times New Roman" w:hAnsi="Times New Roman"/>
          <w:color w:val="000000"/>
          <w:sz w:val="20"/>
          <w:u w:val="single"/>
        </w:rPr>
        <w:t>Term of Employment</w:t>
      </w:r>
      <w:r>
        <w:rPr>
          <w:rFonts w:ascii="Times New Roman" w:hAnsi="Times New Roman"/>
          <w:color w:val="000000"/>
          <w:sz w:val="20"/>
        </w:rPr>
        <w:t>” as used in this Agreement shall refer to the entire period of employment of Executive by the Company.</w:t>
      </w:r>
    </w:p>
    <w:p>
      <w:pPr>
        <w:pStyle w:val="TextBody"/>
        <w:bidi w:val="0"/>
        <w:spacing w:before="240" w:after="283"/>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u w:val="single"/>
        </w:rPr>
        <w:t>Compensation and Related Matters</w:t>
      </w:r>
      <w:r>
        <w:rPr>
          <w:rFonts w:ascii="Times New Roman" w:hAnsi="Times New Roman"/>
          <w:color w:val="000000"/>
          <w:sz w:val="20"/>
        </w:rPr>
        <w:t>. As compensation for the services to be rendered by Executive to the Company during the Term of Employment, Executive shall be paid the following compensation and benefits:</w:t>
      </w:r>
    </w:p>
    <w:p>
      <w:pPr>
        <w:pStyle w:val="TextBody"/>
        <w:bidi w:val="0"/>
        <w:spacing w:before="24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color w:val="000000"/>
          <w:sz w:val="20"/>
          <w:u w:val="single"/>
        </w:rPr>
        <w:t>Annual Base Salary</w:t>
      </w:r>
      <w:r>
        <w:rPr>
          <w:rFonts w:ascii="Times New Roman" w:hAnsi="Times New Roman"/>
          <w:color w:val="000000"/>
          <w:sz w:val="20"/>
        </w:rPr>
        <w:t>. Executive shall continue to receive a base salary at the rate in effect on the Effective Date ($530,000 per annum) (as may be increased from time to time, the “</w:t>
      </w:r>
      <w:r>
        <w:rPr>
          <w:rFonts w:ascii="Times New Roman" w:hAnsi="Times New Roman"/>
          <w:color w:val="000000"/>
          <w:sz w:val="20"/>
          <w:u w:val="single"/>
        </w:rPr>
        <w:t>Annual Base Salary</w:t>
      </w:r>
      <w:r>
        <w:rPr>
          <w:rFonts w:ascii="Times New Roman" w:hAnsi="Times New Roman"/>
          <w:color w:val="000000"/>
          <w:sz w:val="20"/>
        </w:rPr>
        <w:t>”), subject to withholdings and deductions, which shall be paid to Executive in accordance with the customary payroll practices and procedures of the Company. Such Annual Base Salary may be increased, but not decreased, during the Term of Employment.</w:t>
      </w:r>
    </w:p>
    <w:p>
      <w:pPr>
        <w:pStyle w:val="TextBody"/>
        <w:bidi w:val="0"/>
        <w:spacing w:before="240" w:after="283"/>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color w:val="000000"/>
          <w:sz w:val="20"/>
          <w:u w:val="single"/>
        </w:rPr>
        <w:t>Annual Bonus</w:t>
      </w:r>
      <w:r>
        <w:rPr>
          <w:rFonts w:ascii="Times New Roman" w:hAnsi="Times New Roman"/>
          <w:color w:val="000000"/>
          <w:sz w:val="20"/>
        </w:rPr>
        <w:t>. Executive shall be eligible to receive a discretionary annual bonus for 2024 (the “</w:t>
      </w:r>
      <w:r>
        <w:rPr>
          <w:rFonts w:ascii="Times New Roman" w:hAnsi="Times New Roman"/>
          <w:color w:val="000000"/>
          <w:sz w:val="20"/>
          <w:u w:val="single"/>
        </w:rPr>
        <w:t>Annual Bonus</w:t>
      </w:r>
      <w:r>
        <w:rPr>
          <w:rFonts w:ascii="Times New Roman" w:hAnsi="Times New Roman"/>
          <w:color w:val="000000"/>
          <w:sz w:val="20"/>
        </w:rPr>
        <w:t>”) based on the Company’s achievement of performance objectives in accordance with the terms set forth by the Compensation Committee of the Board as of the date of this Agreement. Executive’s target Annual Bonus shall be equal to 40% of Executive’s Annual Base Salary (the “</w:t>
      </w:r>
      <w:r>
        <w:rPr>
          <w:rFonts w:ascii="Times New Roman" w:hAnsi="Times New Roman"/>
          <w:color w:val="000000"/>
          <w:sz w:val="20"/>
          <w:u w:val="single"/>
        </w:rPr>
        <w:t>Target Bonus</w:t>
      </w:r>
      <w:r>
        <w:rPr>
          <w:rFonts w:ascii="Times New Roman" w:hAnsi="Times New Roman"/>
          <w:color w:val="000000"/>
          <w:sz w:val="20"/>
        </w:rPr>
        <w:t xml:space="preserve">”). Except as set forth in Section 6, Executive must remain employed by the Company until January 1, 2025 to remain eligible to receive such Annual Bonus. Any Annual Bonus earned will be paid at the same time annual bonuses are paid to other executives of the Company generally, subject to any limitations on payment as set forth in Section 6, but in all events on or prior to March 15, 2025. </w:t>
      </w:r>
    </w:p>
    <w:p>
      <w:pPr>
        <w:pStyle w:val="TextBody"/>
        <w:bidi w:val="0"/>
        <w:spacing w:before="240" w:after="283"/>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color w:val="000000"/>
          <w:sz w:val="20"/>
          <w:u w:val="single"/>
        </w:rPr>
        <w:t>Benefits</w:t>
      </w:r>
      <w:r>
        <w:rPr>
          <w:rFonts w:ascii="Times New Roman" w:hAnsi="Times New Roman"/>
          <w:color w:val="000000"/>
          <w:sz w:val="20"/>
        </w:rPr>
        <w:t>. Executive shall be entitled to participate in such employee and executive benefit plans and programs as the Company may offer from time to time to provide to its executives, subject to the terms and conditions of such plans. Notwithstanding the foregoing, nothing herein is intended, or shall be construed, to require the Company to institute or continue any, or any particular, plan, or benefits.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(d) </w:t>
      </w:r>
      <w:r>
        <w:rPr>
          <w:rFonts w:ascii="Times New Roman" w:hAnsi="Times New Roman"/>
          <w:color w:val="000000"/>
          <w:sz w:val="20"/>
          <w:u w:val="single"/>
        </w:rPr>
        <w:t>Business Expenses</w:t>
      </w:r>
      <w:r>
        <w:rPr>
          <w:rFonts w:ascii="Times New Roman" w:hAnsi="Times New Roman"/>
          <w:color w:val="000000"/>
          <w:sz w:val="20"/>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 The Company will also cover the expense of travel, room and board when working from Company headquarters in Carlsbad, CA.</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(e)</w:t>
      </w:r>
      <w:r>
        <w:rPr>
          <w:rFonts w:ascii="Times New Roman" w:hAnsi="Times New Roman"/>
          <w:color w:val="000000"/>
          <w:sz w:val="20"/>
        </w:rPr>
        <w:t xml:space="preserve"> </w:t>
      </w:r>
      <w:r>
        <w:rPr>
          <w:rFonts w:ascii="Times New Roman" w:hAnsi="Times New Roman"/>
          <w:color w:val="000000"/>
          <w:sz w:val="20"/>
          <w:u w:val="single"/>
        </w:rPr>
        <w:t>Vacation; Paid Time Off</w:t>
      </w:r>
      <w:r>
        <w:rPr>
          <w:rFonts w:ascii="Times New Roman" w:hAnsi="Times New Roman"/>
          <w:color w:val="000000"/>
          <w:sz w:val="20"/>
        </w:rPr>
        <w:t>. Executive will be entitled to vacation or paid time off in accordance with the Company’s policy.</w:t>
      </w:r>
    </w:p>
    <w:p>
      <w:pPr>
        <w:pStyle w:val="TextBody"/>
        <w:bidi w:val="0"/>
        <w:spacing w:before="240" w:after="283"/>
        <w:jc w:val="left"/>
        <w:rPr>
          <w:rFonts w:ascii="Times New Roman" w:hAnsi="Times New Roman"/>
          <w:sz w:val="20"/>
        </w:rPr>
      </w:pPr>
      <w:r>
        <w:rPr>
          <w:rFonts w:ascii="Times New Roman" w:hAnsi="Times New Roman"/>
          <w:b/>
          <w:color w:val="000000"/>
          <w:sz w:val="20"/>
        </w:rPr>
        <w:t>(f)</w:t>
      </w:r>
      <w:r>
        <w:rPr>
          <w:rFonts w:ascii="Times New Roman" w:hAnsi="Times New Roman"/>
          <w:color w:val="000000"/>
          <w:sz w:val="20"/>
        </w:rPr>
        <w:t xml:space="preserve"> </w:t>
      </w:r>
      <w:r>
        <w:rPr>
          <w:rFonts w:ascii="Times New Roman" w:hAnsi="Times New Roman"/>
          <w:color w:val="000000"/>
          <w:sz w:val="20"/>
          <w:u w:val="single"/>
        </w:rPr>
        <w:t>Equity Awards</w:t>
      </w:r>
      <w:r>
        <w:rPr>
          <w:rFonts w:ascii="Times New Roman" w:hAnsi="Times New Roman"/>
          <w:color w:val="000000"/>
          <w:sz w:val="20"/>
        </w:rPr>
        <w:t>. Executive shall not be eligible to receive additional grants of Equity Awards (as defined below). Upon the Separation Date, except as otherwise provided in Section 6(c), Executive’s unvested Equity Awards will cease vesting and any unvested Equity Awards shall terminate.</w:t>
      </w:r>
    </w:p>
    <w:p>
      <w:pPr>
        <w:pStyle w:val="TextBody"/>
        <w:bidi w:val="0"/>
        <w:spacing w:before="240" w:after="283"/>
        <w:jc w:val="left"/>
        <w:rPr>
          <w:rFonts w:ascii="Times New Roman" w:hAnsi="Times New Roman"/>
          <w:sz w:val="20"/>
        </w:rPr>
      </w:pPr>
      <w:r>
        <w:rPr>
          <w:rFonts w:ascii="Times New Roman" w:hAnsi="Times New Roman"/>
          <w:b/>
          <w:color w:val="000000"/>
          <w:sz w:val="20"/>
        </w:rPr>
        <w:t>(g)</w:t>
      </w:r>
      <w:r>
        <w:rPr>
          <w:rFonts w:ascii="Times New Roman" w:hAnsi="Times New Roman"/>
          <w:color w:val="000000"/>
          <w:sz w:val="20"/>
        </w:rPr>
        <w:t xml:space="preserve"> </w:t>
      </w:r>
      <w:r>
        <w:rPr>
          <w:rFonts w:ascii="Times New Roman" w:hAnsi="Times New Roman"/>
          <w:color w:val="000000"/>
          <w:sz w:val="20"/>
          <w:u w:val="single"/>
        </w:rPr>
        <w:t>Indemnification Agreement; Insurance</w:t>
      </w:r>
      <w:r>
        <w:rPr>
          <w:rFonts w:ascii="Times New Roman" w:hAnsi="Times New Roman"/>
          <w:color w:val="000000"/>
          <w:sz w:val="20"/>
        </w:rPr>
        <w:t>. As an officer of the Company, Executive shall be entitled to enter into the Company’s standard indemnification agreement (if not a party to such agreement already). Executive will also be covered under a directors and officers liability insurance policy paid for by the Company for so long as Executive serves as an officer of the Company.</w:t>
      </w:r>
    </w:p>
    <w:p>
      <w:pPr>
        <w:pStyle w:val="TextBody"/>
        <w:bidi w:val="0"/>
        <w:spacing w:before="240" w:after="283"/>
        <w:jc w:val="left"/>
        <w:rPr>
          <w:rFonts w:ascii="Times New Roman" w:hAnsi="Times New Roman"/>
          <w:sz w:val="20"/>
        </w:rPr>
      </w:pPr>
      <w:r>
        <w:rPr>
          <w:rFonts w:ascii="Times New Roman" w:hAnsi="Times New Roman"/>
          <w:b/>
          <w:color w:val="000000"/>
          <w:sz w:val="20"/>
        </w:rPr>
        <w:t>(h)</w:t>
      </w:r>
      <w:r>
        <w:rPr>
          <w:rFonts w:ascii="Times New Roman" w:hAnsi="Times New Roman"/>
          <w:color w:val="000000"/>
          <w:sz w:val="20"/>
        </w:rPr>
        <w:t xml:space="preserve"> </w:t>
      </w:r>
      <w:r>
        <w:rPr>
          <w:rFonts w:ascii="Times New Roman" w:hAnsi="Times New Roman"/>
          <w:color w:val="000000"/>
          <w:sz w:val="20"/>
          <w:u w:val="single"/>
        </w:rPr>
        <w:t>Legal Fees</w:t>
      </w:r>
      <w:r>
        <w:rPr>
          <w:rFonts w:ascii="Times New Roman" w:hAnsi="Times New Roman"/>
          <w:color w:val="000000"/>
          <w:sz w:val="20"/>
        </w:rPr>
        <w:t>. The Company shall reimburse Executive up to $15,000 for legal fees incurred in connection with the review of this Agreement, which reimbursement shall be made within thirty (30) days following receipt by the Company of evidence satisfactory to the Company substantiating such fees.</w:t>
      </w:r>
    </w:p>
    <w:p>
      <w:pPr>
        <w:pStyle w:val="TextBody"/>
        <w:bidi w:val="0"/>
        <w:spacing w:before="240" w:after="283"/>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u w:val="single"/>
        </w:rPr>
        <w:t>Acceleration of Equity Awards Upon a Change in Control</w:t>
      </w:r>
      <w:r>
        <w:rPr>
          <w:rFonts w:ascii="Times New Roman" w:hAnsi="Times New Roman"/>
          <w:color w:val="000000"/>
          <w:sz w:val="20"/>
        </w:rPr>
        <w:t>. Notwithstanding anything herein to the contrary, in the event of a Change in Control during the Term of Employment, the vesting of Executive’s then outstanding options, restricted stock and other equity awards covering shares of the Company’s common stock (collectively, “</w:t>
      </w:r>
      <w:r>
        <w:rPr>
          <w:rFonts w:ascii="Times New Roman" w:hAnsi="Times New Roman"/>
          <w:color w:val="000000"/>
          <w:sz w:val="20"/>
          <w:u w:val="single"/>
        </w:rPr>
        <w:t>Equity Awards</w:t>
      </w:r>
      <w:r>
        <w:rPr>
          <w:rFonts w:ascii="Times New Roman" w:hAnsi="Times New Roman"/>
          <w:color w:val="000000"/>
          <w:sz w:val="20"/>
        </w:rPr>
        <w:t>”) shall accelerate as of immediately prior to such Change in Control with respect to fifty percent (50%) of the unvested shares of Company common stock subject to such Equity Awards. The remaining fifty percent (50%) of the unvested shares of Company common stock subject to Executive’s Equity Awards shall continue to vest at the same rate as immediately prior to the Change in Control, subject to Executive’s continued employment with the Company or its successor through the applicable vesting date; provided, however, that any portion of Executive’s Equity Awards that remains unvested as of the expiration of the Term of Employment on January 1, 2025, shall thereupon vest in full, subject to Executive’s continued employment with the Company or its successor through such date. Notwithstanding the foregoing and for the avoidance of doubt, any shares subject to Equity Awards that do not accelerate immediately prior to the Change in Control in accordance with the foregoing shall be subject to accelerated vesting in accordance with Section 6(c)(iv) below.</w:t>
      </w:r>
    </w:p>
    <w:p>
      <w:pPr>
        <w:pStyle w:val="TextBody"/>
        <w:bidi w:val="0"/>
        <w:spacing w:before="240" w:after="283"/>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u w:val="single"/>
        </w:rPr>
        <w:t>Termination</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color w:val="000000"/>
          <w:sz w:val="20"/>
          <w:u w:val="single"/>
        </w:rPr>
        <w:t>At-Will Employment</w:t>
      </w:r>
      <w:r>
        <w:rPr>
          <w:rFonts w:ascii="Times New Roman" w:hAnsi="Times New Roman"/>
          <w:color w:val="000000"/>
          <w:sz w:val="20"/>
        </w:rPr>
        <w:t xml:space="preserve">. The Company and Executive acknowledge that Executive’s employment is and shall continue to be at-will, as defined under applicable law. This means that it is not for any specified period of time and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the CEO. If Executive’s employment terminates for any lawful reason, Executive shall not be entitled to any payments, benefits, Equity Awards or other compensation other than as provided in this Agreement. </w:t>
      </w:r>
    </w:p>
    <w:p>
      <w:pPr>
        <w:pStyle w:val="TextBody"/>
        <w:bidi w:val="0"/>
        <w:spacing w:before="240" w:after="283"/>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color w:val="000000"/>
          <w:sz w:val="20"/>
          <w:u w:val="single"/>
        </w:rPr>
        <w:t>Notice of Termination</w:t>
      </w:r>
      <w:r>
        <w:rPr>
          <w:rFonts w:ascii="Times New Roman" w:hAnsi="Times New Roman"/>
          <w:color w:val="000000"/>
          <w:sz w:val="20"/>
        </w:rPr>
        <w:t>. During the Term of Employment, any termination of Executive’s employment by the Company or by Executive (other than by reason of death) shall be communicated by written notice (a “</w:t>
      </w:r>
      <w:r>
        <w:rPr>
          <w:rFonts w:ascii="Times New Roman" w:hAnsi="Times New Roman"/>
          <w:color w:val="000000"/>
          <w:sz w:val="20"/>
          <w:u w:val="single"/>
        </w:rPr>
        <w:t>Notice of Termination</w:t>
      </w:r>
      <w:r>
        <w:rPr>
          <w:rFonts w:ascii="Times New Roman" w:hAnsi="Times New Roman"/>
          <w:color w:val="000000"/>
          <w:sz w:val="20"/>
        </w:rPr>
        <w:t>”) from one Party hereto to the other Party hereto (i) indicating the specific termination provision in this Agreement relied upon, if any, (ii) setting forth in reasonable detail the facts and circumstances claimed to provide a basis for termination of Executive’s employment under the provision so indicated and (iii) specifying the Separation Date. The failure by the Company to set forth in the Notice of Termination all of the facts and circumstances which contribute to a showing of Cause shall not waive any right of the Company hereunder or preclude the Company from asserting such fact or circumstance in enforcing its rights hereunder. The failure by Executive to set forth in the Notice of Termination all of the facts and circumstances which contribute to a showing of Good Reason shall not waive any right of Executive hereunder or preclude Executive from asserting such fact or circumstance in enforcing Executive’s rights hereunder.</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color w:val="000000"/>
          <w:sz w:val="20"/>
          <w:u w:val="single"/>
        </w:rPr>
        <w:t>Deemed Resignation</w:t>
      </w:r>
      <w:r>
        <w:rPr>
          <w:rFonts w:ascii="Times New Roman" w:hAnsi="Times New Roman"/>
          <w:color w:val="000000"/>
          <w:sz w:val="20"/>
        </w:rPr>
        <w:t>. Upon termination of Executive’s employment with the Company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pStyle w:val="TextBody"/>
        <w:bidi w:val="0"/>
        <w:spacing w:before="240" w:after="283"/>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u w:val="single"/>
        </w:rPr>
        <w:t>Consequences of Termination</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color w:val="000000"/>
          <w:sz w:val="20"/>
          <w:u w:val="single"/>
        </w:rPr>
        <w:t>Release</w:t>
      </w:r>
      <w:r>
        <w:rPr>
          <w:rFonts w:ascii="Times New Roman" w:hAnsi="Times New Roman"/>
          <w:color w:val="000000"/>
          <w:sz w:val="20"/>
        </w:rPr>
        <w:t xml:space="preserve">. In the event Executive’s employment with the Company terminates pursuant to Section 5, then Executive shall be entitled to the applicable payments and benefits set forth below subject, in the case of a termination described in Section 6(c) to Executive delivering to the Company a waiver and release of claims agreement substantially the form attached hereto as </w:t>
      </w:r>
      <w:r>
        <w:rPr>
          <w:rFonts w:ascii="Times New Roman" w:hAnsi="Times New Roman"/>
          <w:color w:val="000000"/>
          <w:sz w:val="20"/>
          <w:u w:val="single"/>
        </w:rPr>
        <w:t>Exhibit A</w:t>
      </w:r>
      <w:r>
        <w:rPr>
          <w:rFonts w:ascii="Times New Roman" w:hAnsi="Times New Roman"/>
          <w:color w:val="000000"/>
          <w:sz w:val="20"/>
        </w:rPr>
        <w:t xml:space="preserve"> that becomes effective and irrevocable in accordance with Section 7 hereof (a “</w:t>
      </w:r>
      <w:r>
        <w:rPr>
          <w:rFonts w:ascii="Times New Roman" w:hAnsi="Times New Roman"/>
          <w:color w:val="000000"/>
          <w:sz w:val="20"/>
          <w:u w:val="single"/>
        </w:rPr>
        <w:t>Release</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color w:val="000000"/>
          <w:sz w:val="20"/>
          <w:u w:val="single"/>
        </w:rPr>
        <w:t>Payments upon Termination by the Company for Cause or by Executive Without Good Reason</w:t>
      </w:r>
      <w:r>
        <w:rPr>
          <w:rFonts w:ascii="Times New Roman" w:hAnsi="Times New Roman"/>
          <w:color w:val="000000"/>
          <w:sz w:val="20"/>
        </w:rPr>
        <w:t>. Upon a termination of Executive’s employment with the Company at any time for Cause or by Executive without Good Reason, Executive (or Executive’s estate or legal representative, as applicable) shall be entitled to receive, within thirty (30) days of the Separation Date (whether such termination of employment is effected by the Company or Executive) (or such earlier date as may be required by applicable law): (i) any portion of Executive’s Annual Base Salary earned through the Separation Date not theretofore paid; (ii) any reimbursement of expenses owed to Executive under Section 3(d) above; and (iii) any accrued but unused vacation or paid time-off owed to Executive ((i)-(iii) defined as the “</w:t>
      </w:r>
      <w:r>
        <w:rPr>
          <w:rFonts w:ascii="Times New Roman" w:hAnsi="Times New Roman"/>
          <w:color w:val="000000"/>
          <w:sz w:val="20"/>
          <w:u w:val="single"/>
        </w:rPr>
        <w:t>Accrued Obligations</w:t>
      </w:r>
      <w:r>
        <w:rPr>
          <w:rFonts w:ascii="Times New Roman" w:hAnsi="Times New Roman"/>
          <w:color w:val="000000"/>
          <w:sz w:val="20"/>
        </w:rPr>
        <w:t>”). In the event Executive is terminated by the Company for Cause, Executive shall forfeit, effective as of the date Executive engages in such conduct giving rise to his termination for Cause, all unexercised, unearned and/or unpaid Equity Awards, including without limitation, Equity Awards earned but not yet paid, all unpaid dividends and dividend equivalents and all interest, if any, accrued on the foregoing.</w:t>
      </w:r>
    </w:p>
    <w:p>
      <w:pPr>
        <w:pStyle w:val="TextBody"/>
        <w:bidi w:val="0"/>
        <w:spacing w:before="240" w:after="283"/>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color w:val="000000"/>
          <w:sz w:val="20"/>
          <w:u w:val="single"/>
        </w:rPr>
        <w:t>Severance Payments</w:t>
      </w:r>
      <w:r>
        <w:rPr>
          <w:rFonts w:ascii="Times New Roman" w:hAnsi="Times New Roman"/>
          <w:color w:val="000000"/>
          <w:sz w:val="20"/>
        </w:rPr>
        <w:t>. In the event the Separation Date occurs as a result of (i) the expiration of the Term of Employment on January 1, 2025, or (ii) any earlier Involuntary Termination of Executive’s employment, subject to the occurrence of the Release Effective Date (as defined below) within the time period described in Section 7(a) below and Executive’s continued compliance with this Agreement, the Company shall provide the following payments and benefits:</w:t>
      </w:r>
    </w:p>
    <w:p>
      <w:pPr>
        <w:pStyle w:val="TextBody"/>
        <w:bidi w:val="0"/>
        <w:spacing w:before="240" w:after="283"/>
        <w:jc w:val="left"/>
        <w:rPr>
          <w:rFonts w:ascii="Times New Roman" w:hAnsi="Times New Roman"/>
          <w:sz w:val="20"/>
        </w:rPr>
      </w:pPr>
      <w:r>
        <w:rPr>
          <w:rFonts w:ascii="Times New Roman" w:hAnsi="Times New Roman"/>
          <w:b/>
          <w:color w:val="000000"/>
          <w:sz w:val="20"/>
        </w:rPr>
        <w:t>(i)</w:t>
      </w:r>
      <w:r>
        <w:rPr>
          <w:rFonts w:ascii="Times New Roman" w:hAnsi="Times New Roman"/>
          <w:color w:val="000000"/>
          <w:sz w:val="20"/>
        </w:rPr>
        <w:t xml:space="preserve"> the Accrued Obligations;</w:t>
      </w:r>
    </w:p>
    <w:p>
      <w:pPr>
        <w:pStyle w:val="TextBody"/>
        <w:bidi w:val="0"/>
        <w:spacing w:before="240" w:after="283"/>
        <w:jc w:val="left"/>
        <w:rPr>
          <w:rFonts w:ascii="Times New Roman" w:hAnsi="Times New Roman"/>
          <w:sz w:val="20"/>
        </w:rPr>
      </w:pPr>
      <w:r>
        <w:rPr>
          <w:rFonts w:ascii="Times New Roman" w:hAnsi="Times New Roman"/>
          <w:b/>
          <w:color w:val="000000"/>
          <w:sz w:val="20"/>
        </w:rPr>
        <w:t>(ii)</w:t>
      </w:r>
      <w:r>
        <w:rPr>
          <w:rFonts w:ascii="Times New Roman" w:hAnsi="Times New Roman"/>
          <w:color w:val="000000"/>
          <w:sz w:val="20"/>
        </w:rPr>
        <w:t xml:space="preserve"> an amount in cash equal to the portion of Executive’s Annual Base Salary that Executive would have earned for the period commencing on the Separation Date and ending on June 30, 2025; plus </w:t>
      </w:r>
    </w:p>
    <w:p>
      <w:pPr>
        <w:pStyle w:val="TextBody"/>
        <w:bidi w:val="0"/>
        <w:spacing w:before="240" w:after="283"/>
        <w:jc w:val="left"/>
        <w:rPr>
          <w:rFonts w:ascii="Times New Roman" w:hAnsi="Times New Roman"/>
          <w:sz w:val="20"/>
        </w:rPr>
      </w:pPr>
      <w:r>
        <w:rPr>
          <w:rFonts w:ascii="Times New Roman" w:hAnsi="Times New Roman"/>
          <w:b/>
          <w:color w:val="000000"/>
          <w:sz w:val="20"/>
        </w:rPr>
        <w:t>(iii)</w:t>
      </w:r>
      <w:r>
        <w:rPr>
          <w:rFonts w:ascii="Times New Roman" w:hAnsi="Times New Roman"/>
          <w:color w:val="000000"/>
          <w:sz w:val="20"/>
        </w:rPr>
        <w:t xml:space="preserve"> if the Separation Date occurs prior to Executive’s receipt of his Annual Bonus for 2024, Executive will remain eligible to receive his Annual Bonus for 2024 (and if his Involuntary Termination occurs prior to December 31, 2024, such Annual Bonus will be pro-rated based on the total number of days elapsed in 2024 through the Separation Date); plus</w:t>
      </w:r>
    </w:p>
    <w:p>
      <w:pPr>
        <w:pStyle w:val="TextBody"/>
        <w:bidi w:val="0"/>
        <w:spacing w:before="240" w:after="283"/>
        <w:jc w:val="left"/>
        <w:rPr>
          <w:rFonts w:ascii="Times New Roman" w:hAnsi="Times New Roman"/>
          <w:sz w:val="20"/>
        </w:rPr>
      </w:pPr>
      <w:r>
        <w:rPr>
          <w:rFonts w:ascii="Times New Roman" w:hAnsi="Times New Roman"/>
          <w:b/>
          <w:color w:val="000000"/>
          <w:sz w:val="20"/>
        </w:rPr>
        <w:t>(iv)</w:t>
      </w:r>
      <w:r>
        <w:rPr>
          <w:rFonts w:ascii="Times New Roman" w:hAnsi="Times New Roman"/>
          <w:color w:val="000000"/>
          <w:sz w:val="20"/>
        </w:rPr>
        <w:t xml:space="preserve"> the vesting of Executive’s then outstanding Equity Awards shall accelerate as of the Release Effective Date with respect to fifty percent (50%) of the unvested shares of Company common stock subject to such Equity Awards as of the Separation Date; plus</w:t>
      </w:r>
    </w:p>
    <w:p>
      <w:pPr>
        <w:pStyle w:val="TextBody"/>
        <w:bidi w:val="0"/>
        <w:jc w:val="left"/>
        <w:rPr>
          <w:rFonts w:ascii="Times New Roman" w:hAnsi="Times New Roman"/>
          <w:sz w:val="20"/>
        </w:rPr>
      </w:pPr>
      <w:r>
        <w:rPr>
          <w:rFonts w:ascii="Times New Roman" w:hAnsi="Times New Roman"/>
          <w:b/>
          <w:color w:val="000000"/>
          <w:sz w:val="20"/>
        </w:rPr>
        <w:t>(v)</w:t>
      </w:r>
      <w:r>
        <w:rPr>
          <w:rFonts w:ascii="Times New Roman" w:hAnsi="Times New Roman"/>
          <w:color w:val="000000"/>
          <w:sz w:val="20"/>
        </w:rPr>
        <w:t xml:space="preserve"> all of Executive’s vested Equity Awards (including after giving effect to the acceleration in clause (iv) above) will be exercisable until the second anniversary of the Separation Date (the “</w:t>
      </w:r>
      <w:r>
        <w:rPr>
          <w:rFonts w:ascii="Times New Roman" w:hAnsi="Times New Roman"/>
          <w:color w:val="000000"/>
          <w:sz w:val="20"/>
          <w:u w:val="single"/>
        </w:rPr>
        <w:t>Exercise Period Extension</w:t>
      </w:r>
      <w:r>
        <w:rPr>
          <w:rFonts w:ascii="Times New Roman" w:hAnsi="Times New Roman"/>
          <w:color w:val="000000"/>
          <w:sz w:val="20"/>
        </w:rPr>
        <w:t>”). However, it shall be a condition to the Exercise Period Extension that Executive not sell, pledge, assign, hypothecate, transfer, or otherwise dispose of (collectively, “</w:t>
      </w:r>
      <w:r>
        <w:rPr>
          <w:rFonts w:ascii="Times New Roman" w:hAnsi="Times New Roman"/>
          <w:color w:val="000000"/>
          <w:sz w:val="20"/>
          <w:u w:val="single"/>
        </w:rPr>
        <w:t>Transfer</w:t>
      </w:r>
      <w:r>
        <w:rPr>
          <w:rFonts w:ascii="Times New Roman" w:hAnsi="Times New Roman"/>
          <w:color w:val="000000"/>
          <w:sz w:val="20"/>
        </w:rPr>
        <w:t xml:space="preserve">”) on any single trading day occurring during the period commencing on the Separation Date and ending on the second anniversary of the Separation Date, shares of the Company’s common stock (including shares issuable upon vesting, settlement or exercise of Equity Awards) in an amount that is in excess of five percent (5%) of the average daily trading volume of the Company’s common stock for the preceding calendar week, other than Permitted Transfers; provided, however, that the foregoing Transfer restrictions shall terminate upon the occurrence of a Change in Control. For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purposes of this Agreement, a “</w:t>
      </w:r>
      <w:r>
        <w:rPr>
          <w:rFonts w:ascii="Times New Roman" w:hAnsi="Times New Roman"/>
          <w:color w:val="000000"/>
          <w:sz w:val="20"/>
          <w:u w:val="single"/>
        </w:rPr>
        <w:t>Permitted Transfer</w:t>
      </w:r>
      <w:r>
        <w:rPr>
          <w:rFonts w:ascii="Times New Roman" w:hAnsi="Times New Roman"/>
          <w:color w:val="000000"/>
          <w:sz w:val="20"/>
        </w:rPr>
        <w:t>” will include (A) the Transfer of any or all of the shares during Executive’s lifetime or upon Executive’s death by will or intestacy to Executive’s Immediate Family or a trust for the benefit of Executive’s Immediate Family (provided that such Immediate Family or trust agrees to be bound by the restrictions in this clause (v)), (B) any Transfer upon the occurrence of, and in connection with, a Change in Control, or (C) any Transfer approved in writing by the Board. As used herein, “</w:t>
      </w:r>
      <w:r>
        <w:rPr>
          <w:rFonts w:ascii="Times New Roman" w:hAnsi="Times New Roman"/>
          <w:color w:val="000000"/>
          <w:sz w:val="20"/>
          <w:u w:val="single"/>
        </w:rPr>
        <w:t>Immediate Family</w:t>
      </w:r>
      <w:r>
        <w:rPr>
          <w:rFonts w:ascii="Times New Roman" w:hAnsi="Times New Roman"/>
          <w:color w:val="000000"/>
          <w:sz w:val="20"/>
        </w:rPr>
        <w:t>” shall mean Executive’s spouse, lineal descendant or antecedent, father, mother, brother or sister or stepchild (whether or not adopted). It shall be a further condition to the Exercise Period Extension that Executive not Transfer any of the shares of the Company’s common stock currently held by Executive in a brokerage account at Morgan Stanley or E*Trade (or any shares issuable upon vesting, settlement or exercise of Equity Awards after the Separation Date) to another account without the prior written consent of the Company. Executive acknowledges and agrees that the Company may place restrictions on any such brokerage account to ensure Executive’s compliance with the restrictions in this clause (v). In the event Executive breaches this clause (v) or any other provision of this Agreement, Executive’s ability to exercise his vested Equity Awards shall immediately cease and all of Executive’s vested Equity Awards shall cease to be exercisable on the date of such breach. Executive acknowledges that, as a result of the foregoing Exercise Period Extension, any outstanding stock option classified as an “incentive stock option” under Section 422 of the Internal Revenue Code of 1986, as amended (the “</w:t>
      </w:r>
      <w:r>
        <w:rPr>
          <w:rFonts w:ascii="Times New Roman" w:hAnsi="Times New Roman"/>
          <w:color w:val="000000"/>
          <w:sz w:val="20"/>
          <w:u w:val="single"/>
        </w:rPr>
        <w:t>Code</w:t>
      </w:r>
      <w:r>
        <w:rPr>
          <w:rFonts w:ascii="Times New Roman" w:hAnsi="Times New Roman"/>
          <w:color w:val="000000"/>
          <w:sz w:val="20"/>
        </w:rPr>
        <w:t>”), may be immediately reclassified as a non-qualified stock option, and that Executive, and not the Company, shall be solely responsible for any tax consequences relating to such reclassification (including as a result of any loss of incentive stock option treatment with respect to any outstanding stock options); plus</w:t>
      </w:r>
    </w:p>
    <w:p>
      <w:pPr>
        <w:pStyle w:val="TextBody"/>
        <w:bidi w:val="0"/>
        <w:spacing w:before="240" w:after="283"/>
        <w:jc w:val="left"/>
        <w:rPr>
          <w:rFonts w:ascii="Times New Roman" w:hAnsi="Times New Roman"/>
          <w:sz w:val="20"/>
        </w:rPr>
      </w:pPr>
      <w:r>
        <w:rPr>
          <w:rFonts w:ascii="Times New Roman" w:hAnsi="Times New Roman"/>
          <w:b/>
          <w:color w:val="000000"/>
          <w:sz w:val="20"/>
        </w:rPr>
        <w:t>(vi)</w:t>
      </w:r>
      <w:r>
        <w:rPr>
          <w:rFonts w:ascii="Times New Roman" w:hAnsi="Times New Roman"/>
          <w:color w:val="000000"/>
          <w:sz w:val="20"/>
        </w:rPr>
        <w:t xml:space="preserve"> during the period commencing on the Separation Date and ending on June 30, 2025 or, if earlier, the date on which Executive becomes eligible for comparable replacement coverage under a subsequent employer’s group health plan, subject to Executive’s valid election to continue healthcare coverage under Section 4980B of the Code and the regulations thereunder (“</w:t>
      </w:r>
      <w:r>
        <w:rPr>
          <w:rFonts w:ascii="Times New Roman" w:hAnsi="Times New Roman"/>
          <w:color w:val="000000"/>
          <w:sz w:val="20"/>
          <w:u w:val="single"/>
        </w:rPr>
        <w:t>COBRA</w:t>
      </w:r>
      <w:r>
        <w:rPr>
          <w:rFonts w:ascii="Times New Roman" w:hAnsi="Times New Roman"/>
          <w:color w:val="000000"/>
          <w:sz w:val="20"/>
        </w:rPr>
        <w:t>”), the Company shall, in its sole discretion, either (A) continue to provide to Executive and Executive’s dependents, at the Company’s sole expense, or (B) reimburse Executive and Executive’s dependents for the cost of, in either case, coverage under its group health plan (if any) at the same coverage levels in effect on the Separation Date (“</w:t>
      </w:r>
      <w:r>
        <w:rPr>
          <w:rFonts w:ascii="Times New Roman" w:hAnsi="Times New Roman"/>
          <w:color w:val="000000"/>
          <w:sz w:val="20"/>
          <w:u w:val="single"/>
        </w:rPr>
        <w:t>Benefits Coverage</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taxable monthly installments over the COBRA continuation period (or remaining portion thereof).</w:t>
      </w:r>
    </w:p>
    <w:p>
      <w:pPr>
        <w:pStyle w:val="TextBody"/>
        <w:bidi w:val="0"/>
        <w:spacing w:before="240" w:after="283"/>
        <w:jc w:val="left"/>
        <w:rPr>
          <w:rFonts w:ascii="Times New Roman" w:hAnsi="Times New Roman"/>
          <w:sz w:val="20"/>
        </w:rPr>
      </w:pPr>
      <w:r>
        <w:rPr>
          <w:rFonts w:ascii="Times New Roman" w:hAnsi="Times New Roman"/>
          <w:b/>
          <w:color w:val="000000"/>
          <w:sz w:val="20"/>
        </w:rPr>
        <w:t>(e)</w:t>
      </w:r>
      <w:r>
        <w:rPr>
          <w:rFonts w:ascii="Times New Roman" w:hAnsi="Times New Roman"/>
          <w:color w:val="000000"/>
          <w:sz w:val="20"/>
        </w:rPr>
        <w:t xml:space="preserve"> </w:t>
      </w:r>
      <w:r>
        <w:rPr>
          <w:rFonts w:ascii="Times New Roman" w:hAnsi="Times New Roman"/>
          <w:color w:val="000000"/>
          <w:sz w:val="20"/>
          <w:u w:val="single"/>
        </w:rPr>
        <w:t>No Other Severance</w:t>
      </w:r>
      <w:r>
        <w:rPr>
          <w:rFonts w:ascii="Times New Roman" w:hAnsi="Times New Roman"/>
          <w:color w:val="000000"/>
          <w:sz w:val="20"/>
        </w:rPr>
        <w:t>. The provisions of this Agreement, including without limitation this Section 6, shall supersede in their entirety any severance payment provisions in any severance plan, policy, program, or other arrangement maintained by the Company except for such additional benefits otherwise approved by the Board or Compensation Committee of the Board after the date hereof.</w:t>
      </w:r>
    </w:p>
    <w:p>
      <w:pPr>
        <w:pStyle w:val="TextBody"/>
        <w:bidi w:val="0"/>
        <w:spacing w:before="240" w:after="283"/>
        <w:jc w:val="left"/>
        <w:rPr>
          <w:rFonts w:ascii="Times New Roman" w:hAnsi="Times New Roman"/>
          <w:sz w:val="20"/>
        </w:rPr>
      </w:pPr>
      <w:r>
        <w:rPr>
          <w:rFonts w:ascii="Times New Roman" w:hAnsi="Times New Roman"/>
          <w:b/>
          <w:color w:val="000000"/>
          <w:sz w:val="20"/>
        </w:rPr>
        <w:t>(f)</w:t>
      </w:r>
      <w:r>
        <w:rPr>
          <w:rFonts w:ascii="Times New Roman" w:hAnsi="Times New Roman"/>
          <w:color w:val="000000"/>
          <w:sz w:val="20"/>
        </w:rPr>
        <w:t xml:space="preserve"> </w:t>
      </w:r>
      <w:r>
        <w:rPr>
          <w:rFonts w:ascii="Times New Roman" w:hAnsi="Times New Roman"/>
          <w:color w:val="000000"/>
          <w:sz w:val="20"/>
          <w:u w:val="single"/>
        </w:rPr>
        <w:t>No Requirement to Mitigate; Survival</w:t>
      </w:r>
      <w:r>
        <w:rPr>
          <w:rFonts w:ascii="Times New Roman" w:hAnsi="Times New Roman"/>
          <w:color w:val="000000"/>
          <w:sz w:val="20"/>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pStyle w:val="TextBody"/>
        <w:bidi w:val="0"/>
        <w:spacing w:before="240" w:after="283"/>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u w:val="single"/>
        </w:rPr>
        <w:t>Release and Payment Timing</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color w:val="000000"/>
          <w:sz w:val="20"/>
          <w:u w:val="single"/>
        </w:rPr>
        <w:t>Release</w:t>
      </w:r>
      <w:r>
        <w:rPr>
          <w:rFonts w:ascii="Times New Roman" w:hAnsi="Times New Roman"/>
          <w:color w:val="000000"/>
          <w:sz w:val="20"/>
        </w:rPr>
        <w:t>. Notwithstanding anything to the contrary in this Agreement, any payments or other benefits due under this Agreement under Section 6(c) as a result of Executive’s termination of employment (other than the Accrued Obligations) are subject to Executive’s execution and delivery of a Release: (i) if Executive fails to execute the Release on or prior to the Release Expiration Date (as defined below) or timely revokes Executive’s acceptance of the Release thereafter, Executive shall not be entitled to any payments or benefits otherwise conditioned on the Release, and (ii) if the Release does not become effective and irrevocable no later than thirty (30) days following the Separation Date (or sixty (60) days in the event that Executive’s termination of employment is “in connection with an exit incentive or other employment termination program” (as such phrase is defined in the Age Discrimination in Employment Act of 1967)) (such deadline, the “</w:t>
      </w:r>
      <w:r>
        <w:rPr>
          <w:rFonts w:ascii="Times New Roman" w:hAnsi="Times New Roman"/>
          <w:color w:val="000000"/>
          <w:sz w:val="20"/>
          <w:u w:val="single"/>
        </w:rPr>
        <w:t>Release Deadline</w:t>
      </w:r>
      <w:r>
        <w:rPr>
          <w:rFonts w:ascii="Times New Roman" w:hAnsi="Times New Roman"/>
          <w:color w:val="000000"/>
          <w:sz w:val="20"/>
        </w:rPr>
        <w:t xml:space="preserve">”), Executive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shall not be entitled to any payments or benefits otherwise conditioned on the Release. For purposes of this Section 7, “</w:t>
      </w:r>
      <w:r>
        <w:rPr>
          <w:rFonts w:ascii="Times New Roman" w:hAnsi="Times New Roman"/>
          <w:color w:val="000000"/>
          <w:sz w:val="20"/>
          <w:u w:val="single"/>
        </w:rPr>
        <w:t>Release Expiration Date</w:t>
      </w:r>
      <w:r>
        <w:rPr>
          <w:rFonts w:ascii="Times New Roman" w:hAnsi="Times New Roman"/>
          <w:color w:val="000000"/>
          <w:sz w:val="20"/>
        </w:rPr>
        <w:t>” shall mean the date that is twenty-one (21) days following the Separation Date,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 The date on which the Release becomes effective and non-revocable is referred to herein as the “</w:t>
      </w:r>
      <w:r>
        <w:rPr>
          <w:rFonts w:ascii="Times New Roman" w:hAnsi="Times New Roman"/>
          <w:color w:val="000000"/>
          <w:sz w:val="20"/>
          <w:u w:val="single"/>
        </w:rPr>
        <w:t>Release Effective Date</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color w:val="000000"/>
          <w:sz w:val="20"/>
          <w:u w:val="single"/>
        </w:rPr>
        <w:t>Payment Timing</w:t>
      </w:r>
      <w:r>
        <w:rPr>
          <w:rFonts w:ascii="Times New Roman" w:hAnsi="Times New Roman"/>
          <w:color w:val="000000"/>
          <w:sz w:val="20"/>
        </w:rPr>
        <w:t>. The payments due under Section 6(c)(ii) of this Agreement as a result of Executive’s termination of employment shall be paid as follows: (i) the portion of the Annual Base Salary payable during the period commencing on the Separation Date and ending on March 15, 2025 shall be payable over such period in accordance with the Company’s normal payroll practices, provided that the first such payment shall not occur until the date that is sixty (60) days following the Separation Date (which first payment will include any payments thereunder that would have been paid prior to such initial payment date pursuant to the Company’s normal payroll practices prior to such initial payment date but for the delay in such initial payment pursuant to this Section 7(b)); and (ii) the portion of the Annual Base Salary payable for the period commencing on March 16, 2025 and ending on June 30, 2025 shall be paid in a lump sum between March 1, 2025 and March 15, 2025. The payment due under Section 6(c)(iii) of this Agreement as a result of Executive’s termination of employment shall be paid in accordance with Section 3(b).</w:t>
      </w:r>
    </w:p>
    <w:p>
      <w:pPr>
        <w:pStyle w:val="TextBody"/>
        <w:bidi w:val="0"/>
        <w:spacing w:before="240" w:after="283"/>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u w:val="single"/>
        </w:rPr>
        <w:t>Confirmation of Continuing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color w:val="000000"/>
          <w:sz w:val="20"/>
          <w:u w:val="single"/>
        </w:rPr>
        <w:t>Proprietary Information Agreement</w:t>
      </w:r>
      <w:r>
        <w:rPr>
          <w:rFonts w:ascii="Times New Roman" w:hAnsi="Times New Roman"/>
          <w:color w:val="000000"/>
          <w:sz w:val="20"/>
        </w:rPr>
        <w:t>. Executive hereby expressly reaffirms his obligations under the Company’s standard employee proprietary information and inventions agreement (the “</w:t>
      </w:r>
      <w:r>
        <w:rPr>
          <w:rFonts w:ascii="Times New Roman" w:hAnsi="Times New Roman"/>
          <w:color w:val="000000"/>
          <w:sz w:val="20"/>
          <w:u w:val="single"/>
        </w:rPr>
        <w:t>Proprietary Information Agreement</w:t>
      </w:r>
      <w:r>
        <w:rPr>
          <w:rFonts w:ascii="Times New Roman" w:hAnsi="Times New Roman"/>
          <w:color w:val="000000"/>
          <w:sz w:val="20"/>
        </w:rPr>
        <w:t xml:space="preserve">”), which is attached hereto as </w:t>
      </w:r>
      <w:r>
        <w:rPr>
          <w:rFonts w:ascii="Times New Roman" w:hAnsi="Times New Roman"/>
          <w:color w:val="000000"/>
          <w:sz w:val="20"/>
          <w:u w:val="single"/>
        </w:rPr>
        <w:t>Exhibit B</w:t>
      </w:r>
      <w:r>
        <w:rPr>
          <w:rFonts w:ascii="Times New Roman" w:hAnsi="Times New Roman"/>
          <w:color w:val="000000"/>
          <w:sz w:val="20"/>
        </w:rPr>
        <w:t xml:space="preserve"> and incorporated herein by reference, and agrees that Executive shall continue to be subject to the terms and conditions of such agreement during the term of this Agreement and that such obligations shall survive the Separation Date. </w:t>
      </w:r>
    </w:p>
    <w:p>
      <w:pPr>
        <w:pStyle w:val="TextBody"/>
        <w:bidi w:val="0"/>
        <w:spacing w:before="240" w:after="283"/>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color w:val="000000"/>
          <w:sz w:val="20"/>
          <w:u w:val="single"/>
        </w:rPr>
        <w:t>Nonsolicitation</w:t>
      </w:r>
      <w:r>
        <w:rPr>
          <w:rFonts w:ascii="Times New Roman" w:hAnsi="Times New Roman"/>
          <w:color w:val="000000"/>
          <w:sz w:val="20"/>
        </w:rPr>
        <w:t xml:space="preserve">. For a period of one (1) year following the date of this Agreement, Executive shall not, either directly or indirectly (a) solicit for employment through any individual, corporation, firm, or other business, any employees, consultants, independent contractors, or other service providers of the Company or any of its affiliates, or (b) solicit any employee, consultant or other service provider of the Company or any of its affiliates to leave the employment or consulting of or cease providing services to the Company or any of its affiliates;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foregoing clauses (a) and (b) shall not apply to inbound inquiries or any general advertisement or solicitation (or any hiring pursuant to such advertisement or solicitation) that is not specifically targeted to such employees, consultants or other service providers.</w:t>
      </w:r>
    </w:p>
    <w:p>
      <w:pPr>
        <w:pStyle w:val="TextBody"/>
        <w:bidi w:val="0"/>
        <w:spacing w:before="240" w:after="283"/>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color w:val="000000"/>
          <w:sz w:val="20"/>
          <w:u w:val="single"/>
        </w:rPr>
        <w:t>Return of Property</w:t>
      </w:r>
      <w:r>
        <w:rPr>
          <w:rFonts w:ascii="Times New Roman" w:hAnsi="Times New Roman"/>
          <w:color w:val="000000"/>
          <w:sz w:val="20"/>
        </w:rPr>
        <w:t xml:space="preserve">. Upon the Separation Date, Executive agrees to promptly deliver to the Company, all Company documents (and all copies thereof) and other Company property that Executive had in his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w:t>
      </w:r>
    </w:p>
    <w:p>
      <w:pPr>
        <w:pStyle w:val="TextBody"/>
        <w:bidi w:val="0"/>
        <w:spacing w:before="240" w:after="283"/>
        <w:jc w:val="left"/>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color w:val="000000"/>
          <w:sz w:val="20"/>
          <w:u w:val="single"/>
        </w:rPr>
        <w:t>Nondisparagement</w:t>
      </w:r>
      <w:r>
        <w:rPr>
          <w:rFonts w:ascii="Times New Roman" w:hAnsi="Times New Roman"/>
          <w:color w:val="000000"/>
          <w:sz w:val="20"/>
        </w:rPr>
        <w:t xml:space="preserve">. Executive agrees that Executive will not make any negative or disparaging statements or comments about Company, its employees, officers, directors, shareholders, vendors, products or services, business, technologies, market position or performance. The Company agrees that it shall not, and shall cause its directors and executive officers not to, make any negative or disparaging statements or comments about Executive. Nothing in this Section 8(d) will prohibit Executive or the Company or any of the Company’s directors and executive officers from providing truthful information in response to a subpoena or other legal process. </w:t>
      </w:r>
    </w:p>
    <w:p>
      <w:pPr>
        <w:pStyle w:val="TextBody"/>
        <w:bidi w:val="0"/>
        <w:spacing w:before="240" w:after="283"/>
        <w:jc w:val="left"/>
        <w:rPr>
          <w:rFonts w:ascii="Times New Roman" w:hAnsi="Times New Roman"/>
          <w:sz w:val="20"/>
        </w:rPr>
      </w:pPr>
      <w:r>
        <w:rPr>
          <w:rFonts w:ascii="Times New Roman" w:hAnsi="Times New Roman"/>
          <w:b/>
          <w:color w:val="000000"/>
          <w:sz w:val="20"/>
        </w:rPr>
        <w:t>(e)</w:t>
      </w:r>
      <w:r>
        <w:rPr>
          <w:rFonts w:ascii="Times New Roman" w:hAnsi="Times New Roman"/>
          <w:color w:val="000000"/>
          <w:sz w:val="20"/>
        </w:rPr>
        <w:t xml:space="preserve"> </w:t>
      </w:r>
      <w:r>
        <w:rPr>
          <w:rFonts w:ascii="Times New Roman" w:hAnsi="Times New Roman"/>
          <w:color w:val="000000"/>
          <w:sz w:val="20"/>
          <w:u w:val="single"/>
        </w:rPr>
        <w:t>Post-Termination Assistance</w:t>
      </w:r>
      <w:r>
        <w:rPr>
          <w:rFonts w:ascii="Times New Roman" w:hAnsi="Times New Roman"/>
          <w:color w:val="000000"/>
          <w:sz w:val="20"/>
        </w:rPr>
        <w:t xml:space="preserve">. Executive agrees to fully cooperate in all matters relating to the winding up or completion of pending work on behalf of the Company and the orderly transfer of work to other employees of the Company following the Separation Date. Executive further agrees that Executive will provide such information and assistance to the Company as may reasonably be requested by the Company in connection with any audit, governmental investigation, litigation, or other dispute in which the Company is or may become a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party and as to which Executive has knowledge; provided, however, that the Company agrees to reimburse Executive for any related out-of-pocket expenses, including travel expenses.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 </w:t>
      </w:r>
      <w:r>
        <w:rPr>
          <w:rFonts w:ascii="Times New Roman" w:hAnsi="Times New Roman"/>
          <w:color w:val="000000"/>
          <w:sz w:val="20"/>
          <w:u w:val="single"/>
        </w:rPr>
        <w:t>Remedies</w:t>
      </w:r>
      <w:r>
        <w:rPr>
          <w:rFonts w:ascii="Times New Roman" w:hAnsi="Times New Roman"/>
          <w:color w:val="000000"/>
          <w:sz w:val="20"/>
        </w:rPr>
        <w:t>. If Executive breaches or threatens to commit a breach of any of the provisions of this Section 8, Executive agrees that such breach or threatened breach would cause irreparable injury to the Company and that money damages would not provide an adequate remedy to the Company. The Company shall also have any other rights and remedies available to the Company under law or in equity, as well as the right to immediately cease providing the compensation in Section 6(c). If the Company breaches or threatens to commit a breach of any of Section 8(d), the Company agrees that such breach or threatened breach would cause irreparable injury to the Executive and that money damages would not provide an adequate remedy to the Executive. The Executive shall also have any other rights and remedies available to the Executive under law or in equity.</w:t>
      </w:r>
    </w:p>
    <w:p>
      <w:pPr>
        <w:pStyle w:val="TextBody"/>
        <w:bidi w:val="0"/>
        <w:spacing w:before="240" w:after="283"/>
        <w:jc w:val="left"/>
        <w:rPr>
          <w:rFonts w:ascii="Times New Roman" w:hAnsi="Times New Roman"/>
          <w:sz w:val="20"/>
        </w:rPr>
      </w:pPr>
      <w:r>
        <w:rPr>
          <w:rFonts w:ascii="Times New Roman" w:hAnsi="Times New Roman"/>
          <w:b/>
          <w:color w:val="000000"/>
          <w:sz w:val="20"/>
        </w:rPr>
        <w:t>(g)</w:t>
      </w:r>
      <w:r>
        <w:rPr>
          <w:rFonts w:ascii="Times New Roman" w:hAnsi="Times New Roman"/>
          <w:color w:val="000000"/>
          <w:sz w:val="20"/>
        </w:rPr>
        <w:t xml:space="preserve"> </w:t>
      </w:r>
      <w:r>
        <w:rPr>
          <w:rFonts w:ascii="Times New Roman" w:hAnsi="Times New Roman"/>
          <w:color w:val="000000"/>
          <w:sz w:val="20"/>
          <w:u w:val="single"/>
        </w:rPr>
        <w:t>Other Protections</w:t>
      </w:r>
      <w:r>
        <w:rPr>
          <w:rFonts w:ascii="Times New Roman" w:hAnsi="Times New Roman"/>
          <w:color w:val="000000"/>
          <w:sz w:val="20"/>
        </w:rPr>
        <w:t>. Nothing in this Agreement or the Proprietary Information Agreement shall prevent Executive or any other person from (a)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(b) exercising any rights Executive or any other person may have under Section 7 of the U.S. National Labor Relations Act, such as the right to engage in concerted activity, including collective action or discussion concerning wages or working conditions, or (c) discussing or disclosing information about unlawful acts in the workplace, such as harassment or discrimination based on a protected characteristic or any other conduct that Executive or any other person has reason to believe is unlawful. In addition, Executive acknowledges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pStyle w:val="TextBody"/>
        <w:bidi w:val="0"/>
        <w:spacing w:before="240" w:after="283"/>
        <w:jc w:val="left"/>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u w:val="single"/>
        </w:rPr>
        <w:t>Golden Parachute Excise Tax</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color w:val="000000"/>
          <w:sz w:val="20"/>
          <w:u w:val="single"/>
        </w:rPr>
        <w:t>Best Pay</w:t>
      </w:r>
      <w:r>
        <w:rPr>
          <w:rFonts w:ascii="Times New Roman" w:hAnsi="Times New Roman"/>
          <w:color w:val="000000"/>
          <w:sz w:val="20"/>
        </w:rPr>
        <w:t>. Any provision of this Agreement to the contrary notwithstanding, if any payment or benefit Executive would receive from the Company pursuant to this Agreement or otherwise (“</w:t>
      </w:r>
      <w:r>
        <w:rPr>
          <w:rFonts w:ascii="Times New Roman" w:hAnsi="Times New Roman"/>
          <w:color w:val="000000"/>
          <w:sz w:val="20"/>
          <w:u w:val="single"/>
        </w:rPr>
        <w:t>Payment</w:t>
      </w:r>
      <w:r>
        <w:rPr>
          <w:rFonts w:ascii="Times New Roman" w:hAnsi="Times New Roman"/>
          <w:color w:val="000000"/>
          <w:sz w:val="20"/>
        </w:rPr>
        <w:t>”) would (i) constitute a “parachute payment” within the meaning of Section 280G of the Code and (ii) but for this sentence, be subject to the excise tax imposed by Section 4999 of the Code (the “</w:t>
      </w:r>
      <w:r>
        <w:rPr>
          <w:rFonts w:ascii="Times New Roman" w:hAnsi="Times New Roman"/>
          <w:color w:val="000000"/>
          <w:sz w:val="20"/>
          <w:u w:val="single"/>
        </w:rPr>
        <w:t>Excise Tax</w:t>
      </w:r>
      <w:r>
        <w:rPr>
          <w:rFonts w:ascii="Times New Roman" w:hAnsi="Times New Roman"/>
          <w:color w:val="000000"/>
          <w:sz w:val="20"/>
        </w:rPr>
        <w:t>”), then such Payment will be equal to the Reduced Amount (as defined below). The “</w:t>
      </w:r>
      <w:r>
        <w:rPr>
          <w:rFonts w:ascii="Times New Roman" w:hAnsi="Times New Roman"/>
          <w:color w:val="000000"/>
          <w:sz w:val="20"/>
          <w:u w:val="single"/>
        </w:rPr>
        <w:t>Reduced Amount</w:t>
      </w:r>
      <w:r>
        <w:rPr>
          <w:rFonts w:ascii="Times New Roman" w:hAnsi="Times New Roman"/>
          <w:color w:val="000000"/>
          <w:sz w:val="20"/>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Times New Roman" w:hAnsi="Times New Roman"/>
          <w:color w:val="000000"/>
          <w:sz w:val="20"/>
          <w:u w:val="single"/>
        </w:rPr>
        <w:t>Reduction Method</w:t>
      </w:r>
      <w:r>
        <w:rPr>
          <w:rFonts w:ascii="Times New Roman" w:hAnsi="Times New Roman"/>
          <w:color w:val="000000"/>
          <w:sz w:val="20"/>
        </w:rPr>
        <w:t>”) that results in the greatest economic benefit for Executive. If more than one method of reduction will result in the same economic benefit, the items so reduced will be reduced pro rata (the “</w:t>
      </w:r>
      <w:r>
        <w:rPr>
          <w:rFonts w:ascii="Times New Roman" w:hAnsi="Times New Roman"/>
          <w:color w:val="000000"/>
          <w:sz w:val="20"/>
          <w:u w:val="single"/>
        </w:rPr>
        <w:t>Pro Rata Reduction Method</w:t>
      </w:r>
      <w:r>
        <w:rPr>
          <w:rFonts w:ascii="Times New Roman" w:hAnsi="Times New Roman"/>
          <w:color w:val="000000"/>
          <w:sz w:val="20"/>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 (1) as a first priority, the modification shall preserve to the greatest extent possible, the greatest economic benefit for Executive as determined on an after-tax basis; (2) as a second priority, Payments that are contingent on future events (</w:t>
      </w:r>
      <w:r>
        <w:rPr>
          <w:rFonts w:ascii="Times New Roman" w:hAnsi="Times New Roman"/>
          <w:i/>
          <w:color w:val="000000"/>
          <w:sz w:val="20"/>
        </w:rPr>
        <w:t>e.g</w:t>
      </w:r>
      <w:r>
        <w:rPr>
          <w:rFonts w:ascii="Times New Roman" w:hAnsi="Times New Roman"/>
          <w:color w:val="000000"/>
          <w:sz w:val="20"/>
        </w:rPr>
        <w:t xml:space="preserve">., being terminated without cause), shall be reduced (or eliminated) before Payments that are not contingent on future events; and (3) as a third priority,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that are “deferred compensation” within the meaning of Section 409A shall be reduced (or eliminated) before Payments that are not deferred compensation within the meaning of Section 409A.</w:t>
      </w:r>
    </w:p>
    <w:p>
      <w:pPr>
        <w:pStyle w:val="TextBody"/>
        <w:bidi w:val="0"/>
        <w:spacing w:before="240" w:after="283"/>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color w:val="000000"/>
          <w:sz w:val="20"/>
          <w:u w:val="single"/>
        </w:rPr>
        <w:t>Accounting Firm</w:t>
      </w:r>
      <w:r>
        <w:rPr>
          <w:rFonts w:ascii="Times New Roman" w:hAnsi="Times New Roman"/>
          <w:color w:val="000000"/>
          <w:sz w:val="20"/>
        </w:rPr>
        <w:t>. All determinations regarding the application of this Section 9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ownership or control (the “</w:t>
      </w:r>
      <w:r>
        <w:rPr>
          <w:rFonts w:ascii="Times New Roman" w:hAnsi="Times New Roman"/>
          <w:color w:val="000000"/>
          <w:sz w:val="20"/>
          <w:u w:val="single"/>
        </w:rPr>
        <w:t>280G Firm</w:t>
      </w:r>
      <w:r>
        <w:rPr>
          <w:rFonts w:ascii="Times New Roman" w:hAnsi="Times New Roman"/>
          <w:color w:val="000000"/>
          <w:sz w:val="20"/>
        </w:rPr>
        <w:t>”). The Company will bear all expenses with respect to the determinations by the 280G Firm required to be made hereunder. The 280G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280G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280G Firm made hereunder will be final, binding and conclusive upon the Company and Executive.</w:t>
      </w:r>
    </w:p>
    <w:p>
      <w:pPr>
        <w:pStyle w:val="TextBody"/>
        <w:bidi w:val="0"/>
        <w:spacing w:before="240" w:after="283"/>
        <w:jc w:val="left"/>
        <w:rPr>
          <w:rFonts w:ascii="Times New Roman" w:hAnsi="Times New Roman"/>
          <w:sz w:val="20"/>
        </w:rPr>
      </w:pPr>
      <w:r>
        <w:rPr>
          <w:rFonts w:ascii="Times New Roman" w:hAnsi="Times New Roman"/>
          <w:b/>
          <w:color w:val="000000"/>
          <w:sz w:val="20"/>
        </w:rPr>
        <w:t>10.</w:t>
      </w:r>
      <w:r>
        <w:rPr>
          <w:rFonts w:ascii="Times New Roman" w:hAnsi="Times New Roman"/>
          <w:color w:val="000000"/>
          <w:sz w:val="20"/>
        </w:rPr>
        <w:t xml:space="preserve"> </w:t>
      </w:r>
      <w:r>
        <w:rPr>
          <w:rFonts w:ascii="Times New Roman" w:hAnsi="Times New Roman"/>
          <w:b/>
          <w:color w:val="000000"/>
          <w:sz w:val="20"/>
          <w:u w:val="single"/>
        </w:rPr>
        <w:t>Section 409A</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color w:val="000000"/>
          <w:sz w:val="20"/>
          <w:u w:val="single"/>
        </w:rPr>
        <w:t>General</w:t>
      </w:r>
      <w:r>
        <w:rPr>
          <w:rFonts w:ascii="Times New Roman" w:hAnsi="Times New Roman"/>
          <w:color w:val="000000"/>
          <w:sz w:val="20"/>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Times New Roman" w:hAnsi="Times New Roman"/>
          <w:color w:val="000000"/>
          <w:sz w:val="20"/>
          <w:u w:val="single"/>
        </w:rPr>
        <w:t>Section 409A</w:t>
      </w:r>
      <w:r>
        <w:rPr>
          <w:rFonts w:ascii="Times New Roman" w:hAnsi="Times New Roman"/>
          <w:color w:val="000000"/>
          <w:sz w:val="20"/>
        </w:rPr>
        <w:t xml:space="preserve">”) and, accordingly, to the maximum extent permitted, this Agreement shall be interpreted to be in compliance therewith. If Executive notifies the Company that Executive has received advice of tax counsel of a national reputation with expertise in Section 409A that any provision of this Agreement would cause Executive to incur any additional tax or interest under Section 409A (with specificity as to the reason therefor) or the Company independently makes such determination, the Company and Executive shall take commercially reasonable efforts to reform such provision to try to comply with or be exempt from Section 409A through good faith modifications to the minimum extent reasonably appropriate to conform with Section 409A, </w:t>
      </w:r>
      <w:r>
        <w:rPr>
          <w:rFonts w:ascii="Times New Roman" w:hAnsi="Times New Roman"/>
          <w:i/>
          <w:color w:val="000000"/>
          <w:sz w:val="20"/>
        </w:rPr>
        <w:t>provided</w:t>
      </w:r>
      <w:r>
        <w:rPr>
          <w:rFonts w:ascii="Times New Roman" w:hAnsi="Times New Roman"/>
          <w:color w:val="000000"/>
          <w:sz w:val="20"/>
        </w:rPr>
        <w:t xml:space="preserve"> that any such modifications shall not increase the cost or liability to the Company. To 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Section 409A.</w:t>
      </w:r>
    </w:p>
    <w:p>
      <w:pPr>
        <w:pStyle w:val="TextBody"/>
        <w:bidi w:val="0"/>
        <w:spacing w:before="240" w:after="283"/>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color w:val="000000"/>
          <w:sz w:val="20"/>
          <w:u w:val="single"/>
        </w:rPr>
        <w:t>Separation from Service</w:t>
      </w:r>
      <w:r>
        <w:rPr>
          <w:rFonts w:ascii="Times New Roman" w:hAnsi="Times New Roman"/>
          <w:color w:val="000000"/>
          <w:sz w:val="20"/>
        </w:rPr>
        <w:t>. Notwithstanding any provision to the contrary in this Agreement: (i) no amount that constitutes “deferred compensation” under Section 409A shall be payable pursuant to Section 6(c) above unless the termination of Executive’s employment constitutes a “separation from service” within the meaning of Section 1.409A-1(h) of the Department of Treasury Regulations (“</w:t>
      </w:r>
      <w:r>
        <w:rPr>
          <w:rFonts w:ascii="Times New Roman" w:hAnsi="Times New Roman"/>
          <w:color w:val="000000"/>
          <w:sz w:val="20"/>
          <w:u w:val="single"/>
        </w:rPr>
        <w:t>Separation from Service</w:t>
      </w:r>
      <w:r>
        <w:rPr>
          <w:rFonts w:ascii="Times New Roman" w:hAnsi="Times New Roman"/>
          <w:color w:val="000000"/>
          <w:sz w:val="20"/>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31st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pStyle w:val="TextBody"/>
        <w:bidi w:val="0"/>
        <w:spacing w:before="240" w:after="283"/>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color w:val="000000"/>
          <w:sz w:val="20"/>
          <w:u w:val="single"/>
        </w:rPr>
        <w:t>Specified Employee</w:t>
      </w:r>
      <w:r>
        <w:rPr>
          <w:rFonts w:ascii="Times New Roman" w:hAnsi="Times New Roman"/>
          <w:color w:val="000000"/>
          <w:sz w:val="20"/>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 (6)-month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11.</w:t>
      </w:r>
      <w:r>
        <w:rPr>
          <w:rFonts w:ascii="Times New Roman" w:hAnsi="Times New Roman"/>
          <w:color w:val="000000"/>
          <w:sz w:val="20"/>
        </w:rPr>
        <w:t xml:space="preserve"> </w:t>
      </w:r>
      <w:r>
        <w:rPr>
          <w:rFonts w:ascii="Times New Roman" w:hAnsi="Times New Roman"/>
          <w:b/>
          <w:color w:val="000000"/>
          <w:sz w:val="20"/>
          <w:u w:val="single"/>
        </w:rPr>
        <w:t>Withholding</w:t>
      </w:r>
      <w:r>
        <w:rPr>
          <w:rFonts w:ascii="Times New Roman" w:hAnsi="Times New Roman"/>
          <w:color w:val="000000"/>
          <w:sz w:val="20"/>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pStyle w:val="TextBody"/>
        <w:bidi w:val="0"/>
        <w:spacing w:before="240" w:after="283"/>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u w:val="single"/>
        </w:rPr>
        <w:t>Miscellaneous Provisions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color w:val="000000"/>
          <w:sz w:val="20"/>
          <w:u w:val="single"/>
        </w:rPr>
        <w:t>Prior Employment</w:t>
      </w:r>
      <w:r>
        <w:rPr>
          <w:rFonts w:ascii="Times New Roman" w:hAnsi="Times New Roman"/>
          <w:color w:val="000000"/>
          <w:sz w:val="20"/>
        </w:rPr>
        <w:t>. Executive represents and warrants that Executive’s employment with the Company has not breached, and the performance of Executive’s duties hereunder will not breach, any duty owed by Executive to any prior employer or other person. Executive further represents and warrants to the Company that: (a) the performance of Executive’s obligations hereunder will not violate any agreement between Executive and any other person, firm, organization, or other entity; (b) Executive is not bound by the terms of any agreement with any previous employer or other party to refrain from competing, directly or indirectly, with the business of such previous employer or other party that would be violated by Executive entering into this Agreement and/or providing services to the Company pursuant to the terms of this Agreement; and (c) Executive’s performance of Executive’s duties under this Agreement will not require Executive to, and Executive shall not, rely on in the performance of Executive’s duties or disclose to the Company or any other person or entity or induce the Company in any way to use or rely on any trade secret or other confidential or proprietary information or material belonging to any previous employer of Executive.</w:t>
      </w:r>
    </w:p>
    <w:p>
      <w:pPr>
        <w:pStyle w:val="TextBody"/>
        <w:bidi w:val="0"/>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color w:val="000000"/>
          <w:sz w:val="20"/>
          <w:u w:val="single"/>
        </w:rPr>
        <w:t>Assignment and Successors</w:t>
      </w:r>
      <w:r>
        <w:rPr>
          <w:rFonts w:ascii="Times New Roman" w:hAnsi="Times New Roman"/>
          <w:color w:val="000000"/>
          <w:sz w:val="20"/>
        </w:rPr>
        <w:t>. The Company shall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pStyle w:val="TextBody"/>
        <w:bidi w:val="0"/>
        <w:spacing w:before="240" w:after="283"/>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color w:val="000000"/>
          <w:sz w:val="20"/>
          <w:u w:val="single"/>
        </w:rPr>
        <w:t>Governing Law</w:t>
      </w:r>
      <w:r>
        <w:rPr>
          <w:rFonts w:ascii="Times New Roman" w:hAnsi="Times New Roman"/>
          <w:color w:val="000000"/>
          <w:sz w:val="20"/>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pStyle w:val="TextBody"/>
        <w:bidi w:val="0"/>
        <w:spacing w:before="240" w:after="283"/>
        <w:jc w:val="left"/>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color w:val="000000"/>
          <w:sz w:val="20"/>
          <w:u w:val="single"/>
        </w:rPr>
        <w:t>Validity</w:t>
      </w:r>
      <w:r>
        <w:rPr>
          <w:rFonts w:ascii="Times New Roman" w:hAnsi="Times New Roman"/>
          <w:color w:val="000000"/>
          <w:sz w:val="20"/>
        </w:rPr>
        <w:t>. The invalidity or unenforceability of any provision or provisions of this Agreement shall not affect the validity or enforceability of any other provision of this Agreement, which shall remain in full force and effect.</w:t>
      </w:r>
    </w:p>
    <w:p>
      <w:pPr>
        <w:pStyle w:val="TextBody"/>
        <w:bidi w:val="0"/>
        <w:spacing w:before="240" w:after="283"/>
        <w:jc w:val="left"/>
        <w:rPr>
          <w:rFonts w:ascii="Times New Roman" w:hAnsi="Times New Roman"/>
          <w:sz w:val="20"/>
        </w:rPr>
      </w:pPr>
      <w:r>
        <w:rPr>
          <w:rFonts w:ascii="Times New Roman" w:hAnsi="Times New Roman"/>
          <w:b/>
          <w:color w:val="000000"/>
          <w:sz w:val="20"/>
        </w:rPr>
        <w:t>(e)</w:t>
      </w:r>
      <w:r>
        <w:rPr>
          <w:rFonts w:ascii="Times New Roman" w:hAnsi="Times New Roman"/>
          <w:color w:val="000000"/>
          <w:sz w:val="20"/>
        </w:rPr>
        <w:t xml:space="preserve"> </w:t>
      </w:r>
      <w:r>
        <w:rPr>
          <w:rFonts w:ascii="Times New Roman" w:hAnsi="Times New Roman"/>
          <w:color w:val="000000"/>
          <w:sz w:val="20"/>
          <w:u w:val="single"/>
        </w:rPr>
        <w:t>Amendments; Waivers</w:t>
      </w:r>
      <w:r>
        <w:rPr>
          <w:rFonts w:ascii="Times New Roman" w:hAnsi="Times New Roman"/>
          <w:color w:val="000000"/>
          <w:sz w:val="20"/>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pStyle w:val="TextBody"/>
        <w:bidi w:val="0"/>
        <w:spacing w:before="240" w:after="283"/>
        <w:jc w:val="left"/>
        <w:rPr>
          <w:rFonts w:ascii="Times New Roman" w:hAnsi="Times New Roman"/>
          <w:sz w:val="20"/>
        </w:rPr>
      </w:pPr>
      <w:r>
        <w:rPr>
          <w:rFonts w:ascii="Times New Roman" w:hAnsi="Times New Roman"/>
          <w:b/>
          <w:color w:val="000000"/>
          <w:sz w:val="20"/>
        </w:rPr>
        <w:t>(f)</w:t>
      </w:r>
      <w:r>
        <w:rPr>
          <w:rFonts w:ascii="Times New Roman" w:hAnsi="Times New Roman"/>
          <w:color w:val="000000"/>
          <w:sz w:val="20"/>
        </w:rPr>
        <w:t xml:space="preserve"> </w:t>
      </w:r>
      <w:r>
        <w:rPr>
          <w:rFonts w:ascii="Times New Roman" w:hAnsi="Times New Roman"/>
          <w:color w:val="000000"/>
          <w:sz w:val="20"/>
          <w:u w:val="single"/>
        </w:rPr>
        <w:t>Dispute Resolution</w:t>
      </w:r>
      <w:r>
        <w:rPr>
          <w:rFonts w:ascii="Times New Roman" w:hAnsi="Times New Roman"/>
          <w:color w:val="000000"/>
          <w:sz w:val="20"/>
        </w:rPr>
        <w:t>. Unless otherwise prohibited by law or specified below, all disputes, claims and causes of action, in law or equity, arising from or relating to this Agreement or its enforcement, performance, breach, or interpretation, including any dispute regarding the existence of Cause or Good Reason for Executive’s termination of employment, shall be resolved solely and exclusively by final and binding arbitration held in San Diego, California, before a single, mutually-agreed neutral arbitrator, through Judicial Arbitration &amp; Mediation Services (“</w:t>
      </w:r>
      <w:r>
        <w:rPr>
          <w:rFonts w:ascii="Times New Roman" w:hAnsi="Times New Roman"/>
          <w:color w:val="000000"/>
          <w:sz w:val="20"/>
          <w:u w:val="single"/>
        </w:rPr>
        <w:t>JAMS</w:t>
      </w:r>
      <w:r>
        <w:rPr>
          <w:rFonts w:ascii="Times New Roman" w:hAnsi="Times New Roman"/>
          <w:color w:val="000000"/>
          <w:sz w:val="20"/>
        </w:rPr>
        <w:t xml:space="preserve">”) under the then existing JAMS arbitration rules. The rules may be found online at www.jamsadr.com or upon written request to the Company. This Section 12(f) is intended to be the exclusive method for resolving any and all claims by the Parties against each other relating to Executive’s employment; </w:t>
      </w:r>
      <w:r>
        <w:rPr>
          <w:rFonts w:ascii="Times New Roman" w:hAnsi="Times New Roman"/>
          <w:color w:val="000000"/>
          <w:sz w:val="20"/>
          <w:u w:val="single"/>
        </w:rPr>
        <w:t>provided</w:t>
      </w:r>
      <w:r>
        <w:rPr>
          <w:rFonts w:ascii="Times New Roman" w:hAnsi="Times New Roman"/>
          <w:color w:val="000000"/>
          <w:sz w:val="20"/>
        </w:rPr>
        <w:t xml:space="preserve"> that Executive will retain the right to file administrative charges with or seek relief through any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government agency of competent jurisdiction, and to participate in any government investigation, including but not limited to (i) claims for workers’ compensation, state disability insurance or unemployment insurance; (ii) claims for unpaid wages or waiting time penalties brought before the California Division of Labor Standards Enforcement (</w:t>
      </w:r>
      <w:r>
        <w:rPr>
          <w:rFonts w:ascii="Times New Roman" w:hAnsi="Times New Roman"/>
          <w:color w:val="000000"/>
          <w:sz w:val="20"/>
          <w:u w:val="single"/>
        </w:rPr>
        <w:t>provided</w:t>
      </w:r>
      <w:r>
        <w:rPr>
          <w:rFonts w:ascii="Times New Roman" w:hAnsi="Times New Roman"/>
          <w:color w:val="000000"/>
          <w:sz w:val="20"/>
        </w:rPr>
        <w:t xml:space="preserve"> that any appeal from an award or from denial of an award of wages and/or waiting time penalties shall be arbitrated pursuant to the terms of this paragraph); and (iii) claims for administrative relief from the United States Equal Employment Opportunity Commission and/or the California Department of Fair Employment and Housing (or any similar agency in any applicable jurisdiction other than California);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except as otherwise provided by law, Executive will not be entitled to obtain any monetary relief through such agencies other than workers’ compensation benefits or unemployment insurance benefits. Further, nothing in this Section 12(f) is intended to prevent either Party from obtaining injunctive relief in court to prevent irreparable harm pending the conclusion of any such arbitration, including without limitation injunctive relief, in any court of competent jurisdiction pursuant to California Code of Civil Procedure §1281.8 or any similar statute of an applicable jurisdiction. Seeking any such relief shall not be deemed to be a waiver of such Party’s right to compel arbitration. In resolving any matter submitted to arbitration, the arbitrator will strictly follow the substantive law applicable to the dispute, claim or controversy and the arbitrator’s authority and jurisdiction will be limited to determining the dispute in conformity with applicable law as to liability, damages and remedies, to the same extent as if the dispute was determined by a court without a jury. The arbitrator will issue a written decision that contains the essential findings of fact and conclusions of law on which the decision is based, which may be entered as a judgment in any court of competent jurisdiction. The Company shall pay all costs of arbitration, including without limitation, arbitration administrative fees, arbitrator compensation and expenses, and costs of any witnesses called by the arbitrator. Unless otherwise ordered by the arbitrator under applicable law, the Company and Executive shall each bear its or his own expenses, such as attorneys’ fees, costs and disbursements. The prevailing party in any arbitration or other dispute between the Parties will be entitled to an award of attorneys’ fees and costs, in addition to any other relief. Each Party warrants that it has had the opportunity to be represented by counsel in the negotiation and execution of this Agreement, including the attorneys’ fees provision herein. Both Executive and the Company expressly waive his and its right to a jury trial. Executive furthers waives his right to pursue claims against the Company on a class basis;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Executive does not waive his right, to the extent preserved by law, to pursue representative claims against the Company under the California Private Attorney General Act.</w:t>
      </w:r>
    </w:p>
    <w:p>
      <w:pPr>
        <w:pStyle w:val="TextBody"/>
        <w:bidi w:val="0"/>
        <w:spacing w:before="240" w:after="283"/>
        <w:jc w:val="left"/>
        <w:rPr>
          <w:rFonts w:ascii="Times New Roman" w:hAnsi="Times New Roman"/>
          <w:sz w:val="20"/>
        </w:rPr>
      </w:pPr>
      <w:r>
        <w:rPr>
          <w:rFonts w:ascii="Times New Roman" w:hAnsi="Times New Roman"/>
          <w:b/>
          <w:color w:val="000000"/>
          <w:sz w:val="20"/>
        </w:rPr>
        <w:t>(g)</w:t>
      </w:r>
      <w:r>
        <w:rPr>
          <w:rFonts w:ascii="Times New Roman" w:hAnsi="Times New Roman"/>
          <w:color w:val="000000"/>
          <w:sz w:val="20"/>
        </w:rPr>
        <w:t xml:space="preserve"> </w:t>
      </w:r>
      <w:r>
        <w:rPr>
          <w:rFonts w:ascii="Times New Roman" w:hAnsi="Times New Roman"/>
          <w:color w:val="000000"/>
          <w:sz w:val="20"/>
          <w:u w:val="single"/>
        </w:rPr>
        <w:t>Enforcement</w:t>
      </w:r>
      <w:r>
        <w:rPr>
          <w:rFonts w:ascii="Times New Roman" w:hAnsi="Times New Roman"/>
          <w:color w:val="000000"/>
          <w:sz w:val="20"/>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pStyle w:val="TextBody"/>
        <w:bidi w:val="0"/>
        <w:spacing w:before="240" w:after="283"/>
        <w:jc w:val="left"/>
        <w:rPr>
          <w:rFonts w:ascii="Times New Roman" w:hAnsi="Times New Roman"/>
          <w:sz w:val="20"/>
        </w:rPr>
      </w:pPr>
      <w:r>
        <w:rPr>
          <w:rFonts w:ascii="Times New Roman" w:hAnsi="Times New Roman"/>
          <w:b/>
          <w:color w:val="000000"/>
          <w:sz w:val="20"/>
        </w:rPr>
        <w:t>(h)</w:t>
      </w:r>
      <w:r>
        <w:rPr>
          <w:rFonts w:ascii="Times New Roman" w:hAnsi="Times New Roman"/>
          <w:color w:val="000000"/>
          <w:sz w:val="20"/>
        </w:rPr>
        <w:t xml:space="preserve"> </w:t>
      </w:r>
      <w:r>
        <w:rPr>
          <w:rFonts w:ascii="Times New Roman" w:hAnsi="Times New Roman"/>
          <w:color w:val="000000"/>
          <w:sz w:val="20"/>
          <w:u w:val="single"/>
        </w:rPr>
        <w:t>Entire Agreement</w:t>
      </w:r>
      <w:r>
        <w:rPr>
          <w:rFonts w:ascii="Times New Roman" w:hAnsi="Times New Roman"/>
          <w:color w:val="000000"/>
          <w:sz w:val="20"/>
        </w:rPr>
        <w:t>. The terms of this Agreement and the other agreements referenced herein, including the Proprietary Information Agreement, are intended by the Parties to be the final expression of their agreement with respect to the employment of Executive by the Company and supersede all prior understandings and agreements, whether written or oral, regarding Executive’s employment with the Company, including the Prior Agreement.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pStyle w:val="TextBody"/>
        <w:bidi w:val="0"/>
        <w:spacing w:before="240" w:after="283"/>
        <w:jc w:val="left"/>
        <w:rPr>
          <w:rFonts w:ascii="Times New Roman" w:hAnsi="Times New Roman"/>
          <w:sz w:val="20"/>
        </w:rPr>
      </w:pPr>
      <w:r>
        <w:rPr>
          <w:rFonts w:ascii="Times New Roman" w:hAnsi="Times New Roman"/>
          <w:b/>
          <w:color w:val="000000"/>
          <w:sz w:val="20"/>
        </w:rPr>
        <w:t>(i)</w:t>
      </w:r>
      <w:r>
        <w:rPr>
          <w:rFonts w:ascii="Times New Roman" w:hAnsi="Times New Roman"/>
          <w:color w:val="000000"/>
          <w:sz w:val="20"/>
        </w:rPr>
        <w:t xml:space="preserve"> </w:t>
      </w:r>
      <w:r>
        <w:rPr>
          <w:rFonts w:ascii="Times New Roman" w:hAnsi="Times New Roman"/>
          <w:color w:val="000000"/>
          <w:sz w:val="20"/>
          <w:u w:val="single"/>
        </w:rPr>
        <w:t>Executive Acknowledgement</w:t>
      </w:r>
      <w:r>
        <w:rPr>
          <w:rFonts w:ascii="Times New Roman" w:hAnsi="Times New Roman"/>
          <w:color w:val="000000"/>
          <w:sz w:val="20"/>
        </w:rPr>
        <w:t>.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pStyle w:val="TextBody"/>
        <w:bidi w:val="0"/>
        <w:spacing w:before="240" w:after="283"/>
        <w:jc w:val="left"/>
        <w:rPr>
          <w:rFonts w:ascii="Times New Roman" w:hAnsi="Times New Roman"/>
          <w:sz w:val="20"/>
        </w:rPr>
      </w:pPr>
      <w:r>
        <w:rPr>
          <w:rFonts w:ascii="Times New Roman" w:hAnsi="Times New Roman"/>
          <w:b/>
          <w:color w:val="000000"/>
          <w:sz w:val="20"/>
        </w:rPr>
        <w:t>(j)</w:t>
      </w:r>
      <w:r>
        <w:rPr>
          <w:rFonts w:ascii="Times New Roman" w:hAnsi="Times New Roman"/>
          <w:color w:val="000000"/>
          <w:sz w:val="20"/>
        </w:rPr>
        <w:t xml:space="preserve"> </w:t>
      </w:r>
      <w:r>
        <w:rPr>
          <w:rFonts w:ascii="Times New Roman" w:hAnsi="Times New Roman"/>
          <w:color w:val="000000"/>
          <w:sz w:val="20"/>
          <w:u w:val="single"/>
        </w:rPr>
        <w:t>Counterparts</w:t>
      </w:r>
      <w:r>
        <w:rPr>
          <w:rFonts w:ascii="Times New Roman" w:hAnsi="Times New Roman"/>
          <w:color w:val="000000"/>
          <w:sz w:val="20"/>
        </w:rPr>
        <w:t>. This Agreement may be executed in several counterparts, each of which shall be deemed to be an original, but all of which together will constitute one and the same Agreement. Signatures delivered by facsimile shall be deemed effective for all purposes.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(k)</w:t>
      </w:r>
      <w:r>
        <w:rPr>
          <w:rFonts w:ascii="Times New Roman" w:hAnsi="Times New Roman"/>
          <w:color w:val="000000"/>
          <w:sz w:val="20"/>
        </w:rPr>
        <w:t xml:space="preserve"> </w:t>
      </w:r>
      <w:r>
        <w:rPr>
          <w:rFonts w:ascii="Times New Roman" w:hAnsi="Times New Roman"/>
          <w:color w:val="000000"/>
          <w:sz w:val="20"/>
          <w:u w:val="single"/>
        </w:rPr>
        <w:t>Notices</w:t>
      </w:r>
      <w:r>
        <w:rPr>
          <w:rFonts w:ascii="Times New Roman" w:hAnsi="Times New Roman"/>
          <w:color w:val="000000"/>
          <w:sz w:val="20"/>
        </w:rPr>
        <w:t>. All notices required or permitted hereunder shall be in writing and shall be deemed effectively given: (a) upon personal delivery to the party to be notified; (b) when sent by confirmed electronic mail or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principal executive offices or to Executive at his most recent address on the Company’s payroll records or at such other address(es) as the Company or Executive may designate by ten (10) days advance written notice to the other party hereto.</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13.</w:t>
      </w:r>
    </w:p>
    <w:p>
      <w:pPr>
        <w:pStyle w:val="TextBody"/>
        <w:bidi w:val="0"/>
        <w:spacing w:before="240" w:after="283"/>
        <w:jc w:val="left"/>
        <w:rPr/>
      </w:pPr>
      <w:r>
        <w:rPr>
          <w:rFonts w:ascii="Times New Roman" w:hAnsi="Times New Roman"/>
          <w:b/>
          <w:color w:val="000000"/>
          <w:sz w:val="20"/>
          <w:u w:val="single"/>
        </w:rPr>
        <w:t>Release of Claims by Executive</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(a)</w:t>
      </w:r>
    </w:p>
    <w:p>
      <w:pPr>
        <w:pStyle w:val="TextBody"/>
        <w:bidi w:val="0"/>
        <w:spacing w:before="240" w:after="283"/>
        <w:jc w:val="left"/>
        <w:rPr/>
      </w:pPr>
      <w:r>
        <w:rPr>
          <w:rFonts w:ascii="Times New Roman" w:hAnsi="Times New Roman"/>
          <w:color w:val="000000"/>
          <w:sz w:val="20"/>
          <w:u w:val="single"/>
        </w:rPr>
        <w:t>General Release</w:t>
      </w:r>
      <w:r>
        <w:rPr>
          <w:rFonts w:ascii="Times New Roman" w:hAnsi="Times New Roman"/>
          <w:color w:val="000000"/>
          <w:sz w:val="20"/>
        </w:rPr>
        <w:t>. In exchange for the consideration set forth in this Agreement, and in consideration of the further agreements and promises set forth herein, Executive, on behalf of himself and his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shareholders, officers, general or limited partners, employees, attorneys, agents and representatives, and the employee benefit plans in which Executive is or has been a participant by virtue of his employment with or service to the Company (collectively, the “</w:t>
      </w:r>
      <w:r>
        <w:rPr>
          <w:rFonts w:ascii="Times New Roman" w:hAnsi="Times New Roman"/>
          <w:color w:val="000000"/>
          <w:sz w:val="20"/>
          <w:u w:val="single"/>
        </w:rPr>
        <w:t>Company Releasees</w:t>
      </w:r>
      <w:r>
        <w:rPr>
          <w:color w:val="000000"/>
        </w:rPr>
        <w:t>”</w:t>
      </w:r>
      <w:r>
        <w:rPr>
          <w:rFonts w:ascii="Times New Roman" w:hAnsi="Times New Roman"/>
          <w:color w:val="000000"/>
          <w:sz w:val="20"/>
        </w:rPr>
        <w:t>), from any and all claims, debts, demands, accounts, judgments, rights, causes of action, equitable relief, damages, costs, charges, complaints, obligations, promises, agreements, controversies, suits, expenses, compensation, responsibility and liability of every kind and character whatsoever (including attorneys’ fees and costs), whether in law or equity, known or unknown, asserted or unasserted, suspected or unsuspected (collectively, “</w:t>
      </w:r>
      <w:r>
        <w:rPr>
          <w:rFonts w:ascii="Times New Roman" w:hAnsi="Times New Roman"/>
          <w:color w:val="000000"/>
          <w:sz w:val="20"/>
          <w:u w:val="single"/>
        </w:rPr>
        <w:t>Claims</w:t>
      </w:r>
      <w:r>
        <w:rPr>
          <w:color w:val="000000"/>
        </w:rPr>
        <w:t>”</w:t>
      </w:r>
      <w:r>
        <w:rPr>
          <w:rFonts w:ascii="Times New Roman" w:hAnsi="Times New Roman"/>
          <w:color w:val="000000"/>
          <w:sz w:val="20"/>
        </w:rPr>
        <w:t xml:space="preserve">), which Executive has or may have had against such entities based on any events or circumstances arising or occurring on or prior to the date hereof, arising directly or indirectly out of, relating to, or in any other way involving in any manner whatsoever Executive’s employment by or service to the Company,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the Americans with Disabilities Act, as amended, 42 U.S.C. § 12101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the Rehabilitation Act of 1973, as amended, 29 U.S.C. § 701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the Civil Rights Act of 1866, and the Civil Rights Act of 1991; 42 U.S.C. Section 1981,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the Equal Pay Act, as amended, 29 U.S.C. Section 206(d); regulations of the Office of Federal Contract Compliance, 41 C.F.R. Section 60,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the Family and Medical Leave Act, as amended, 29 U.S.C. § 2601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the Fair Labor Standards Act of 1938, as amended, 29 U.S.C. § 201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the Employee Retirement Income Security Act, as amended, 29 U.S.C. § 1001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and the California Fair Employment and Housing Act, California Government Code Section 12940,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Executive represents and warrants that he is the sole owner of all Claims relating to his employment or service with the Company and/or with any predecessor of the Company and that he has not assigned or transferred any Claims relating to his employment or service to any other person or entity. Executive understands and agrees that the Agreement will not be construed at any time as an admission of liability or wrongdoing by either the Company or Executive.</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Notwithstanding the generality of the foregoing, Executive does not release any Claims which, by law, may not be released, including the following claims:</w:t>
      </w:r>
    </w:p>
    <w:p>
      <w:pPr>
        <w:pStyle w:val="TextBody"/>
        <w:bidi w:val="0"/>
        <w:spacing w:before="0" w:after="240"/>
        <w:jc w:val="left"/>
        <w:rPr>
          <w:rFonts w:ascii="Times New Roman" w:hAnsi="Times New Roman"/>
          <w:sz w:val="20"/>
        </w:rPr>
      </w:pPr>
      <w:r>
        <w:rPr>
          <w:rFonts w:ascii="Times New Roman" w:hAnsi="Times New Roman"/>
          <w:b/>
          <w:color w:val="000000"/>
          <w:sz w:val="20"/>
        </w:rPr>
        <w:t>(i)</w:t>
      </w:r>
      <w:r>
        <w:rPr>
          <w:rFonts w:ascii="Times New Roman" w:hAnsi="Times New Roman"/>
          <w:color w:val="000000"/>
          <w:sz w:val="20"/>
        </w:rPr>
        <w:t xml:space="preserve"> Claims for unemployment compensation or any state disability insurance benefits pursuant to the terms of applicable state law; </w:t>
      </w:r>
    </w:p>
    <w:p>
      <w:pPr>
        <w:pStyle w:val="TextBody"/>
        <w:bidi w:val="0"/>
        <w:spacing w:before="0" w:after="240"/>
        <w:jc w:val="left"/>
        <w:rPr>
          <w:rFonts w:ascii="Times New Roman" w:hAnsi="Times New Roman"/>
          <w:sz w:val="20"/>
        </w:rPr>
      </w:pPr>
      <w:r>
        <w:rPr>
          <w:rFonts w:ascii="Times New Roman" w:hAnsi="Times New Roman"/>
          <w:b/>
          <w:color w:val="000000"/>
          <w:sz w:val="20"/>
        </w:rPr>
        <w:t>(ii)</w:t>
      </w:r>
      <w:r>
        <w:rPr>
          <w:rFonts w:ascii="Times New Roman" w:hAnsi="Times New Roman"/>
          <w:color w:val="000000"/>
          <w:sz w:val="20"/>
        </w:rPr>
        <w:t xml:space="preserve"> Claims for workers’ compensation insurance benefits under the terms of any worker’s compensation insurance policy or fund of the Company; </w:t>
      </w:r>
    </w:p>
    <w:p>
      <w:pPr>
        <w:pStyle w:val="TextBody"/>
        <w:bidi w:val="0"/>
        <w:spacing w:before="0" w:after="240"/>
        <w:jc w:val="left"/>
        <w:rPr>
          <w:rFonts w:ascii="Times New Roman" w:hAnsi="Times New Roman"/>
          <w:sz w:val="20"/>
        </w:rPr>
      </w:pPr>
      <w:r>
        <w:rPr>
          <w:rFonts w:ascii="Times New Roman" w:hAnsi="Times New Roman"/>
          <w:b/>
          <w:color w:val="000000"/>
          <w:sz w:val="20"/>
        </w:rPr>
        <w:t>(iii)</w:t>
      </w:r>
      <w:r>
        <w:rPr>
          <w:rFonts w:ascii="Times New Roman" w:hAnsi="Times New Roman"/>
          <w:color w:val="000000"/>
          <w:sz w:val="20"/>
        </w:rPr>
        <w:t xml:space="preserve"> Claims pursuant to the terms and conditions of the federal law known as COBRA;</w:t>
      </w:r>
    </w:p>
    <w:p>
      <w:pPr>
        <w:pStyle w:val="TextBody"/>
        <w:bidi w:val="0"/>
        <w:spacing w:before="0" w:after="240"/>
        <w:jc w:val="left"/>
        <w:rPr>
          <w:rFonts w:ascii="Times New Roman" w:hAnsi="Times New Roman"/>
          <w:sz w:val="20"/>
        </w:rPr>
      </w:pPr>
      <w:r>
        <w:rPr>
          <w:rFonts w:ascii="Times New Roman" w:hAnsi="Times New Roman"/>
          <w:b/>
          <w:color w:val="000000"/>
          <w:sz w:val="20"/>
        </w:rPr>
        <w:t>(iv)</w:t>
      </w:r>
      <w:r>
        <w:rPr>
          <w:rFonts w:ascii="Times New Roman" w:hAnsi="Times New Roman"/>
          <w:color w:val="000000"/>
          <w:sz w:val="20"/>
        </w:rPr>
        <w:t xml:space="preserve"> Claims for indemnity under the bylaws of the Company, as provided for by Delaware law or the Indemnification Agreement, or under any applicable insurance policy with respect to Executive’s liability as an employee or officer of the Company;</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(v)</w:t>
      </w:r>
      <w:r>
        <w:rPr>
          <w:rFonts w:ascii="Times New Roman" w:hAnsi="Times New Roman"/>
          <w:color w:val="000000"/>
          <w:sz w:val="20"/>
        </w:rPr>
        <w:t xml:space="preserve"> Executive’s right to bring to the attention of the Equal Employment Opportunity Commission,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Executive does release his right to secure any damages for alleged discriminatory treatment;</w:t>
      </w:r>
    </w:p>
    <w:p>
      <w:pPr>
        <w:pStyle w:val="TextBody"/>
        <w:bidi w:val="0"/>
        <w:spacing w:before="0" w:after="240"/>
        <w:jc w:val="left"/>
        <w:rPr>
          <w:rFonts w:ascii="Times New Roman" w:hAnsi="Times New Roman"/>
          <w:sz w:val="20"/>
        </w:rPr>
      </w:pPr>
      <w:r>
        <w:rPr>
          <w:rFonts w:ascii="Times New Roman" w:hAnsi="Times New Roman"/>
          <w:b/>
          <w:color w:val="000000"/>
          <w:sz w:val="20"/>
        </w:rPr>
        <w:t>(vi)</w:t>
      </w:r>
      <w:r>
        <w:rPr>
          <w:rFonts w:ascii="Times New Roman" w:hAnsi="Times New Roman"/>
          <w:color w:val="000000"/>
          <w:sz w:val="20"/>
        </w:rPr>
        <w:t xml:space="preserve"> Claims based on any right Executive may have to enforce the Company’s executory obligations under this Agreement; </w:t>
      </w:r>
    </w:p>
    <w:p>
      <w:pPr>
        <w:pStyle w:val="TextBody"/>
        <w:bidi w:val="0"/>
        <w:spacing w:before="0" w:after="240"/>
        <w:jc w:val="left"/>
        <w:rPr>
          <w:rFonts w:ascii="Times New Roman" w:hAnsi="Times New Roman"/>
          <w:sz w:val="20"/>
        </w:rPr>
      </w:pPr>
      <w:r>
        <w:rPr>
          <w:rFonts w:ascii="Times New Roman" w:hAnsi="Times New Roman"/>
          <w:b/>
          <w:color w:val="000000"/>
          <w:sz w:val="20"/>
        </w:rPr>
        <w:t>(vii)</w:t>
      </w:r>
      <w:r>
        <w:rPr>
          <w:rFonts w:ascii="Times New Roman" w:hAnsi="Times New Roman"/>
          <w:color w:val="000000"/>
          <w:sz w:val="20"/>
        </w:rPr>
        <w:t xml:space="preserve"> Claims Executive may have to vested or earned compensation and benefits; and</w:t>
      </w:r>
    </w:p>
    <w:p>
      <w:pPr>
        <w:pStyle w:val="TextBody"/>
        <w:bidi w:val="0"/>
        <w:spacing w:before="0" w:after="240"/>
        <w:jc w:val="left"/>
        <w:rPr>
          <w:rFonts w:ascii="Times New Roman" w:hAnsi="Times New Roman"/>
          <w:sz w:val="20"/>
        </w:rPr>
      </w:pPr>
      <w:r>
        <w:rPr>
          <w:rFonts w:ascii="Times New Roman" w:hAnsi="Times New Roman"/>
          <w:b/>
          <w:color w:val="000000"/>
          <w:sz w:val="20"/>
        </w:rPr>
        <w:t>(viii)</w:t>
      </w:r>
      <w:r>
        <w:rPr>
          <w:rFonts w:ascii="Times New Roman" w:hAnsi="Times New Roman"/>
          <w:color w:val="000000"/>
          <w:sz w:val="20"/>
        </w:rPr>
        <w:t xml:space="preserve"> Executive’s right to communicate or cooperate with any government agency.</w:t>
      </w:r>
    </w:p>
    <w:p>
      <w:pPr>
        <w:pStyle w:val="TextBody"/>
        <w:bidi w:val="0"/>
        <w:spacing w:before="0" w:after="240"/>
        <w:jc w:val="both"/>
        <w:rPr>
          <w:rFonts w:ascii="Times New Roman" w:hAnsi="Times New Roman"/>
          <w:b/>
          <w:caps/>
          <w:color w:val="000000"/>
          <w:sz w:val="20"/>
          <w:u w:val="single"/>
        </w:rPr>
      </w:pPr>
      <w:r>
        <w:rPr>
          <w:rFonts w:ascii="Times New Roman" w:hAnsi="Times New Roman"/>
          <w:b/>
          <w:caps/>
          <w:color w:val="000000"/>
          <w:sz w:val="20"/>
          <w:u w:val="single"/>
        </w:rPr>
        <w:t>(b)</w:t>
      </w:r>
    </w:p>
    <w:p>
      <w:pPr>
        <w:pStyle w:val="TextBody"/>
        <w:bidi w:val="0"/>
        <w:spacing w:before="0" w:after="240"/>
        <w:jc w:val="both"/>
        <w:rPr/>
      </w:pPr>
      <w:r>
        <w:rPr>
          <w:rFonts w:ascii="Times New Roman" w:hAnsi="Times New Roman"/>
          <w:color w:val="000000"/>
          <w:sz w:val="20"/>
          <w:u w:val="single"/>
        </w:rPr>
        <w:t>Unknown Claims</w:t>
      </w:r>
      <w:r>
        <w:rPr>
          <w:rFonts w:ascii="Times New Roman" w:hAnsi="Times New Roman"/>
          <w:color w:val="000000"/>
          <w:sz w:val="20"/>
        </w:rPr>
        <w:t xml:space="preserve">. </w:t>
      </w:r>
      <w:r>
        <w:rPr>
          <w:rFonts w:ascii="Times New Roman" w:hAnsi="Times New Roman"/>
          <w:caps/>
          <w:color w:val="000000"/>
          <w:sz w:val="20"/>
        </w:rPr>
        <w:t xml:space="preserve">Executive acknowledges that Executive has been advised of and is familiar with the provisions of California Civil Code section 1542, which provides as follows: </w:t>
      </w:r>
    </w:p>
    <w:p>
      <w:pPr>
        <w:pStyle w:val="TextBody"/>
        <w:bidi w:val="0"/>
        <w:spacing w:before="0" w:after="240"/>
        <w:jc w:val="both"/>
        <w:rPr>
          <w:color w:val="000000"/>
        </w:rPr>
      </w:pPr>
      <w:r>
        <w:rPr>
          <w:color w:val="000000"/>
        </w:rPr>
        <w:t>“</w:t>
      </w:r>
      <w:r>
        <w:rPr>
          <w:rFonts w:ascii="Times New Roman" w:hAnsi="Times New Roman"/>
          <w:color w:val="000000"/>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Executive, being aware of said code section, hereby expressly waives any rights he may have thereunder, as well as under any other statutes or common law principles of similar effect.</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14.</w:t>
      </w:r>
    </w:p>
    <w:p>
      <w:pPr>
        <w:pStyle w:val="TextBody"/>
        <w:bidi w:val="0"/>
        <w:spacing w:before="0" w:after="240"/>
        <w:jc w:val="left"/>
        <w:rPr/>
      </w:pPr>
      <w:r>
        <w:rPr>
          <w:rFonts w:ascii="Times New Roman" w:hAnsi="Times New Roman"/>
          <w:color w:val="000000"/>
          <w:sz w:val="20"/>
          <w:u w:val="single"/>
        </w:rPr>
        <w:t>RIGHT TO ADVICE OF COUNSEL</w:t>
      </w:r>
      <w:r>
        <w:rPr>
          <w:rFonts w:ascii="Times New Roman" w:hAnsi="Times New Roman"/>
          <w:color w:val="000000"/>
          <w:sz w:val="20"/>
        </w:rPr>
        <w:t>. EXECUTIVE ACKNOWLEDGES THAT HE HAS THE RIGHT, AND IS ENCOURAGED, TO CONSULT WITH HIS LAWYER; BY HIS SIGNATURE BELOW, EXECUTIVE ACKNOWLEDGES THAT HE HAS CONSULTED, OR HAS ELECTED NOT TO CONSULT, WITH HIS LAWYER CONCERNING THIS AGREEMENT.</w:t>
      </w:r>
    </w:p>
    <w:p>
      <w:pPr>
        <w:pStyle w:val="TextBody"/>
        <w:bidi w:val="0"/>
        <w:spacing w:before="24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Follows</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Parties have duly executed this Agreement as of the dates set forth below.</w:t>
      </w:r>
    </w:p>
    <w:tbl>
      <w:tblPr>
        <w:tblW w:w="2863" w:type="dxa"/>
        <w:jc w:val="left"/>
        <w:tblInd w:w="0" w:type="dxa"/>
        <w:tblLayout w:type="fixed"/>
        <w:tblCellMar>
          <w:top w:w="28" w:type="dxa"/>
          <w:left w:w="28" w:type="dxa"/>
          <w:bottom w:w="28" w:type="dxa"/>
          <w:right w:w="28" w:type="dxa"/>
        </w:tblCellMar>
      </w:tblPr>
      <w:tblGrid>
        <w:gridCol w:w="646"/>
        <w:gridCol w:w="1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pPr>
            <w:r>
              <w:rPr/>
              <w:t> </w:t>
            </w:r>
          </w:p>
        </w:tc>
      </w:tr>
      <w:tr>
        <w:trPr/>
        <w:tc>
          <w:tcPr>
            <w:tcW w:w="2863"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TYRA BIOSCIENCES, INC.</w:t>
            </w:r>
          </w:p>
        </w:tc>
      </w:tr>
      <w:tr>
        <w:trPr/>
        <w:tc>
          <w:tcPr>
            <w:tcW w:w="646" w:type="dxa"/>
            <w:tcBorders/>
            <w:vAlign w:val="center"/>
          </w:tcPr>
          <w:p>
            <w:pPr>
              <w:pStyle w:val="TableContents"/>
              <w:bidi w:val="0"/>
              <w:spacing w:before="0" w:after="283"/>
              <w:jc w:val="left"/>
              <w:rPr/>
            </w:pPr>
            <w:r>
              <w:rPr/>
              <w:t> </w:t>
            </w:r>
          </w:p>
        </w:tc>
        <w:tc>
          <w:tcPr>
            <w:tcW w:w="2217" w:type="dxa"/>
            <w:gridSpan w:val="2"/>
            <w:tcBorders/>
            <w:vAlign w:val="center"/>
          </w:tcPr>
          <w:p>
            <w:pPr>
              <w:pStyle w:val="TableContents"/>
              <w:bidi w:val="0"/>
              <w:spacing w:before="0" w:after="283"/>
              <w:jc w:val="left"/>
              <w:rPr/>
            </w:pPr>
            <w:r>
              <w:rPr/>
              <w:t> </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 xml:space="preserve">/s/ Todd Harris, Ph.D. </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Harris, Ph.D.</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August 3, 2024</w:t>
            </w:r>
          </w:p>
        </w:tc>
      </w:tr>
    </w:tbl>
    <w:p>
      <w:pPr>
        <w:pStyle w:val="TextBody"/>
        <w:bidi w:val="0"/>
        <w:jc w:val="left"/>
        <w:rPr/>
      </w:pPr>
      <w:r>
        <w:rPr/>
        <w:t> </w:t>
      </w:r>
    </w:p>
    <w:tbl>
      <w:tblPr>
        <w:tblW w:w="3373" w:type="dxa"/>
        <w:jc w:val="left"/>
        <w:tblInd w:w="0" w:type="dxa"/>
        <w:tblLayout w:type="fixed"/>
        <w:tblCellMar>
          <w:top w:w="28" w:type="dxa"/>
          <w:left w:w="28" w:type="dxa"/>
          <w:bottom w:w="28" w:type="dxa"/>
          <w:right w:w="28" w:type="dxa"/>
        </w:tblCellMar>
      </w:tblPr>
      <w:tblGrid>
        <w:gridCol w:w="646"/>
        <w:gridCol w:w="146"/>
        <w:gridCol w:w="258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1" w:type="dxa"/>
            <w:tcBorders/>
            <w:vAlign w:val="center"/>
          </w:tcPr>
          <w:p>
            <w:pPr>
              <w:pStyle w:val="TableContents"/>
              <w:bidi w:val="0"/>
              <w:spacing w:before="0" w:after="283"/>
              <w:jc w:val="left"/>
              <w:rPr/>
            </w:pPr>
            <w:r>
              <w:rPr/>
              <w:t> </w:t>
            </w:r>
          </w:p>
        </w:tc>
      </w:tr>
      <w:tr>
        <w:trPr/>
        <w:tc>
          <w:tcPr>
            <w:tcW w:w="3373"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EXECUTIVE</w:t>
            </w:r>
          </w:p>
        </w:tc>
      </w:tr>
      <w:tr>
        <w:trPr/>
        <w:tc>
          <w:tcPr>
            <w:tcW w:w="646" w:type="dxa"/>
            <w:tcBorders/>
            <w:vAlign w:val="center"/>
          </w:tcPr>
          <w:p>
            <w:pPr>
              <w:pStyle w:val="TableContents"/>
              <w:bidi w:val="0"/>
              <w:spacing w:before="0" w:after="283"/>
              <w:jc w:val="left"/>
              <w:rPr/>
            </w:pPr>
            <w:r>
              <w:rPr/>
              <w:t> </w:t>
            </w:r>
          </w:p>
        </w:tc>
        <w:tc>
          <w:tcPr>
            <w:tcW w:w="2727" w:type="dxa"/>
            <w:gridSpan w:val="2"/>
            <w:tcBorders/>
            <w:vAlign w:val="center"/>
          </w:tcPr>
          <w:p>
            <w:pPr>
              <w:pStyle w:val="TableContents"/>
              <w:bidi w:val="0"/>
              <w:spacing w:before="0" w:after="283"/>
              <w:jc w:val="left"/>
              <w:rPr/>
            </w:pPr>
            <w:r>
              <w:rPr/>
              <w:t> </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 xml:space="preserve">/s/ Hiroomi Tada, M.D., Ph.D. </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Hiroomi Tada, M.D., Ph.D.</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vAlign w:val="center"/>
          </w:tcPr>
          <w:p>
            <w:pPr>
              <w:pStyle w:val="TableContents"/>
              <w:bidi w:val="0"/>
              <w:spacing w:before="0" w:after="283"/>
              <w:jc w:val="left"/>
              <w:rPr/>
            </w:pPr>
            <w:r>
              <w:rPr/>
              <w:t> </w:t>
            </w:r>
          </w:p>
        </w:tc>
        <w:tc>
          <w:tcPr>
            <w:tcW w:w="2581" w:type="dxa"/>
            <w:tcBorders/>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August 4, 2024</w:t>
            </w:r>
          </w:p>
        </w:tc>
      </w:tr>
    </w:tbl>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APPENDIX I</w:t>
      </w:r>
    </w:p>
    <w:p>
      <w:pPr>
        <w:pStyle w:val="TextBody"/>
        <w:bidi w:val="0"/>
        <w:jc w:val="center"/>
        <w:rPr>
          <w:rFonts w:ascii="Times New Roman" w:hAnsi="Times New Roman"/>
          <w:b/>
          <w:color w:val="000000"/>
          <w:sz w:val="20"/>
        </w:rPr>
      </w:pPr>
      <w:r>
        <w:rPr>
          <w:rFonts w:ascii="Times New Roman" w:hAnsi="Times New Roman"/>
          <w:b/>
          <w:color w:val="000000"/>
          <w:sz w:val="20"/>
        </w:rPr>
        <w:t>DEFINITIONS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defined terms used in this Appendix I that are not otherwise defined in this Appendix I shall have the meaning ascribed to such terms in the Employment Agreement to which this Appendix I relates.</w:t>
      </w:r>
    </w:p>
    <w:p>
      <w:pPr>
        <w:pStyle w:val="TextBody"/>
        <w:bidi w:val="0"/>
        <w:spacing w:before="240" w:after="283"/>
        <w:jc w:val="left"/>
        <w:rPr/>
      </w:pPr>
      <w:r>
        <w:rPr>
          <w:color w:val="000000"/>
        </w:rPr>
        <w:t>“</w:t>
      </w:r>
      <w:r>
        <w:rPr>
          <w:rFonts w:ascii="Times New Roman" w:hAnsi="Times New Roman"/>
          <w:b/>
          <w:color w:val="000000"/>
          <w:sz w:val="20"/>
          <w:u w:val="single"/>
        </w:rPr>
        <w:t>Cause</w:t>
      </w:r>
      <w:r>
        <w:rPr>
          <w:rFonts w:ascii="Times New Roman" w:hAnsi="Times New Roman"/>
          <w:color w:val="000000"/>
          <w:sz w:val="20"/>
        </w:rPr>
        <w:t>” shall mean the occurrence of any one or more of the following events or conditions:</w:t>
      </w:r>
    </w:p>
    <w:p>
      <w:pPr>
        <w:pStyle w:val="TextBody"/>
        <w:bidi w:val="0"/>
        <w:spacing w:before="240" w:after="283"/>
        <w:jc w:val="left"/>
        <w:rPr>
          <w:rFonts w:ascii="Times New Roman" w:hAnsi="Times New Roman"/>
          <w:sz w:val="20"/>
        </w:rPr>
      </w:pPr>
      <w:r>
        <w:rPr>
          <w:rFonts w:ascii="Times New Roman" w:hAnsi="Times New Roman"/>
          <w:b/>
          <w:color w:val="000000"/>
          <w:sz w:val="20"/>
        </w:rPr>
        <w:t>(i)</w:t>
      </w:r>
      <w:r>
        <w:rPr>
          <w:rFonts w:ascii="Times New Roman" w:hAnsi="Times New Roman"/>
          <w:color w:val="000000"/>
          <w:sz w:val="20"/>
        </w:rPr>
        <w:t xml:space="preserve"> any material failure on the part of Executive (other than by reason of Disability of Executive) to faithfully and professionally carry out Executive’s duties which failure continues for ten (10) days after written notice detailing such failure is delivered to Executive by the Company;</w:t>
      </w:r>
    </w:p>
    <w:p>
      <w:pPr>
        <w:pStyle w:val="TextBody"/>
        <w:bidi w:val="0"/>
        <w:spacing w:before="240" w:after="283"/>
        <w:jc w:val="left"/>
        <w:rPr>
          <w:rFonts w:ascii="Times New Roman" w:hAnsi="Times New Roman"/>
          <w:sz w:val="20"/>
        </w:rPr>
      </w:pPr>
      <w:r>
        <w:rPr>
          <w:rFonts w:ascii="Times New Roman" w:hAnsi="Times New Roman"/>
          <w:b/>
          <w:color w:val="000000"/>
          <w:sz w:val="20"/>
        </w:rPr>
        <w:t>(ii)</w:t>
      </w:r>
      <w:r>
        <w:rPr>
          <w:rFonts w:ascii="Times New Roman" w:hAnsi="Times New Roman"/>
          <w:color w:val="000000"/>
          <w:sz w:val="20"/>
        </w:rPr>
        <w:t xml:space="preserve"> Executive’s dishonesty or other misconduct, if such dishonesty or other misconduct is intended to or likely to materially injure the business or reputation of the Company;</w:t>
      </w:r>
    </w:p>
    <w:p>
      <w:pPr>
        <w:pStyle w:val="TextBody"/>
        <w:bidi w:val="0"/>
        <w:spacing w:before="240" w:after="283"/>
        <w:jc w:val="left"/>
        <w:rPr>
          <w:rFonts w:ascii="Times New Roman" w:hAnsi="Times New Roman"/>
          <w:sz w:val="20"/>
        </w:rPr>
      </w:pPr>
      <w:r>
        <w:rPr>
          <w:rFonts w:ascii="Times New Roman" w:hAnsi="Times New Roman"/>
          <w:b/>
          <w:color w:val="000000"/>
          <w:sz w:val="20"/>
        </w:rPr>
        <w:t>(iii)</w:t>
      </w:r>
      <w:r>
        <w:rPr>
          <w:rFonts w:ascii="Times New Roman" w:hAnsi="Times New Roman"/>
          <w:color w:val="000000"/>
          <w:sz w:val="20"/>
        </w:rPr>
        <w:t xml:space="preserve"> Executive’s conviction or no contest plea to any misdemeanor involving dishonesty, theft, fraud or moral turpitude, or any felony.</w:t>
      </w:r>
    </w:p>
    <w:p>
      <w:pPr>
        <w:pStyle w:val="TextBody"/>
        <w:bidi w:val="0"/>
        <w:spacing w:before="240" w:after="283"/>
        <w:jc w:val="left"/>
        <w:rPr>
          <w:rFonts w:ascii="Times New Roman" w:hAnsi="Times New Roman"/>
          <w:sz w:val="20"/>
        </w:rPr>
      </w:pPr>
      <w:r>
        <w:rPr>
          <w:rFonts w:ascii="Times New Roman" w:hAnsi="Times New Roman"/>
          <w:b/>
          <w:color w:val="000000"/>
          <w:sz w:val="20"/>
        </w:rPr>
        <w:t>(iv)</w:t>
      </w:r>
      <w:r>
        <w:rPr>
          <w:rFonts w:ascii="Times New Roman" w:hAnsi="Times New Roman"/>
          <w:color w:val="000000"/>
          <w:sz w:val="20"/>
        </w:rPr>
        <w:t xml:space="preserve"> Executive’s insobriety or illegal use of drugs, chemicals or controlled substances either (A) in the course of performing Executive’s duties and responsibilities under this Agreement or (B) otherwise materially affecting the ability of Executive to perform the same; </w:t>
      </w:r>
    </w:p>
    <w:p>
      <w:pPr>
        <w:pStyle w:val="TextBody"/>
        <w:bidi w:val="0"/>
        <w:spacing w:before="240" w:after="283"/>
        <w:jc w:val="left"/>
        <w:rPr>
          <w:rFonts w:ascii="Times New Roman" w:hAnsi="Times New Roman"/>
          <w:sz w:val="20"/>
        </w:rPr>
      </w:pPr>
      <w:r>
        <w:rPr>
          <w:rFonts w:ascii="Times New Roman" w:hAnsi="Times New Roman"/>
          <w:b/>
          <w:color w:val="000000"/>
          <w:sz w:val="20"/>
        </w:rPr>
        <w:t>(v)</w:t>
      </w:r>
      <w:r>
        <w:rPr>
          <w:rFonts w:ascii="Times New Roman" w:hAnsi="Times New Roman"/>
          <w:color w:val="000000"/>
          <w:sz w:val="20"/>
        </w:rPr>
        <w:t xml:space="preserve"> on or after the Effective Date, Executive’s material breach of any written agreement with the Company or any of its affiliates or material violation of the Company’s Code of Conduct or any other material written policy of the Company if such breach is intended to or likely to materially injure the business or reputation of the Company; or</w:t>
      </w:r>
    </w:p>
    <w:p>
      <w:pPr>
        <w:pStyle w:val="TextBody"/>
        <w:bidi w:val="0"/>
        <w:spacing w:before="240" w:after="283"/>
        <w:jc w:val="left"/>
        <w:rPr>
          <w:rFonts w:ascii="Times New Roman" w:hAnsi="Times New Roman"/>
          <w:sz w:val="20"/>
        </w:rPr>
      </w:pPr>
      <w:r>
        <w:rPr>
          <w:rFonts w:ascii="Times New Roman" w:hAnsi="Times New Roman"/>
          <w:b/>
          <w:color w:val="000000"/>
          <w:sz w:val="20"/>
        </w:rPr>
        <w:t>(vi)</w:t>
      </w:r>
      <w:r>
        <w:rPr>
          <w:rFonts w:ascii="Times New Roman" w:hAnsi="Times New Roman"/>
          <w:color w:val="000000"/>
          <w:sz w:val="20"/>
        </w:rPr>
        <w:t xml:space="preserve"> any wanton or willful dereliction of duties by Executive if Executive’s actions are intended to or likely to materially injure the business or reputation of the Company.</w:t>
      </w:r>
    </w:p>
    <w:p>
      <w:pPr>
        <w:pStyle w:val="TextBody"/>
        <w:bidi w:val="0"/>
        <w:spacing w:before="240" w:after="283"/>
        <w:jc w:val="left"/>
        <w:rPr/>
      </w:pPr>
      <w:r>
        <w:rPr>
          <w:color w:val="000000"/>
        </w:rPr>
        <w:t>“</w:t>
      </w:r>
      <w:r>
        <w:rPr>
          <w:rFonts w:ascii="Times New Roman" w:hAnsi="Times New Roman"/>
          <w:b/>
          <w:color w:val="000000"/>
          <w:sz w:val="20"/>
          <w:u w:val="single"/>
        </w:rPr>
        <w:t>Change in Control</w:t>
      </w:r>
      <w:r>
        <w:rPr>
          <w:rFonts w:ascii="Times New Roman" w:hAnsi="Times New Roman"/>
          <w:color w:val="000000"/>
          <w:sz w:val="20"/>
        </w:rPr>
        <w:t>” shall have the meaning given to such term in the Company’s 2021 Incentive Award Plan. Notwithstanding the foregoing, if a Change in Control constitutes a payment event with respect to any amount hereunder that provides for the deferral of compensation that is subject to Section 409A, to the extent required to avoid the imposition of additional taxes under Section 409A, the transaction or event shall only constitute a Change in Control for purposes of the payment timing of such amount if such transaction also constitutes a “change in control event,” as defined in Treasury Regulation Section 1.409A-3(i)(5).</w:t>
      </w:r>
    </w:p>
    <w:p>
      <w:pPr>
        <w:pStyle w:val="TextBody"/>
        <w:bidi w:val="0"/>
        <w:spacing w:before="240" w:after="283"/>
        <w:jc w:val="left"/>
        <w:rPr/>
      </w:pPr>
      <w:r>
        <w:rPr>
          <w:color w:val="000000"/>
        </w:rPr>
        <w:t>“</w:t>
      </w:r>
      <w:r>
        <w:rPr>
          <w:rFonts w:ascii="Times New Roman" w:hAnsi="Times New Roman"/>
          <w:b/>
          <w:color w:val="000000"/>
          <w:sz w:val="20"/>
          <w:u w:val="single"/>
        </w:rPr>
        <w:t>Disability</w:t>
      </w:r>
      <w:r>
        <w:rPr>
          <w:rFonts w:ascii="Times New Roman" w:hAnsi="Times New Roman"/>
          <w:color w:val="000000"/>
          <w:sz w:val="20"/>
        </w:rPr>
        <w:t>” shall mean permanent and total disability within the meaning of Section 22(e) of the Code.</w:t>
      </w:r>
    </w:p>
    <w:p>
      <w:pPr>
        <w:pStyle w:val="TextBody"/>
        <w:bidi w:val="0"/>
        <w:spacing w:before="240" w:after="283"/>
        <w:jc w:val="left"/>
        <w:rPr/>
      </w:pPr>
      <w:r>
        <w:rPr>
          <w:color w:val="000000"/>
        </w:rPr>
        <w:t>“</w:t>
      </w:r>
      <w:r>
        <w:rPr>
          <w:rFonts w:ascii="Times New Roman" w:hAnsi="Times New Roman"/>
          <w:b/>
          <w:color w:val="000000"/>
          <w:sz w:val="20"/>
          <w:u w:val="single"/>
        </w:rPr>
        <w:t>Good Reason</w:t>
      </w:r>
      <w:r>
        <w:rPr>
          <w:rFonts w:ascii="Times New Roman" w:hAnsi="Times New Roman"/>
          <w:color w:val="000000"/>
          <w:sz w:val="20"/>
        </w:rPr>
        <w:t>” shall mean any one of the following: (i) the material reduction of Executive’s Annual Base Salary (other than as part of a reduction in the base salaries of all or substantially all other similarly situated employees of the Company that is in the same proportion as the reduction in Executive’s Annual Base Salary); (ii) the Company’s material breach of this Agreement (other than a reduction of Executive’s Annual Base Salary as part of a reduction in the base salaries of all or substantially all other similarly situated employees of the Company that is in the same proportion as the reduction in Executive’s Annual Base Salary); or (iii) the permanent, non-voluntary relocation of Executive’s principal place of employment that increases Executive’s one-way commute by more than thirty-five (35) miles, provided, that, in each case, Executive will not be deemed to have Good Reason unless (A) Executive first provides the Board with written notice of the condition giving rise to Good Reason within thirty (30) days of its initial occurrence, (B) the Company or the successor company fails to cure such condition within ten (10) days after receiving such written notice (the “</w:t>
      </w:r>
      <w:r>
        <w:rPr>
          <w:rFonts w:ascii="Times New Roman" w:hAnsi="Times New Roman"/>
          <w:b/>
          <w:color w:val="000000"/>
          <w:sz w:val="20"/>
          <w:u w:val="single"/>
        </w:rPr>
        <w:t>Cure Period</w:t>
      </w:r>
      <w:r>
        <w:rPr>
          <w:rFonts w:ascii="Times New Roman" w:hAnsi="Times New Roman"/>
          <w:color w:val="000000"/>
          <w:sz w:val="20"/>
        </w:rPr>
        <w:t>”), and (C) Executive’s resignation based on such Good Reason is effective within thirty (30) days after the expiration of the Cure Period.</w:t>
      </w:r>
    </w:p>
    <w:p>
      <w:pPr>
        <w:pStyle w:val="TextBody"/>
        <w:bidi w:val="0"/>
        <w:spacing w:before="240" w:after="283"/>
        <w:jc w:val="left"/>
        <w:rPr/>
      </w:pPr>
      <w:r>
        <w:rPr>
          <w:color w:val="000000"/>
        </w:rPr>
        <w:t>“</w:t>
      </w:r>
      <w:r>
        <w:rPr>
          <w:rFonts w:ascii="Times New Roman" w:hAnsi="Times New Roman"/>
          <w:b/>
          <w:color w:val="000000"/>
          <w:sz w:val="20"/>
          <w:u w:val="single"/>
        </w:rPr>
        <w:t>Involuntary Termination</w:t>
      </w:r>
      <w:r>
        <w:rPr>
          <w:rFonts w:ascii="Times New Roman" w:hAnsi="Times New Roman"/>
          <w:color w:val="000000"/>
          <w:sz w:val="20"/>
        </w:rPr>
        <w:t>” shall mean Executive’s termination (A) by the Company without Cause, (B) by the Executive for Good Reason, (C) due to death or (D) due to Disability. In no event will Executive’s voluntary resignation without Good Reason be considered an Involuntary Termination.</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b/>
          <w:color w:val="000000"/>
          <w:sz w:val="20"/>
          <w:u w:val="single"/>
        </w:rPr>
        <w:t>Person</w:t>
      </w:r>
      <w:r>
        <w:rPr>
          <w:rFonts w:ascii="Times New Roman" w:hAnsi="Times New Roman"/>
          <w:color w:val="000000"/>
          <w:sz w:val="20"/>
        </w:rPr>
        <w:t>” shall mean any individual, corporation, limited liability corporation, partnership, or other business entity.</w:t>
      </w:r>
    </w:p>
    <w:p>
      <w:pPr>
        <w:pStyle w:val="TextBody"/>
        <w:bidi w:val="0"/>
        <w:spacing w:before="0" w:after="24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Exhibit A</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GENERAL RELEASE OF CLAIMS</w:t>
      </w:r>
    </w:p>
    <w:p>
      <w:pPr>
        <w:pStyle w:val="TextBody"/>
        <w:bidi w:val="0"/>
        <w:spacing w:before="0" w:after="240"/>
        <w:jc w:val="left"/>
        <w:rPr>
          <w:rFonts w:ascii="Times New Roman" w:hAnsi="Times New Roman"/>
          <w:sz w:val="20"/>
        </w:rPr>
      </w:pPr>
      <w:r>
        <w:rPr>
          <w:rFonts w:ascii="Times New Roman" w:hAnsi="Times New Roman"/>
          <w:color w:val="000000"/>
          <w:sz w:val="20"/>
        </w:rPr>
        <w:t>This General Release of Claims (“</w:t>
      </w:r>
      <w:r>
        <w:rPr>
          <w:rFonts w:ascii="Times New Roman" w:hAnsi="Times New Roman"/>
          <w:color w:val="000000"/>
          <w:sz w:val="20"/>
          <w:u w:val="single"/>
        </w:rPr>
        <w:t>Release</w:t>
      </w:r>
      <w:r>
        <w:rPr>
          <w:rFonts w:ascii="Times New Roman" w:hAnsi="Times New Roman"/>
          <w:color w:val="000000"/>
          <w:sz w:val="20"/>
        </w:rPr>
        <w:t>”) is entered into as of this _____ day of ________, ____, between Hiroomi Tada, M.D., Ph.D. (“</w:t>
      </w:r>
      <w:r>
        <w:rPr>
          <w:rFonts w:ascii="Times New Roman" w:hAnsi="Times New Roman"/>
          <w:color w:val="000000"/>
          <w:sz w:val="20"/>
          <w:u w:val="single"/>
        </w:rPr>
        <w:t>Executive</w:t>
      </w:r>
      <w:r>
        <w:rPr>
          <w:rFonts w:ascii="Times New Roman" w:hAnsi="Times New Roman"/>
          <w:color w:val="000000"/>
          <w:sz w:val="20"/>
        </w:rPr>
        <w:t>”), and Tyra Biosciences, Inc. (the “</w:t>
      </w:r>
      <w:r>
        <w:rPr>
          <w:rFonts w:ascii="Times New Roman" w:hAnsi="Times New Roman"/>
          <w:color w:val="000000"/>
          <w:sz w:val="20"/>
          <w:u w:val="single"/>
        </w:rPr>
        <w:t>Company</w:t>
      </w:r>
      <w:r>
        <w:rPr>
          <w:rFonts w:ascii="Times New Roman" w:hAnsi="Times New Roman"/>
          <w:color w:val="000000"/>
          <w:sz w:val="20"/>
        </w:rPr>
        <w:t>”). Executive and the Company are referred to herein as the “</w:t>
      </w:r>
      <w:r>
        <w:rPr>
          <w:rFonts w:ascii="Times New Roman" w:hAnsi="Times New Roman"/>
          <w:color w:val="000000"/>
          <w:sz w:val="20"/>
          <w:u w:val="single"/>
        </w:rPr>
        <w:t>Parties</w:t>
      </w:r>
      <w:r>
        <w:rPr>
          <w:rFonts w:ascii="Times New Roman" w:hAnsi="Times New Roman"/>
          <w:color w:val="000000"/>
          <w:sz w:val="20"/>
        </w:rPr>
        <w:t>.” Capitalized terms used herein and not otherwise defined shall have those meanings set forth in the Transition Agreement.</w:t>
      </w:r>
    </w:p>
    <w:p>
      <w:pPr>
        <w:pStyle w:val="TextBody"/>
        <w:bidi w:val="0"/>
        <w:spacing w:before="0" w:after="240"/>
        <w:jc w:val="left"/>
        <w:rPr>
          <w:rFonts w:ascii="Times New Roman" w:hAnsi="Times New Roman"/>
          <w:sz w:val="20"/>
        </w:rPr>
      </w:pPr>
      <w:r>
        <w:rPr>
          <w:rFonts w:ascii="Times New Roman" w:hAnsi="Times New Roman"/>
          <w:color w:val="000000"/>
          <w:sz w:val="20"/>
        </w:rPr>
        <w:t>WHEREAS, Executive and the Company are parties to that certain Transition Agreement dated as of August 3, 2024 (the “</w:t>
      </w:r>
      <w:r>
        <w:rPr>
          <w:rFonts w:ascii="Times New Roman" w:hAnsi="Times New Roman"/>
          <w:color w:val="000000"/>
          <w:sz w:val="20"/>
          <w:u w:val="single"/>
        </w:rPr>
        <w:t>Transition Agreement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WHEREAS, the Parties agree that Executive is entitled to certain severance benefits under Section 6(c) of the Transition Agreement, subject to the effectiveness of this Release;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WHEREAS, the Company and Executive now wish to fully and finally to resolve all matters between them.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NOW, THEREFORE, in consideration of, and subject to, the severance benefits payable to Executive pursuant to Section 6(c) of the Transition Agreement, the adequacy of which is hereby acknowledged by Executive, and which Executive acknowledges that he would not otherwise be entitled to receive, Executive and the Company hereby agree as follows:</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1.</w:t>
      </w:r>
    </w:p>
    <w:p>
      <w:pPr>
        <w:pStyle w:val="TextBody"/>
        <w:bidi w:val="0"/>
        <w:spacing w:before="0" w:after="240"/>
        <w:jc w:val="left"/>
        <w:rPr/>
      </w:pPr>
      <w:r>
        <w:rPr>
          <w:rFonts w:ascii="Times New Roman" w:hAnsi="Times New Roman"/>
          <w:b/>
          <w:color w:val="000000"/>
          <w:sz w:val="20"/>
          <w:u w:val="single"/>
        </w:rPr>
        <w:t>Release of Known and Unknown Claims By Executive</w:t>
      </w:r>
      <w:r>
        <w:rPr>
          <w:rFonts w:ascii="Times New Roman" w:hAnsi="Times New Roman"/>
          <w:color w:val="000000"/>
          <w:sz w:val="20"/>
        </w:rPr>
        <w:t xml:space="preserve">.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40" w:after="240"/>
        <w:jc w:val="left"/>
        <w:rPr/>
      </w:pPr>
      <w:r>
        <w:rPr>
          <w:rFonts w:ascii="Times New Roman" w:hAnsi="Times New Roman"/>
          <w:color w:val="000000"/>
          <w:sz w:val="20"/>
        </w:rPr>
        <w:t>In exchange for the severance benefits payable to Executive pursuant to Section 6(c) of the Transition Agreement, and in consideration of the further agreements and promises set forth herein, Executive, on behalf of himself and his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shareholders, officers, general or limited partners, employees, attorneys, agents and representatives, and the employee benefit plans in which Executive is or has been a participant by virtue of his employment with or service to the Company (collectively, the “</w:t>
      </w:r>
      <w:r>
        <w:rPr>
          <w:rFonts w:ascii="Times New Roman" w:hAnsi="Times New Roman"/>
          <w:color w:val="000000"/>
          <w:sz w:val="20"/>
          <w:u w:val="single"/>
        </w:rPr>
        <w:t>Company Releasees</w:t>
      </w:r>
      <w:r>
        <w:rPr>
          <w:color w:val="000000"/>
        </w:rPr>
        <w:t>”</w:t>
      </w:r>
      <w:r>
        <w:rPr>
          <w:rFonts w:ascii="Times New Roman" w:hAnsi="Times New Roman"/>
          <w:color w:val="000000"/>
          <w:sz w:val="20"/>
        </w:rPr>
        <w:t>), from any and all claims, debts, demands, accounts, judgments, rights, causes of action, equitable relief, damages, costs, charges, complaints, obligations, promises, agreements, controversies, suits, expenses, compensation, responsibility and liability of every kind and character whatsoever (including attorneys’ fees and costs), whether in law or equity, known or unknown, asserted or unasserted, suspected or unsuspected (collectively, “</w:t>
      </w:r>
      <w:r>
        <w:rPr>
          <w:rFonts w:ascii="Times New Roman" w:hAnsi="Times New Roman"/>
          <w:color w:val="000000"/>
          <w:sz w:val="20"/>
          <w:u w:val="single"/>
        </w:rPr>
        <w:t>Claims</w:t>
      </w:r>
      <w:r>
        <w:rPr>
          <w:color w:val="000000"/>
        </w:rPr>
        <w:t>”</w:t>
      </w:r>
      <w:r>
        <w:rPr>
          <w:rFonts w:ascii="Times New Roman" w:hAnsi="Times New Roman"/>
          <w:color w:val="000000"/>
          <w:sz w:val="20"/>
        </w:rPr>
        <w:t xml:space="preserve">), which Executive has or may have had against such entities based on any events or circumstances arising or occurring on or prior to the date hereof, arising directly or indirectly out of, relating to, or in any other way involving in any manner whatsoever Executive’s employment by or service to the Company or the 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the Americans with Disabilities Act, as amended, 42 U.S.C. § 12101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the Rehabilitation Act of 1973, as amended, 29 U.S.C. § 701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the Civil Rights Act of 1866, and the Civil Rights Act of 1991; 42 U.S.C. Section 1981,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the Age Discrimination in Employment Act, as amended, 29 U.S.C. Section 621,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(the “</w:t>
      </w:r>
      <w:r>
        <w:rPr>
          <w:rFonts w:ascii="Times New Roman" w:hAnsi="Times New Roman"/>
          <w:color w:val="000000"/>
          <w:sz w:val="20"/>
          <w:u w:val="single"/>
        </w:rPr>
        <w:t>ADEA</w:t>
      </w:r>
      <w:r>
        <w:rPr>
          <w:color w:val="000000"/>
        </w:rPr>
        <w:t>”</w:t>
      </w:r>
      <w:r>
        <w:rPr>
          <w:rFonts w:ascii="Times New Roman" w:hAnsi="Times New Roman"/>
          <w:color w:val="000000"/>
          <w:sz w:val="20"/>
        </w:rPr>
        <w:t xml:space="preserve">); the Equal Pay Act, as amended, 29 U.S.C. Section 206(d); regulations of the Office of Federal Contract Compliance, 41 C.F.R. Section 60,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the Family and Medical Leave Act, as amended, 29 U.S.C. § 2601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the Fair Labor Standards Act of 1938, as amended, 29 U.S.C. § 201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the Employee Retirement Income Security Act, as amended, 29 U.S.C. § 1001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xml:space="preserve">.; and the California Fair Employment and Housing Act, California Government Code Section 12940, </w:t>
      </w:r>
      <w:r>
        <w:rPr>
          <w:rFonts w:ascii="Times New Roman" w:hAnsi="Times New Roman"/>
          <w:color w:val="000000"/>
          <w:sz w:val="20"/>
          <w:u w:val="single"/>
        </w:rPr>
        <w:t>et</w:t>
      </w:r>
      <w:r>
        <w:rPr>
          <w:color w:val="000000"/>
        </w:rPr>
        <w:t xml:space="preserve"> </w:t>
      </w:r>
      <w:r>
        <w:rPr>
          <w:rFonts w:ascii="Times New Roman" w:hAnsi="Times New Roman"/>
          <w:color w:val="000000"/>
          <w:sz w:val="20"/>
          <w:u w:val="single"/>
        </w:rPr>
        <w:t>seq</w:t>
      </w:r>
      <w:r>
        <w:rPr>
          <w:rFonts w:ascii="Times New Roman" w:hAnsi="Times New Roman"/>
          <w:color w:val="000000"/>
          <w:sz w:val="20"/>
        </w:rPr>
        <w:t>. Executive represents and warrants that he is the sole owner of all Claims relating to his employment or service with the Company and/or with any predecessor of the Company and that he has not assigned or transferred any Claims relating to his employment or service to any other person or entity. Executive understands and agrees that the Agreement will not be construed at any time as an admission of liability or wrongdoing by either the Company or Executive.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Notwithstanding the generality of the foregoing, Executive does not release any Claims which, by law, may not be released, including the following claims:</w:t>
      </w:r>
    </w:p>
    <w:p>
      <w:pPr>
        <w:pStyle w:val="TextBody"/>
        <w:bidi w:val="0"/>
        <w:spacing w:before="0" w:after="240"/>
        <w:jc w:val="left"/>
        <w:rPr>
          <w:rFonts w:ascii="Times New Roman" w:hAnsi="Times New Roman"/>
          <w:sz w:val="20"/>
        </w:rPr>
      </w:pPr>
      <w:r>
        <w:rPr>
          <w:rFonts w:ascii="Times New Roman" w:hAnsi="Times New Roman"/>
          <w:b/>
          <w:color w:val="000000"/>
          <w:sz w:val="20"/>
        </w:rPr>
        <w:t>(i)</w:t>
      </w:r>
      <w:r>
        <w:rPr>
          <w:rFonts w:ascii="Times New Roman" w:hAnsi="Times New Roman"/>
          <w:color w:val="000000"/>
          <w:sz w:val="20"/>
        </w:rPr>
        <w:t xml:space="preserve"> Claims for unemployment compensation or any state disability insurance benefits pursuant to the terms of applicable state law; </w:t>
      </w:r>
    </w:p>
    <w:p>
      <w:pPr>
        <w:pStyle w:val="TextBody"/>
        <w:bidi w:val="0"/>
        <w:spacing w:before="0" w:after="240"/>
        <w:jc w:val="left"/>
        <w:rPr>
          <w:rFonts w:ascii="Times New Roman" w:hAnsi="Times New Roman"/>
          <w:sz w:val="20"/>
        </w:rPr>
      </w:pPr>
      <w:r>
        <w:rPr>
          <w:rFonts w:ascii="Times New Roman" w:hAnsi="Times New Roman"/>
          <w:b/>
          <w:color w:val="000000"/>
          <w:sz w:val="20"/>
        </w:rPr>
        <w:t>(ii)</w:t>
      </w:r>
      <w:r>
        <w:rPr>
          <w:rFonts w:ascii="Times New Roman" w:hAnsi="Times New Roman"/>
          <w:color w:val="000000"/>
          <w:sz w:val="20"/>
        </w:rPr>
        <w:t xml:space="preserve"> Claims for workers’ compensation insurance benefits under the terms of any worker’s compensation insurance policy or fund of the Company; </w:t>
      </w:r>
    </w:p>
    <w:p>
      <w:pPr>
        <w:pStyle w:val="TextBody"/>
        <w:bidi w:val="0"/>
        <w:spacing w:before="0" w:after="240"/>
        <w:jc w:val="left"/>
        <w:rPr>
          <w:rFonts w:ascii="Times New Roman" w:hAnsi="Times New Roman"/>
          <w:sz w:val="20"/>
        </w:rPr>
      </w:pPr>
      <w:r>
        <w:rPr>
          <w:rFonts w:ascii="Times New Roman" w:hAnsi="Times New Roman"/>
          <w:b/>
          <w:color w:val="000000"/>
          <w:sz w:val="20"/>
        </w:rPr>
        <w:t>(iii)</w:t>
      </w:r>
      <w:r>
        <w:rPr>
          <w:rFonts w:ascii="Times New Roman" w:hAnsi="Times New Roman"/>
          <w:color w:val="000000"/>
          <w:sz w:val="20"/>
        </w:rPr>
        <w:t xml:space="preserve"> Claims pursuant to the terms and conditions of the federal law known as COBRA;</w:t>
      </w:r>
    </w:p>
    <w:p>
      <w:pPr>
        <w:pStyle w:val="TextBody"/>
        <w:bidi w:val="0"/>
        <w:spacing w:before="0" w:after="240"/>
        <w:jc w:val="left"/>
        <w:rPr>
          <w:rFonts w:ascii="Times New Roman" w:hAnsi="Times New Roman"/>
          <w:sz w:val="20"/>
        </w:rPr>
      </w:pPr>
      <w:r>
        <w:rPr>
          <w:rFonts w:ascii="Times New Roman" w:hAnsi="Times New Roman"/>
          <w:b/>
          <w:color w:val="000000"/>
          <w:sz w:val="20"/>
        </w:rPr>
        <w:t>(iv)</w:t>
      </w:r>
      <w:r>
        <w:rPr>
          <w:rFonts w:ascii="Times New Roman" w:hAnsi="Times New Roman"/>
          <w:color w:val="000000"/>
          <w:sz w:val="20"/>
        </w:rPr>
        <w:t xml:space="preserve"> Claims for indemnity under the bylaws of the Company, as provided for by Delaware law or the Indemnification Agreement, or under any applicable insurance policy with respect to Executive’s liability as an employee or officer of the Company;</w:t>
      </w:r>
    </w:p>
    <w:p>
      <w:pPr>
        <w:pStyle w:val="TextBody"/>
        <w:bidi w:val="0"/>
        <w:spacing w:before="0" w:after="240"/>
        <w:jc w:val="left"/>
        <w:rPr>
          <w:rFonts w:ascii="Times New Roman" w:hAnsi="Times New Roman"/>
          <w:sz w:val="20"/>
        </w:rPr>
      </w:pPr>
      <w:r>
        <w:rPr>
          <w:rFonts w:ascii="Times New Roman" w:hAnsi="Times New Roman"/>
          <w:b/>
          <w:color w:val="000000"/>
          <w:sz w:val="20"/>
        </w:rPr>
        <w:t>(v)</w:t>
      </w:r>
      <w:r>
        <w:rPr>
          <w:rFonts w:ascii="Times New Roman" w:hAnsi="Times New Roman"/>
          <w:color w:val="000000"/>
          <w:sz w:val="20"/>
        </w:rPr>
        <w:t xml:space="preserve"> Executive’s right to bring to the attention of the Equal Employment Opportunity Commission,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Executive does release his right to secure any damages for alleged discriminatory treatment;</w:t>
      </w:r>
    </w:p>
    <w:p>
      <w:pPr>
        <w:pStyle w:val="TextBody"/>
        <w:bidi w:val="0"/>
        <w:spacing w:before="0" w:after="240"/>
        <w:jc w:val="left"/>
        <w:rPr>
          <w:rFonts w:ascii="Times New Roman" w:hAnsi="Times New Roman"/>
          <w:sz w:val="20"/>
        </w:rPr>
      </w:pPr>
      <w:r>
        <w:rPr>
          <w:rFonts w:ascii="Times New Roman" w:hAnsi="Times New Roman"/>
          <w:b/>
          <w:color w:val="000000"/>
          <w:sz w:val="20"/>
        </w:rPr>
        <w:t>(vi)</w:t>
      </w:r>
      <w:r>
        <w:rPr>
          <w:rFonts w:ascii="Times New Roman" w:hAnsi="Times New Roman"/>
          <w:color w:val="000000"/>
          <w:sz w:val="20"/>
        </w:rPr>
        <w:t xml:space="preserve"> Claims based on any right Executive may have to enforce the Company’s executory obligations under the Transition Agreement; </w:t>
      </w:r>
    </w:p>
    <w:p>
      <w:pPr>
        <w:pStyle w:val="TextBody"/>
        <w:bidi w:val="0"/>
        <w:spacing w:before="0" w:after="240"/>
        <w:jc w:val="left"/>
        <w:rPr>
          <w:rFonts w:ascii="Times New Roman" w:hAnsi="Times New Roman"/>
          <w:sz w:val="20"/>
        </w:rPr>
      </w:pPr>
      <w:r>
        <w:rPr>
          <w:rFonts w:ascii="Times New Roman" w:hAnsi="Times New Roman"/>
          <w:b/>
          <w:color w:val="000000"/>
          <w:sz w:val="20"/>
        </w:rPr>
        <w:t>(vii)</w:t>
      </w:r>
      <w:r>
        <w:rPr>
          <w:rFonts w:ascii="Times New Roman" w:hAnsi="Times New Roman"/>
          <w:color w:val="000000"/>
          <w:sz w:val="20"/>
        </w:rPr>
        <w:t xml:space="preserve"> Claims Executive may have to vested or earned compensation and benefits; and</w:t>
      </w:r>
    </w:p>
    <w:p>
      <w:pPr>
        <w:pStyle w:val="TextBody"/>
        <w:bidi w:val="0"/>
        <w:spacing w:before="0" w:after="240"/>
        <w:jc w:val="left"/>
        <w:rPr>
          <w:rFonts w:ascii="Times New Roman" w:hAnsi="Times New Roman"/>
          <w:sz w:val="20"/>
        </w:rPr>
      </w:pPr>
      <w:r>
        <w:rPr>
          <w:rFonts w:ascii="Times New Roman" w:hAnsi="Times New Roman"/>
          <w:b/>
          <w:color w:val="000000"/>
          <w:sz w:val="20"/>
        </w:rPr>
        <w:t>(viii)</w:t>
      </w:r>
      <w:r>
        <w:rPr>
          <w:rFonts w:ascii="Times New Roman" w:hAnsi="Times New Roman"/>
          <w:color w:val="000000"/>
          <w:sz w:val="20"/>
        </w:rPr>
        <w:t xml:space="preserve"> Executive’s right to communicate or cooperate with any government agency.</w:t>
      </w:r>
    </w:p>
    <w:p>
      <w:pPr>
        <w:pStyle w:val="TextBody"/>
        <w:bidi w:val="0"/>
        <w:spacing w:before="0" w:after="240"/>
        <w:jc w:val="left"/>
        <w:rPr>
          <w:rFonts w:ascii="Times New Roman" w:hAnsi="Times New Roman"/>
          <w:b/>
          <w:caps/>
          <w:color w:val="000000"/>
          <w:sz w:val="20"/>
          <w:u w:val="single"/>
        </w:rPr>
      </w:pPr>
      <w:r>
        <w:rPr>
          <w:rFonts w:ascii="Times New Roman" w:hAnsi="Times New Roman"/>
          <w:b/>
          <w:caps/>
          <w:color w:val="000000"/>
          <w:sz w:val="20"/>
          <w:u w:val="single"/>
        </w:rPr>
        <w:t>(c)</w:t>
      </w:r>
    </w:p>
    <w:p>
      <w:pPr>
        <w:pStyle w:val="TextBody"/>
        <w:bidi w:val="0"/>
        <w:spacing w:before="0" w:after="240"/>
        <w:jc w:val="left"/>
        <w:rPr/>
      </w:pPr>
      <w:r>
        <w:rPr>
          <w:rFonts w:ascii="Times New Roman" w:hAnsi="Times New Roman"/>
          <w:color w:val="000000"/>
          <w:sz w:val="20"/>
          <w:u w:val="single"/>
        </w:rPr>
        <w:t>Unknown Claims</w:t>
      </w:r>
      <w:r>
        <w:rPr>
          <w:rFonts w:ascii="Times New Roman" w:hAnsi="Times New Roman"/>
          <w:color w:val="000000"/>
          <w:sz w:val="20"/>
        </w:rPr>
        <w:t xml:space="preserve">. </w:t>
      </w:r>
      <w:r>
        <w:rPr>
          <w:rFonts w:ascii="Times New Roman" w:hAnsi="Times New Roman"/>
          <w:caps/>
          <w:color w:val="000000"/>
          <w:sz w:val="20"/>
        </w:rPr>
        <w:t xml:space="preserve">Executive acknowledges that Executive has been advised of and is familiar with the provisions of California Civil Code section 1542, which provides as follows: </w:t>
      </w:r>
    </w:p>
    <w:p>
      <w:pPr>
        <w:pStyle w:val="TextBody"/>
        <w:bidi w:val="0"/>
        <w:spacing w:before="0" w:after="240"/>
        <w:jc w:val="both"/>
        <w:rPr>
          <w:color w:val="000000"/>
        </w:rPr>
      </w:pPr>
      <w:r>
        <w:rPr>
          <w:color w:val="000000"/>
        </w:rPr>
        <w:t>“</w:t>
      </w:r>
      <w:r>
        <w:rPr>
          <w:rFonts w:ascii="Times New Roman" w:hAnsi="Times New Roman"/>
          <w:color w:val="000000"/>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left"/>
        <w:rPr>
          <w:rFonts w:ascii="Times New Roman" w:hAnsi="Times New Roman"/>
          <w:caps/>
          <w:color w:val="000000"/>
          <w:sz w:val="20"/>
        </w:rPr>
      </w:pPr>
      <w:r>
        <w:rPr>
          <w:rFonts w:ascii="Times New Roman" w:hAnsi="Times New Roman"/>
          <w:caps/>
          <w:color w:val="000000"/>
          <w:sz w:val="20"/>
        </w:rPr>
        <w:t>Executive, being aware of said code section, hereby expressly waives any rights he may have thereunder, as well as under any other statutes or common law principles of similar effect.</w:t>
      </w:r>
    </w:p>
    <w:p>
      <w:pPr>
        <w:pStyle w:val="TextBody"/>
        <w:bidi w:val="0"/>
        <w:spacing w:before="0" w:after="240"/>
        <w:jc w:val="left"/>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Executive acknowledges that, prior to signing this Release, Executive was given at least twenty-one (21) days’ time in which to consider it. Executive further acknowledges that the Company has advised him that he is waiving his rights under the ADEA, and that Executive should consult with an attorney of his choice before signing this Release, and Executive has had sufficient time to consider the terms of this Release. Executive represents and acknowledges that if Executive executes this Release before the foregoing twenty-one (21) days have elapsed, Executive does so knowingly, voluntarily, and upon the advice and with the approval of Executive’s legal counsel (if any), and that Executive voluntarily waives any remaining consideration period. </w:t>
      </w:r>
    </w:p>
    <w:p>
      <w:pPr>
        <w:pStyle w:val="TextBody"/>
        <w:bidi w:val="0"/>
        <w:spacing w:before="0" w:after="240"/>
        <w:jc w:val="left"/>
        <w:rPr>
          <w:rFonts w:ascii="Times New Roman" w:hAnsi="Times New Roman"/>
          <w:sz w:val="20"/>
        </w:rPr>
      </w:pPr>
      <w:r>
        <w:rPr>
          <w:rFonts w:ascii="Times New Roman" w:hAnsi="Times New Roman"/>
          <w:b/>
          <w:color w:val="000000"/>
          <w:sz w:val="20"/>
        </w:rPr>
        <w:t>(e)</w:t>
      </w:r>
      <w:r>
        <w:rPr>
          <w:rFonts w:ascii="Times New Roman" w:hAnsi="Times New Roman"/>
          <w:color w:val="000000"/>
          <w:sz w:val="20"/>
        </w:rPr>
        <w:t xml:space="preserve"> Executive understands that after executing this Release, Executive has the right to revoke it within seven (7) days after his execution of it. Executive understands that this Release will not become effective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 enforceable unless the seven (7) day revocation period passes and Executive does not revoke the Release in writing. Executive understands that this Release may not be revoked after the seven (7) day revocation period has passed. Executive also understands that any revocation of this Release must be made in writing and delivered to Ali Fawaz, General Counsel of the Company, at the Company's principal place of business, within the foregoing seven (7) day period.</w:t>
      </w:r>
    </w:p>
    <w:p>
      <w:pPr>
        <w:pStyle w:val="TextBody"/>
        <w:bidi w:val="0"/>
        <w:spacing w:before="240" w:after="283"/>
        <w:jc w:val="left"/>
        <w:rPr>
          <w:rFonts w:ascii="Times New Roman" w:hAnsi="Times New Roman"/>
          <w:sz w:val="20"/>
        </w:rPr>
      </w:pPr>
      <w:r>
        <w:rPr>
          <w:rFonts w:ascii="Times New Roman" w:hAnsi="Times New Roman"/>
          <w:b/>
          <w:color w:val="000000"/>
          <w:sz w:val="20"/>
        </w:rPr>
        <w:t>(f)</w:t>
      </w:r>
      <w:r>
        <w:rPr>
          <w:rFonts w:ascii="Times New Roman" w:hAnsi="Times New Roman"/>
          <w:color w:val="000000"/>
          <w:sz w:val="20"/>
        </w:rPr>
        <w:t xml:space="preserve"> Executive understands that this Release shall become effective, irrevocable, and binding upon Executive on the eighth (8th) day after his execution of it, so long as Executive has not revoked it within the time period and in the manner specified in clause (e) above. Executive further understands that Executive will not be given any severance benefits payable to Executive pursuant to Section 6(c) of the Transition Agreement unless this Release is effective on or before the Release Deadline. </w:t>
      </w:r>
    </w:p>
    <w:p>
      <w:pPr>
        <w:pStyle w:val="TextBody"/>
        <w:bidi w:val="0"/>
        <w:jc w:val="both"/>
        <w:rPr/>
      </w:pPr>
      <w:r>
        <w:rPr/>
        <w:t> </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2.</w:t>
      </w:r>
    </w:p>
    <w:p>
      <w:pPr>
        <w:pStyle w:val="TextBody"/>
        <w:bidi w:val="0"/>
        <w:spacing w:before="0" w:after="240"/>
        <w:jc w:val="left"/>
        <w:rPr/>
      </w:pPr>
      <w:r>
        <w:rPr>
          <w:rFonts w:ascii="Times New Roman" w:hAnsi="Times New Roman"/>
          <w:b/>
          <w:color w:val="000000"/>
          <w:sz w:val="20"/>
          <w:u w:val="single"/>
        </w:rPr>
        <w:t>Additional Representations and Warranties By Executive</w:t>
      </w:r>
      <w:r>
        <w:rPr>
          <w:rFonts w:ascii="Times New Roman" w:hAnsi="Times New Roman"/>
          <w:b/>
          <w:color w:val="000000"/>
          <w:sz w:val="20"/>
        </w:rPr>
        <w:t>.</w:t>
      </w:r>
      <w:r>
        <w:rPr>
          <w:color w:val="000000"/>
        </w:rPr>
        <w:t xml:space="preserve"> </w:t>
      </w:r>
      <w:r>
        <w:rPr>
          <w:rFonts w:ascii="Times New Roman" w:hAnsi="Times New Roman"/>
          <w:color w:val="000000"/>
          <w:sz w:val="20"/>
        </w:rPr>
        <w:t>Executive represents that Executive has no pending complaints or charges against the Company Releasees, or any of them, with any state or federal court, or any local, state or federal agency, division, or department based on any event(s) occurring prior to the date Executive signs this Release. Executive further represents that Executive will not in the future, file, participate in, encourage, instigate or assist in the prosecution of any claims, complaints, charges or in any lawsuit by any party in any state or federal court against the Company Releasees, or any of them. unless such aid or assistance is ordered by a court or government agency or sought by compulsory legal process, claiming that the Company Releasees, or any of them, have violated any local, state or federal laws, statutes, ordinances or regulations based upon events occurring prior to the execution of this Release.</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3.</w:t>
      </w:r>
    </w:p>
    <w:p>
      <w:pPr>
        <w:pStyle w:val="TextBody"/>
        <w:bidi w:val="0"/>
        <w:spacing w:before="0" w:after="240"/>
        <w:jc w:val="left"/>
        <w:rPr/>
      </w:pPr>
      <w:r>
        <w:rPr>
          <w:rFonts w:ascii="Times New Roman" w:hAnsi="Times New Roman"/>
          <w:b/>
          <w:color w:val="000000"/>
          <w:sz w:val="20"/>
          <w:u w:val="single"/>
        </w:rPr>
        <w:t>Continuing Obligations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Executive hereby expressly reaffirms his obligations under Section 8 of the Transition Agreement and the Proprietary Information Agreement, and agrees that such obligations shall survive the Transition Date. By signing below, Executive confirms that he has delivered to the Company all Company documents (and all copies thereof) and other Company property that Executive had in his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4.</w:t>
      </w:r>
    </w:p>
    <w:p>
      <w:pPr>
        <w:pStyle w:val="TextBody"/>
        <w:bidi w:val="0"/>
        <w:spacing w:before="0" w:after="240"/>
        <w:jc w:val="left"/>
        <w:rPr/>
      </w:pPr>
      <w:r>
        <w:rPr>
          <w:rFonts w:ascii="Times New Roman" w:hAnsi="Times New Roman"/>
          <w:b/>
          <w:color w:val="000000"/>
          <w:sz w:val="20"/>
          <w:u w:val="single"/>
        </w:rPr>
        <w:t>No Assignment</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Executive represents and warrants to the Company Releasees that there has been no assignment or other transfer of any interest in any Claim that Executive may have against the Company Releasees. Executive agrees to indemnify and hold harmless the Company Releasees from any liability, claims, demands, damages, costs, expenses and attorneys’ fees incurred as a result of any such assignment or transfer from Executive. The Company may assign this Release to any successor to all or substantially all of its business and/or assets or any affiliate. </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5.</w:t>
      </w:r>
    </w:p>
    <w:p>
      <w:pPr>
        <w:pStyle w:val="TextBody"/>
        <w:bidi w:val="0"/>
        <w:spacing w:before="0" w:after="240"/>
        <w:jc w:val="left"/>
        <w:rPr/>
      </w:pPr>
      <w:r>
        <w:rPr>
          <w:rFonts w:ascii="Times New Roman" w:hAnsi="Times New Roman"/>
          <w:b/>
          <w:color w:val="000000"/>
          <w:sz w:val="20"/>
          <w:u w:val="single"/>
        </w:rPr>
        <w:t>Enforcement</w:t>
      </w:r>
      <w:r>
        <w:rPr>
          <w:rFonts w:ascii="Times New Roman" w:hAnsi="Times New Roman"/>
          <w:b/>
          <w:color w:val="000000"/>
          <w:sz w:val="20"/>
        </w:rPr>
        <w:t>.</w:t>
      </w:r>
      <w:r>
        <w:rPr>
          <w:color w:val="000000"/>
        </w:rPr>
        <w:t xml:space="preserve"> </w:t>
      </w:r>
      <w:r>
        <w:rPr>
          <w:rFonts w:ascii="Times New Roman" w:hAnsi="Times New Roman"/>
          <w:color w:val="000000"/>
          <w:sz w:val="20"/>
        </w:rPr>
        <w:t>If any provision of this Release is held to be illegal, invalid, or unenforceable under present or future laws, such provision shall be fully severable; this Release shall be construed and enforced as if such illegal, invalid, or unenforceable provision had never comprised a portion of this Release; and the remaining provisions of this Release shall remain in full force and effect and shall not be affected by the illegal, invalid, or unenforceable provision or by its severance from this Release. Furthermore, in lieu of such illegal, invalid, or unenforceable provision there shall be added automatically as part of this Release a provision as similar in terms to such illegal, invalid, or unenforceable provision as may be possible and be legal, valid, and enforceable.</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6.</w:t>
      </w:r>
    </w:p>
    <w:p>
      <w:pPr>
        <w:pStyle w:val="TextBody"/>
        <w:bidi w:val="0"/>
        <w:spacing w:before="0" w:after="240"/>
        <w:jc w:val="left"/>
        <w:rPr/>
      </w:pPr>
      <w:r>
        <w:rPr>
          <w:rFonts w:ascii="Times New Roman" w:hAnsi="Times New Roman"/>
          <w:b/>
          <w:color w:val="000000"/>
          <w:sz w:val="20"/>
          <w:u w:val="single"/>
        </w:rPr>
        <w:t>Governing Law</w:t>
      </w:r>
      <w:r>
        <w:rPr>
          <w:rFonts w:ascii="Times New Roman" w:hAnsi="Times New Roman"/>
          <w:b/>
          <w:color w:val="000000"/>
          <w:sz w:val="20"/>
        </w:rPr>
        <w:t>.</w:t>
      </w:r>
      <w:r>
        <w:rPr>
          <w:color w:val="000000"/>
        </w:rPr>
        <w:t xml:space="preserve"> </w:t>
      </w:r>
      <w:r>
        <w:rPr>
          <w:rFonts w:ascii="Times New Roman" w:hAnsi="Times New Roman"/>
          <w:color w:val="000000"/>
          <w:sz w:val="20"/>
        </w:rPr>
        <w:t>This Release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7.</w:t>
      </w:r>
    </w:p>
    <w:p>
      <w:pPr>
        <w:pStyle w:val="TextBody"/>
        <w:bidi w:val="0"/>
        <w:spacing w:before="0" w:after="240"/>
        <w:jc w:val="left"/>
        <w:rPr/>
      </w:pPr>
      <w:r>
        <w:rPr>
          <w:rFonts w:ascii="Times New Roman" w:hAnsi="Times New Roman"/>
          <w:b/>
          <w:color w:val="000000"/>
          <w:sz w:val="20"/>
          <w:u w:val="single"/>
        </w:rPr>
        <w:t>Amendments; Waivers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This Release may not be modified, amended, or terminated except by an instrument in writing signed by Executive and a duly authorized representative of the Company. By an instrument in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0"/>
        </w:rPr>
        <w:t xml:space="preserve">writing similarly executed, Executive or a duly authorized officer of the Company, as applicable, may waive compliance by the other Party with any specifically identified provision of this Release that such other Party was or is obligated to comply with or perform;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8.</w:t>
      </w:r>
    </w:p>
    <w:p>
      <w:pPr>
        <w:pStyle w:val="TextBody"/>
        <w:bidi w:val="0"/>
        <w:spacing w:before="0" w:after="240"/>
        <w:jc w:val="left"/>
        <w:rPr/>
      </w:pPr>
      <w:r>
        <w:rPr>
          <w:rFonts w:ascii="Times New Roman" w:hAnsi="Times New Roman"/>
          <w:b/>
          <w:color w:val="000000"/>
          <w:sz w:val="20"/>
          <w:u w:val="single"/>
        </w:rPr>
        <w:t>Entire Agreement</w:t>
      </w:r>
      <w:r>
        <w:rPr>
          <w:rFonts w:ascii="Times New Roman" w:hAnsi="Times New Roman"/>
          <w:b/>
          <w:color w:val="000000"/>
          <w:sz w:val="20"/>
        </w:rPr>
        <w:t>.</w:t>
      </w:r>
      <w:r>
        <w:rPr>
          <w:color w:val="000000"/>
        </w:rPr>
        <w:t xml:space="preserve"> </w:t>
      </w:r>
      <w:r>
        <w:rPr>
          <w:rFonts w:ascii="Times New Roman" w:hAnsi="Times New Roman"/>
          <w:color w:val="000000"/>
          <w:sz w:val="20"/>
        </w:rPr>
        <w:t>This Release, together with the Transition Agreement, the Proprietary Information Agreement and the other agreements referenced herein and therein, are intended by the Parties to be the final expression of their agreement with respect to the employment of Executive by the Company and supersede all prior understandings and agreements, whether written or oral, regarding Executive’s employment with the Company. The Parties further intend that this Release shall constitute the complete and exclusive statement of their terms and that no extrinsic evidence whatsoever may be introduced in any judicial, administrative, or other legal proceeding to vary the terms of this Release.</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9.</w:t>
      </w:r>
    </w:p>
    <w:p>
      <w:pPr>
        <w:pStyle w:val="TextBody"/>
        <w:bidi w:val="0"/>
        <w:spacing w:before="0" w:after="240"/>
        <w:jc w:val="left"/>
        <w:rPr/>
      </w:pPr>
      <w:r>
        <w:rPr>
          <w:rFonts w:ascii="Times New Roman" w:hAnsi="Times New Roman"/>
          <w:b/>
          <w:color w:val="000000"/>
          <w:sz w:val="20"/>
          <w:u w:val="single"/>
        </w:rPr>
        <w:t>Executive Acknowledgement</w:t>
      </w:r>
      <w:r>
        <w:rPr>
          <w:rFonts w:ascii="Times New Roman" w:hAnsi="Times New Roman"/>
          <w:b/>
          <w:color w:val="000000"/>
          <w:sz w:val="20"/>
        </w:rPr>
        <w:t>.</w:t>
      </w:r>
      <w:r>
        <w:rPr>
          <w:color w:val="000000"/>
        </w:rPr>
        <w:t xml:space="preserve"> </w:t>
      </w:r>
      <w:r>
        <w:rPr>
          <w:rFonts w:ascii="Times New Roman" w:hAnsi="Times New Roman"/>
          <w:color w:val="000000"/>
          <w:sz w:val="20"/>
        </w:rPr>
        <w:t>Executive acknowledges that Executive has read and understands this Release, is fully aware of its legal effect, has not acted in reliance upon any representations or promises made by the Company other than those contained in writing herein, and has entered into this Release freely based on Executive’s own judgment.</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10.</w:t>
      </w:r>
    </w:p>
    <w:p>
      <w:pPr>
        <w:pStyle w:val="TextBody"/>
        <w:bidi w:val="0"/>
        <w:spacing w:before="0" w:after="240"/>
        <w:jc w:val="left"/>
        <w:rPr/>
      </w:pPr>
      <w:r>
        <w:rPr>
          <w:rFonts w:ascii="Times New Roman" w:hAnsi="Times New Roman"/>
          <w:b/>
          <w:color w:val="000000"/>
          <w:sz w:val="20"/>
          <w:u w:val="single"/>
        </w:rPr>
        <w:t>Counterparts</w:t>
      </w:r>
      <w:r>
        <w:rPr>
          <w:rFonts w:ascii="Times New Roman" w:hAnsi="Times New Roman"/>
          <w:b/>
          <w:color w:val="000000"/>
          <w:sz w:val="20"/>
        </w:rPr>
        <w:t>.</w:t>
      </w:r>
      <w:r>
        <w:rPr>
          <w:color w:val="000000"/>
        </w:rPr>
        <w:t xml:space="preserve"> </w:t>
      </w:r>
      <w:r>
        <w:rPr>
          <w:rFonts w:ascii="Times New Roman" w:hAnsi="Times New Roman"/>
          <w:color w:val="000000"/>
          <w:sz w:val="20"/>
        </w:rPr>
        <w:t>This Release may be executed in several counterparts, each of which shall be deemed to be an original, but all of which together will constitute one and the same agreement. Signatures delivered by facsimile shall be deemed effective for all purposes.</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11.</w:t>
      </w:r>
    </w:p>
    <w:p>
      <w:pPr>
        <w:pStyle w:val="TextBody"/>
        <w:bidi w:val="0"/>
        <w:spacing w:before="0" w:after="240"/>
        <w:jc w:val="left"/>
        <w:rPr/>
      </w:pPr>
      <w:r>
        <w:rPr>
          <w:rFonts w:ascii="Times New Roman" w:hAnsi="Times New Roman"/>
          <w:b/>
          <w:color w:val="000000"/>
          <w:sz w:val="20"/>
          <w:u w:val="single"/>
        </w:rPr>
        <w:t>RIGHT TO ADVICE OF COUNSEL</w:t>
      </w:r>
      <w:r>
        <w:rPr>
          <w:rFonts w:ascii="Times New Roman" w:hAnsi="Times New Roman"/>
          <w:b/>
          <w:color w:val="000000"/>
          <w:sz w:val="20"/>
        </w:rPr>
        <w:t>.</w:t>
      </w:r>
      <w:r>
        <w:rPr>
          <w:color w:val="000000"/>
        </w:rPr>
        <w:t xml:space="preserve"> </w:t>
      </w:r>
      <w:r>
        <w:rPr>
          <w:rFonts w:ascii="Times New Roman" w:hAnsi="Times New Roman"/>
          <w:color w:val="000000"/>
          <w:sz w:val="20"/>
        </w:rPr>
        <w:t>EXECUTIVE ACKNOWLEDGES THAT HE HAS THE RIGHT, AND IS ENCOURAGED, TO CONSULT WITH HIS LAWYER; BY HIS SIGNATURE BELOW, EXECUTIVE ACKNOWLEDGES THAT HE HAS CONSULTED, OR HAS ELECTED NOT TO CONSULT, WITH HIS LAWYER CONCERNING THIS RELEASE.</w:t>
      </w:r>
    </w:p>
    <w:p>
      <w:pPr>
        <w:pStyle w:val="TextBody"/>
        <w:bidi w:val="0"/>
        <w:spacing w:before="24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Follows</w:t>
      </w:r>
      <w:r>
        <w:rPr>
          <w:rFonts w:ascii="Times New Roman" w:hAnsi="Times New Roman"/>
          <w:color w:val="000000"/>
          <w:sz w:val="20"/>
        </w:rPr>
        <w: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Parties have duly executed this Release as of the dates set forth below.</w:t>
      </w:r>
    </w:p>
    <w:tbl>
      <w:tblPr>
        <w:tblW w:w="2863" w:type="dxa"/>
        <w:jc w:val="left"/>
        <w:tblInd w:w="0" w:type="dxa"/>
        <w:tblLayout w:type="fixed"/>
        <w:tblCellMar>
          <w:top w:w="28" w:type="dxa"/>
          <w:left w:w="28" w:type="dxa"/>
          <w:bottom w:w="28" w:type="dxa"/>
          <w:right w:w="28" w:type="dxa"/>
        </w:tblCellMar>
      </w:tblPr>
      <w:tblGrid>
        <w:gridCol w:w="646"/>
        <w:gridCol w:w="1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pPr>
            <w:r>
              <w:rPr/>
              <w:t> </w:t>
            </w:r>
          </w:p>
        </w:tc>
      </w:tr>
      <w:tr>
        <w:trPr/>
        <w:tc>
          <w:tcPr>
            <w:tcW w:w="2863"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TYRA BIOSCIENCES, INC.</w:t>
            </w:r>
          </w:p>
        </w:tc>
      </w:tr>
      <w:tr>
        <w:trPr/>
        <w:tc>
          <w:tcPr>
            <w:tcW w:w="646" w:type="dxa"/>
            <w:tcBorders/>
            <w:vAlign w:val="center"/>
          </w:tcPr>
          <w:p>
            <w:pPr>
              <w:pStyle w:val="TableContents"/>
              <w:bidi w:val="0"/>
              <w:spacing w:before="0" w:after="283"/>
              <w:jc w:val="left"/>
              <w:rPr/>
            </w:pPr>
            <w:r>
              <w:rPr/>
              <w:t> </w:t>
            </w:r>
          </w:p>
        </w:tc>
        <w:tc>
          <w:tcPr>
            <w:tcW w:w="2217" w:type="dxa"/>
            <w:gridSpan w:val="2"/>
            <w:tcBorders/>
            <w:vAlign w:val="center"/>
          </w:tcPr>
          <w:p>
            <w:pPr>
              <w:pStyle w:val="TableContents"/>
              <w:bidi w:val="0"/>
              <w:spacing w:before="0" w:after="283"/>
              <w:jc w:val="left"/>
              <w:rPr/>
            </w:pPr>
            <w:r>
              <w:rPr/>
              <w:t> </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pBdr>
                <w:bottom w:val="single" w:sz="6" w:space="1" w:color="000000"/>
              </w:pBdr>
              <w:bidi w:val="0"/>
              <w:spacing w:before="0" w:after="20"/>
              <w:jc w:val="left"/>
              <w:rPr/>
            </w:pPr>
            <w:r>
              <w:rPr/>
              <w:t> </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Harris, Ph.D.</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088" w:type="dxa"/>
        <w:jc w:val="left"/>
        <w:tblInd w:w="0" w:type="dxa"/>
        <w:tblLayout w:type="fixed"/>
        <w:tblCellMar>
          <w:top w:w="28" w:type="dxa"/>
          <w:left w:w="28" w:type="dxa"/>
          <w:bottom w:w="28" w:type="dxa"/>
          <w:right w:w="28" w:type="dxa"/>
        </w:tblCellMar>
      </w:tblPr>
      <w:tblGrid>
        <w:gridCol w:w="646"/>
        <w:gridCol w:w="146"/>
        <w:gridCol w:w="229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96" w:type="dxa"/>
            <w:tcBorders/>
            <w:vAlign w:val="center"/>
          </w:tcPr>
          <w:p>
            <w:pPr>
              <w:pStyle w:val="TableContents"/>
              <w:bidi w:val="0"/>
              <w:spacing w:before="0" w:after="283"/>
              <w:jc w:val="left"/>
              <w:rPr/>
            </w:pPr>
            <w:r>
              <w:rPr/>
              <w:t> </w:t>
            </w:r>
          </w:p>
        </w:tc>
      </w:tr>
      <w:tr>
        <w:trPr/>
        <w:tc>
          <w:tcPr>
            <w:tcW w:w="3088"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EXECUTIVE</w:t>
            </w:r>
          </w:p>
        </w:tc>
      </w:tr>
      <w:tr>
        <w:trPr/>
        <w:tc>
          <w:tcPr>
            <w:tcW w:w="646" w:type="dxa"/>
            <w:tcBorders/>
            <w:vAlign w:val="center"/>
          </w:tcPr>
          <w:p>
            <w:pPr>
              <w:pStyle w:val="TableContents"/>
              <w:bidi w:val="0"/>
              <w:spacing w:before="0" w:after="283"/>
              <w:jc w:val="left"/>
              <w:rPr/>
            </w:pPr>
            <w:r>
              <w:rPr/>
              <w:t> </w:t>
            </w:r>
          </w:p>
        </w:tc>
        <w:tc>
          <w:tcPr>
            <w:tcW w:w="2442" w:type="dxa"/>
            <w:gridSpan w:val="2"/>
            <w:tcBorders/>
            <w:vAlign w:val="center"/>
          </w:tcPr>
          <w:p>
            <w:pPr>
              <w:pStyle w:val="TableContents"/>
              <w:bidi w:val="0"/>
              <w:spacing w:before="0" w:after="283"/>
              <w:jc w:val="left"/>
              <w:rPr/>
            </w:pPr>
            <w:r>
              <w:rPr/>
              <w:t> </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pBdr>
                <w:bottom w:val="single" w:sz="6" w:space="1" w:color="000000"/>
              </w:pBdr>
              <w:bidi w:val="0"/>
              <w:spacing w:before="0" w:after="20"/>
              <w:jc w:val="left"/>
              <w:rPr/>
            </w:pPr>
            <w:r>
              <w:rPr/>
              <w:t> </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Hiroomi Tada, M.D., Ph.D.</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vAlign w:val="center"/>
          </w:tcPr>
          <w:p>
            <w:pPr>
              <w:pStyle w:val="TableContents"/>
              <w:bidi w:val="0"/>
              <w:spacing w:before="0" w:after="283"/>
              <w:jc w:val="left"/>
              <w:rPr/>
            </w:pPr>
            <w:r>
              <w:rPr/>
              <w:t> </w:t>
            </w:r>
          </w:p>
        </w:tc>
        <w:tc>
          <w:tcPr>
            <w:tcW w:w="2296"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2" w:name="tyra-ex10_2.htm"/>
      <w:bookmarkStart w:id="23" w:name="kstyraex10_2"/>
      <w:bookmarkEnd w:id="22"/>
      <w:bookmarkEnd w:id="23"/>
      <w:r>
        <w:rPr>
          <w:rFonts w:ascii="Times New Roman" w:hAnsi="Times New Roman"/>
          <w:b/>
          <w:color w:val="000000"/>
          <w:sz w:val="20"/>
        </w:rPr>
        <w:t>Exhibit 10.2</w:t>
      </w:r>
      <w:r>
        <w:br w:type="page"/>
      </w:r>
    </w:p>
    <w:p>
      <w:pPr>
        <w:pStyle w:val="TextBody"/>
        <w:bidi w:val="0"/>
        <w:spacing w:before="0" w:after="240"/>
        <w:jc w:val="center"/>
        <w:rPr>
          <w:rFonts w:ascii="Times New Roman" w:hAnsi="Times New Roman"/>
          <w:sz w:val="20"/>
        </w:rPr>
      </w:pPr>
      <w:r>
        <w:rPr>
          <w:rFonts w:ascii="Times New Roman" w:hAnsi="Times New Roman"/>
          <w:b/>
          <w:color w:val="000000"/>
          <w:sz w:val="24"/>
        </w:rPr>
        <w:t>TYRA BIOSCIENCES, INC.</w:t>
        <w:br/>
        <w:br/>
      </w:r>
      <w:r>
        <w:rPr>
          <w:rFonts w:ascii="Times New Roman" w:hAnsi="Times New Roman"/>
          <w:b/>
          <w:color w:val="000000"/>
          <w:sz w:val="24"/>
          <w:u w:val="single"/>
        </w:rPr>
        <w:t>EMPLOYMENT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Employment Agreement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effective as of September 9, 2024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by and between Tyra Biosciences,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Douglas Warner, M.D. (“</w:t>
      </w:r>
      <w:r>
        <w:rPr>
          <w:rFonts w:ascii="Times New Roman" w:hAnsi="Times New Roman"/>
          <w:color w:val="000000"/>
          <w:sz w:val="24"/>
          <w:u w:val="single"/>
        </w:rPr>
        <w:t>Executive</w:t>
      </w:r>
      <w:r>
        <w:rPr>
          <w:rFonts w:ascii="Times New Roman" w:hAnsi="Times New Roman"/>
          <w:color w:val="000000"/>
          <w:sz w:val="20"/>
        </w:rPr>
        <w:t xml:space="preserve">” </w:t>
      </w:r>
      <w:r>
        <w:rPr>
          <w:rFonts w:ascii="Times New Roman" w:hAnsi="Times New Roman"/>
          <w:color w:val="000000"/>
          <w:sz w:val="24"/>
        </w:rPr>
        <w:t>and, together with the Company, the “</w:t>
      </w:r>
      <w:r>
        <w:rPr>
          <w:rFonts w:ascii="Times New Roman" w:hAnsi="Times New Roman"/>
          <w:color w:val="000000"/>
          <w:sz w:val="24"/>
          <w:u w:val="single"/>
        </w:rPr>
        <w:t>Parties</w:t>
      </w:r>
      <w:r>
        <w:rPr>
          <w:rFonts w:ascii="Times New Roman" w:hAnsi="Times New Roman"/>
          <w:color w:val="000000"/>
          <w:sz w:val="20"/>
        </w:rPr>
        <w:t>”</w:t>
      </w:r>
      <w:r>
        <w:rPr>
          <w:rFonts w:ascii="Times New Roman" w:hAnsi="Times New Roman"/>
          <w:color w:val="000000"/>
          <w:sz w:val="24"/>
        </w:rPr>
        <w:t xml:space="preserve">). Capitalized terms used herein and not otherwise defined shall have those meanings set forth in </w:t>
      </w:r>
      <w:r>
        <w:rPr>
          <w:rFonts w:ascii="Times New Roman" w:hAnsi="Times New Roman"/>
          <w:color w:val="000000"/>
          <w:sz w:val="24"/>
          <w:u w:val="single"/>
        </w:rPr>
        <w:t>Appendix I</w:t>
      </w:r>
      <w:r>
        <w:rPr>
          <w:rFonts w:ascii="Times New Roman" w:hAnsi="Times New Roman"/>
          <w:color w:val="000000"/>
          <w:sz w:val="20"/>
        </w:rPr>
        <w:t xml:space="preserve"> </w:t>
      </w:r>
      <w:r>
        <w:rPr>
          <w:rFonts w:ascii="Times New Roman" w:hAnsi="Times New Roman"/>
          <w:color w:val="000000"/>
          <w:sz w:val="24"/>
        </w:rPr>
        <w:t>hereto.</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desires to retain the services of Executive by engaging Executive to perform services as an employee of the Company under the terms hereof;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Executive desires to provide services to the Company on the terms 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foregoing, and for other good and valuable consideration, including the respective covenants and agreements set forth below, the receipt and sufficiency of which are hereby acknowledged, the Parties hereto agree as follows: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1.</w:t>
      </w:r>
    </w:p>
    <w:p>
      <w:pPr>
        <w:pStyle w:val="TextBody"/>
        <w:bidi w:val="0"/>
        <w:spacing w:before="0" w:after="240"/>
        <w:jc w:val="both"/>
        <w:rPr/>
      </w:pPr>
      <w:r>
        <w:rPr>
          <w:rFonts w:ascii="Times New Roman" w:hAnsi="Times New Roman"/>
          <w:b/>
          <w:color w:val="000000"/>
          <w:sz w:val="24"/>
          <w:u w:val="single"/>
        </w:rPr>
        <w:t>Employment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The Company shall employ Executive upon the terms and conditions provided herein effective as of the Effective Date.</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(b)</w:t>
      </w:r>
    </w:p>
    <w:p>
      <w:pPr>
        <w:pStyle w:val="TextBody"/>
        <w:bidi w:val="0"/>
        <w:spacing w:before="0" w:after="240"/>
        <w:jc w:val="both"/>
        <w:rPr/>
      </w:pPr>
      <w:r>
        <w:rPr>
          <w:rFonts w:ascii="Times New Roman" w:hAnsi="Times New Roman"/>
          <w:color w:val="000000"/>
          <w:sz w:val="24"/>
          <w:u w:val="single"/>
        </w:rPr>
        <w:t>Position and Duties</w:t>
      </w:r>
      <w:r>
        <w:rPr>
          <w:rFonts w:ascii="Times New Roman" w:hAnsi="Times New Roman"/>
          <w:color w:val="000000"/>
          <w:sz w:val="24"/>
        </w:rPr>
        <w:t>. Executive shall serve as the Chief Medical Officer of the Company, with responsibilities, duties, and authority usual and customary for such position subject to direction by the Chief Executive Officer (the “</w:t>
      </w:r>
      <w:r>
        <w:rPr>
          <w:rFonts w:ascii="Times New Roman" w:hAnsi="Times New Roman"/>
          <w:color w:val="000000"/>
          <w:sz w:val="24"/>
          <w:u w:val="single"/>
        </w:rPr>
        <w:t>CEO</w:t>
      </w:r>
      <w:r>
        <w:rPr>
          <w:color w:val="000000"/>
        </w:rPr>
        <w:t>”</w:t>
      </w:r>
      <w:r>
        <w:rPr>
          <w:rFonts w:ascii="Times New Roman" w:hAnsi="Times New Roman"/>
          <w:color w:val="000000"/>
          <w:sz w:val="24"/>
        </w:rPr>
        <w:t xml:space="preserve">). During Executive’s employment with the Company, Executive shall report directly to the CEO and agrees promptly and faithfully to comply with all present and future policies, requirements, rules and regulations, and reasonable directions and requests, of the Company in connection with the Company’s business. Executive will at all times perform all of the duties and obligations required by Executive under this Agreement in a loyal and conscientious manner and to the best of Executive’s ability and experience.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w:t>
      </w:r>
    </w:p>
    <w:p>
      <w:pPr>
        <w:pStyle w:val="TextBody"/>
        <w:bidi w:val="0"/>
        <w:spacing w:before="0" w:after="240"/>
        <w:jc w:val="both"/>
        <w:rPr/>
      </w:pPr>
      <w:r>
        <w:rPr>
          <w:rFonts w:ascii="Times New Roman" w:hAnsi="Times New Roman"/>
          <w:color w:val="000000"/>
          <w:sz w:val="24"/>
          <w:u w:val="single"/>
        </w:rPr>
        <w:t>Performance of Executive’s Duties</w:t>
      </w:r>
      <w:r>
        <w:rPr>
          <w:rFonts w:ascii="Times New Roman" w:hAnsi="Times New Roman"/>
          <w:color w:val="000000"/>
          <w:sz w:val="24"/>
        </w:rPr>
        <w:t xml:space="preserve">. During Executive’s employment with the Company, and except for periods of illness, vacation, disability, or excused leaves of absence, Executive shall devote Executive’s full time and attention to the business and affairs of the Company pursuant to the general direction of the CEO; provided that nothing herein shall preclude Executive from, subject to prior consent of the CEO: (i) engaging in additional activities in connection with personal investments and community affairs including service on non-profit boards of directors, (ii) serving as a member of the board of directors of for-profit organizations that are not competitors of the Company, and (iii) serving as an advisor, or as a member of an advisory board of organizations that are not competitors of the Company; provided, that such activities do not individually or in the aggregate interfere with the performance of Executive’s duties under this Agreement, violate the Company’s standards of conduct then in effect or raise a conflict under the Company’s conflict of interest policies. Executive’s primary work location shall be his home office in Los Angeles, California, subject to such travel as reasonably required in connection with Executive’s duties whenever deemed necessary or requested by the Company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time to time. The Company reserves the right to reasonably require Executive to perform his duties at places other than his primary work location from time to time, and to require reasonable business travel with reimbursement in a manner consistent with the Company’s travel reimbursement policies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2.</w:t>
      </w:r>
    </w:p>
    <w:p>
      <w:pPr>
        <w:pStyle w:val="TextBody"/>
        <w:bidi w:val="0"/>
        <w:spacing w:before="0" w:after="240"/>
        <w:jc w:val="both"/>
        <w:rPr/>
      </w:pPr>
      <w:r>
        <w:rPr>
          <w:rFonts w:ascii="Times New Roman" w:hAnsi="Times New Roman"/>
          <w:b/>
          <w:color w:val="000000"/>
          <w:sz w:val="24"/>
          <w:u w:val="single"/>
        </w:rPr>
        <w:t>Term</w:t>
      </w:r>
      <w:r>
        <w:rPr>
          <w:rFonts w:ascii="Times New Roman" w:hAnsi="Times New Roman"/>
          <w:color w:val="000000"/>
          <w:sz w:val="24"/>
        </w:rPr>
        <w:t>. The period of Executive’s employment under this Agreement shall commence on the Effective Date and shall continue until Executive’s employment with the Company is terminated. The phrase “</w:t>
      </w:r>
      <w:r>
        <w:rPr>
          <w:rFonts w:ascii="Times New Roman" w:hAnsi="Times New Roman"/>
          <w:color w:val="000000"/>
          <w:sz w:val="24"/>
          <w:u w:val="single"/>
        </w:rPr>
        <w:t>Term of Employment</w:t>
      </w:r>
      <w:r>
        <w:rPr>
          <w:color w:val="000000"/>
        </w:rPr>
        <w:t xml:space="preserve">” </w:t>
      </w:r>
      <w:r>
        <w:rPr>
          <w:rFonts w:ascii="Times New Roman" w:hAnsi="Times New Roman"/>
          <w:color w:val="000000"/>
          <w:sz w:val="24"/>
        </w:rPr>
        <w:t>as used in this Agreement shall refer to the entire period of employment of Executive by the Company.</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3.</w:t>
      </w:r>
    </w:p>
    <w:p>
      <w:pPr>
        <w:pStyle w:val="TextBody"/>
        <w:bidi w:val="0"/>
        <w:spacing w:before="0" w:after="240"/>
        <w:jc w:val="both"/>
        <w:rPr/>
      </w:pPr>
      <w:r>
        <w:rPr>
          <w:rFonts w:ascii="Times New Roman" w:hAnsi="Times New Roman"/>
          <w:b/>
          <w:color w:val="000000"/>
          <w:sz w:val="24"/>
          <w:u w:val="single"/>
        </w:rPr>
        <w:t>Compensation and Related Matters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w:t>
      </w:r>
    </w:p>
    <w:p>
      <w:pPr>
        <w:pStyle w:val="TextBody"/>
        <w:bidi w:val="0"/>
        <w:spacing w:before="0" w:after="240"/>
        <w:jc w:val="both"/>
        <w:rPr/>
      </w:pPr>
      <w:r>
        <w:rPr>
          <w:rFonts w:ascii="Times New Roman" w:hAnsi="Times New Roman"/>
          <w:color w:val="000000"/>
          <w:sz w:val="24"/>
          <w:u w:val="single"/>
        </w:rPr>
        <w:t>Annual Base Salary</w:t>
      </w:r>
      <w:r>
        <w:rPr>
          <w:rFonts w:ascii="Times New Roman" w:hAnsi="Times New Roman"/>
          <w:color w:val="000000"/>
          <w:sz w:val="24"/>
        </w:rPr>
        <w:t>. Executive shall receive a base salary at the rate of $530,000 per annum (as may be increased from time to time, the “</w:t>
      </w:r>
      <w:r>
        <w:rPr>
          <w:rFonts w:ascii="Times New Roman" w:hAnsi="Times New Roman"/>
          <w:color w:val="000000"/>
          <w:sz w:val="24"/>
          <w:u w:val="single"/>
        </w:rPr>
        <w:t>Annual Base Salary</w:t>
      </w:r>
      <w:r>
        <w:rPr>
          <w:color w:val="000000"/>
        </w:rPr>
        <w:t>”</w:t>
      </w:r>
      <w:r>
        <w:rPr>
          <w:rFonts w:ascii="Times New Roman" w:hAnsi="Times New Roman"/>
          <w:color w:val="000000"/>
          <w:sz w:val="24"/>
        </w:rPr>
        <w:t>), subject to withholdings and deductions, which shall be paid to Executive in accordance with the customary payroll practices and procedures of the Company. Such Annual Base Salary shall be reviewed by the Board of Directors of the Company (the “</w:t>
      </w:r>
      <w:r>
        <w:rPr>
          <w:rFonts w:ascii="Times New Roman" w:hAnsi="Times New Roman"/>
          <w:color w:val="000000"/>
          <w:sz w:val="24"/>
          <w:u w:val="single"/>
        </w:rPr>
        <w:t>Board</w:t>
      </w:r>
      <w:r>
        <w:rPr>
          <w:color w:val="000000"/>
        </w:rPr>
        <w:t>”</w:t>
      </w:r>
      <w:r>
        <w:rPr>
          <w:rFonts w:ascii="Times New Roman" w:hAnsi="Times New Roman"/>
          <w:color w:val="000000"/>
          <w:sz w:val="24"/>
        </w:rPr>
        <w:t>) or its designated committee, not less than annually, and may be increased, but not decreased, in connection with any such review.</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(b)</w:t>
      </w:r>
    </w:p>
    <w:p>
      <w:pPr>
        <w:pStyle w:val="TextBody"/>
        <w:bidi w:val="0"/>
        <w:spacing w:before="0" w:after="240"/>
        <w:jc w:val="both"/>
        <w:rPr/>
      </w:pPr>
      <w:r>
        <w:rPr>
          <w:rFonts w:ascii="Times New Roman" w:hAnsi="Times New Roman"/>
          <w:color w:val="000000"/>
          <w:sz w:val="24"/>
          <w:u w:val="single"/>
        </w:rPr>
        <w:t>Annual Bonus</w:t>
      </w:r>
      <w:r>
        <w:rPr>
          <w:rFonts w:ascii="Times New Roman" w:hAnsi="Times New Roman"/>
          <w:color w:val="000000"/>
          <w:sz w:val="24"/>
        </w:rPr>
        <w:t xml:space="preserve">. </w:t>
      </w:r>
      <w:r>
        <w:rPr>
          <w:rFonts w:ascii="Times New Roman" w:hAnsi="Times New Roman"/>
          <w:color w:val="231F20"/>
          <w:sz w:val="24"/>
        </w:rPr>
        <w:t>Executive shall be eligible to receive a discretionary annual bonus (the “</w:t>
      </w:r>
      <w:r>
        <w:rPr>
          <w:rFonts w:ascii="Times New Roman" w:hAnsi="Times New Roman"/>
          <w:color w:val="231F20"/>
          <w:sz w:val="24"/>
          <w:u w:val="single"/>
        </w:rPr>
        <w:t>Annual Bonus</w:t>
      </w:r>
      <w:r>
        <w:rPr>
          <w:color w:val="231F20"/>
        </w:rPr>
        <w:t>”</w:t>
      </w:r>
      <w:r>
        <w:rPr>
          <w:rFonts w:ascii="Times New Roman" w:hAnsi="Times New Roman"/>
          <w:color w:val="231F20"/>
          <w:sz w:val="24"/>
        </w:rPr>
        <w:t>) based on the Company’s and/or Executive’s achievement of performance objectives in accordance with the terms set forth by the Board or its designated committee; provided, that the Annual Bonus for the 2024 fiscal year shall be pro-rated based on the portion of such year that has elapsed from the Effective Date through December 31, 2024. Executive’s target Annual Bonus shall be equal to 40% of Executive’s Annual Base Salary (the “</w:t>
      </w:r>
      <w:r>
        <w:rPr>
          <w:rFonts w:ascii="Times New Roman" w:hAnsi="Times New Roman"/>
          <w:color w:val="231F20"/>
          <w:sz w:val="24"/>
          <w:u w:val="single"/>
        </w:rPr>
        <w:t>Target Bonus</w:t>
      </w:r>
      <w:r>
        <w:rPr>
          <w:color w:val="231F20"/>
        </w:rPr>
        <w:t>”</w:t>
      </w:r>
      <w:r>
        <w:rPr>
          <w:rFonts w:ascii="Times New Roman" w:hAnsi="Times New Roman"/>
          <w:color w:val="231F20"/>
          <w:sz w:val="24"/>
        </w:rPr>
        <w:t xml:space="preserve">). Except as set forth in Section 6, Executive must be employed by the Company on the date of payment of any Annual Bonus to remain eligible to receive such Annual Bonus. Except as otherwise provided in Section 6, any Annual Bonus earned will be paid at the same time annual bonuses are paid to other executives of the Company generally.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w:t>
      </w:r>
    </w:p>
    <w:p>
      <w:pPr>
        <w:pStyle w:val="TextBody"/>
        <w:bidi w:val="0"/>
        <w:spacing w:before="0" w:after="240"/>
        <w:jc w:val="both"/>
        <w:rPr/>
      </w:pPr>
      <w:r>
        <w:rPr>
          <w:rFonts w:ascii="Times New Roman" w:hAnsi="Times New Roman"/>
          <w:color w:val="000000"/>
          <w:sz w:val="24"/>
          <w:u w:val="single"/>
        </w:rPr>
        <w:t>Benefits</w:t>
      </w:r>
      <w:r>
        <w:rPr>
          <w:rFonts w:ascii="Times New Roman" w:hAnsi="Times New Roman"/>
          <w:color w:val="000000"/>
          <w:sz w:val="24"/>
        </w:rPr>
        <w:t>. Executive shall be entitled to participate in such employee and executive benefit plans and programs as the Company may offer from time to time to provide to its executives, subject to the terms and conditions of such plans. Notwithstanding the foregoing, nothing herein is intended, or shall be construed, to require the Company to institute or continue any, or any particular, plan, or benefits.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(d)</w:t>
      </w:r>
    </w:p>
    <w:p>
      <w:pPr>
        <w:pStyle w:val="TextBody"/>
        <w:bidi w:val="0"/>
        <w:spacing w:before="0" w:after="240"/>
        <w:jc w:val="both"/>
        <w:rPr/>
      </w:pPr>
      <w:r>
        <w:rPr>
          <w:rFonts w:ascii="Times New Roman" w:hAnsi="Times New Roman"/>
          <w:color w:val="000000"/>
          <w:sz w:val="24"/>
          <w:u w:val="single"/>
        </w:rPr>
        <w:t>Business Expenses</w:t>
      </w:r>
      <w:r>
        <w:rPr>
          <w:rFonts w:ascii="Times New Roman" w:hAnsi="Times New Roman"/>
          <w:color w:val="000000"/>
          <w:sz w:val="24"/>
        </w:rPr>
        <w:t xml:space="preserve">.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w:t>
      </w:r>
    </w:p>
    <w:p>
      <w:pPr>
        <w:pStyle w:val="TextBody"/>
        <w:bidi w:val="0"/>
        <w:spacing w:before="0" w:after="240"/>
        <w:jc w:val="both"/>
        <w:rPr/>
      </w:pPr>
      <w:r>
        <w:rPr>
          <w:rFonts w:ascii="Times New Roman" w:hAnsi="Times New Roman"/>
          <w:color w:val="000000"/>
          <w:sz w:val="24"/>
          <w:u w:val="single"/>
        </w:rPr>
        <w:t>Vacation; Paid Time Off</w:t>
      </w:r>
      <w:r>
        <w:rPr>
          <w:rFonts w:ascii="Times New Roman" w:hAnsi="Times New Roman"/>
          <w:color w:val="000000"/>
          <w:sz w:val="24"/>
        </w:rPr>
        <w:t>. Executive will be entitled to vacation or paid time off in accordance with the Company’s policy.</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(f)</w:t>
      </w:r>
    </w:p>
    <w:p>
      <w:pPr>
        <w:pStyle w:val="TextBody"/>
        <w:bidi w:val="0"/>
        <w:spacing w:before="0" w:after="240"/>
        <w:jc w:val="both"/>
        <w:rPr/>
      </w:pPr>
      <w:r>
        <w:rPr>
          <w:rFonts w:ascii="Times New Roman" w:hAnsi="Times New Roman"/>
          <w:color w:val="000000"/>
          <w:sz w:val="24"/>
          <w:u w:val="single"/>
        </w:rPr>
        <w:t>Equity Awards</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color w:val="000000"/>
          <w:sz w:val="24"/>
        </w:rPr>
        <w:t>Subject to the approval of the Board or its designee, Executive will be granted an option to purchase 260,000 shares of the Company’s common stock (with the exercise price based on the price of a share of the Company’s common stock on the date of grant) (the “</w:t>
      </w:r>
      <w:r>
        <w:rPr>
          <w:rFonts w:ascii="Times New Roman" w:hAnsi="Times New Roman"/>
          <w:color w:val="000000"/>
          <w:sz w:val="24"/>
          <w:u w:val="single"/>
        </w:rPr>
        <w:t>New Hire Option</w:t>
      </w:r>
      <w:r>
        <w:rPr>
          <w:color w:val="000000"/>
        </w:rPr>
        <w:t>”</w:t>
      </w:r>
      <w:r>
        <w:rPr>
          <w:rFonts w:ascii="Times New Roman" w:hAnsi="Times New Roman"/>
          <w:color w:val="000000"/>
          <w:sz w:val="24"/>
        </w:rPr>
        <w:t>). The New Hire Option will be granted pursuant to the Company’s 2021 Incentive Award Plan (the “</w:t>
      </w:r>
      <w:r>
        <w:rPr>
          <w:rFonts w:ascii="Times New Roman" w:hAnsi="Times New Roman"/>
          <w:color w:val="000000"/>
          <w:sz w:val="24"/>
          <w:u w:val="single"/>
        </w:rPr>
        <w:t>Plan</w:t>
      </w:r>
      <w:r>
        <w:rPr>
          <w:color w:val="000000"/>
        </w:rPr>
        <w:t>”</w:t>
      </w:r>
      <w:r>
        <w:rPr>
          <w:rFonts w:ascii="Times New Roman" w:hAnsi="Times New Roman"/>
          <w:color w:val="000000"/>
          <w:sz w:val="24"/>
        </w:rPr>
        <w:t xml:space="preserve">) and will be subject to the terms and conditions of the Plan and the stock option agreement issued by the Company evidencing the New Hire Option. Subject to Executive’s continued employment or service with the Company on each vesting date, twenty-five percent of the New Hire Option will vest upon the one-year anniversary of the Effective Date and then ratably over the thirty-six months thereafter.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shall be eligible to receive additional grants of equity awards in the Company’s sole discretion.</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(g)</w:t>
      </w:r>
    </w:p>
    <w:p>
      <w:pPr>
        <w:pStyle w:val="TextBody"/>
        <w:bidi w:val="0"/>
        <w:spacing w:before="0" w:after="240"/>
        <w:jc w:val="both"/>
        <w:rPr/>
      </w:pPr>
      <w:r>
        <w:rPr>
          <w:rFonts w:ascii="Times New Roman" w:hAnsi="Times New Roman"/>
          <w:color w:val="000000"/>
          <w:sz w:val="24"/>
          <w:u w:val="single"/>
        </w:rPr>
        <w:t>Indemnification Agreement; Insurance</w:t>
      </w:r>
      <w:r>
        <w:rPr>
          <w:rFonts w:ascii="Times New Roman" w:hAnsi="Times New Roman"/>
          <w:color w:val="000000"/>
          <w:sz w:val="24"/>
        </w:rPr>
        <w:t>. As an officer of the Company, Executive shall be entitled to enter into the Company’s standard indemnification agreement. Executive will also be covered under a directors and officers liability insurance policy paid for by the Company for so long as Executive serves as an officer of the Company.</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4.</w:t>
      </w:r>
    </w:p>
    <w:p>
      <w:pPr>
        <w:pStyle w:val="TextBody"/>
        <w:bidi w:val="0"/>
        <w:spacing w:before="0" w:after="240"/>
        <w:jc w:val="both"/>
        <w:rPr/>
      </w:pPr>
      <w:r>
        <w:rPr>
          <w:rFonts w:ascii="Times New Roman" w:hAnsi="Times New Roman"/>
          <w:b/>
          <w:color w:val="000000"/>
          <w:sz w:val="24"/>
          <w:u w:val="single"/>
        </w:rPr>
        <w:t>Acceleration of Equity Awards Upon a Change in Control</w:t>
      </w:r>
      <w:r>
        <w:rPr>
          <w:rFonts w:ascii="Times New Roman" w:hAnsi="Times New Roman"/>
          <w:color w:val="000000"/>
          <w:sz w:val="24"/>
        </w:rPr>
        <w:t>. Notwithstanding anything herein to the contrary, in the event of a Change in Control, the vesting of Executive’s then outstanding options, restricted stock and other equity awards covering shares of the Company’s common stock (collectively, “</w:t>
      </w:r>
      <w:r>
        <w:rPr>
          <w:rFonts w:ascii="Times New Roman" w:hAnsi="Times New Roman"/>
          <w:color w:val="000000"/>
          <w:sz w:val="24"/>
          <w:u w:val="single"/>
        </w:rPr>
        <w:t>Equity Awards</w:t>
      </w:r>
      <w:r>
        <w:rPr>
          <w:color w:val="000000"/>
        </w:rPr>
        <w:t>”</w:t>
      </w:r>
      <w:r>
        <w:rPr>
          <w:rFonts w:ascii="Times New Roman" w:hAnsi="Times New Roman"/>
          <w:color w:val="000000"/>
          <w:sz w:val="24"/>
        </w:rPr>
        <w:t>) shall accelerate as of immediately prior to such Change in Control with respect to fifty percent of the unvested shares of Company common stock subject to such Equity Awards. The remaining fifty percent of the unvested shares of Company common stock subject to Executive’s Equity Awards shall continue to vest at the same rate as immediately prior to the Change in Control, subject to Executive’s continued employment with the Company or its successor through the applicable vesting date. Any portion of Executive’s Equity Awards that remains unvested as of the first anniversary of the Change in Control shall thereupon vest in full, subject to Executive’s continued employment with the Company or its successor through such first anniversary. Notwithstanding the foregoing and for the avoidance of doubt, any shares subject to Equity Awards that do not accelerate immediately prior to the Change in Control in accordance with the foregoing shall be subject to accelerated vesting in accordance with Section 6(d)(iii) below.</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5.</w:t>
      </w:r>
    </w:p>
    <w:p>
      <w:pPr>
        <w:pStyle w:val="TextBody"/>
        <w:bidi w:val="0"/>
        <w:spacing w:before="0" w:after="240"/>
        <w:jc w:val="both"/>
        <w:rPr/>
      </w:pPr>
      <w:r>
        <w:rPr>
          <w:rFonts w:ascii="Times New Roman" w:hAnsi="Times New Roman"/>
          <w:b/>
          <w:color w:val="000000"/>
          <w:sz w:val="24"/>
          <w:u w:val="single"/>
        </w:rPr>
        <w:t>Termination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w:t>
      </w:r>
    </w:p>
    <w:p>
      <w:pPr>
        <w:pStyle w:val="TextBody"/>
        <w:bidi w:val="0"/>
        <w:spacing w:before="0" w:after="240"/>
        <w:jc w:val="both"/>
        <w:rPr/>
      </w:pPr>
      <w:r>
        <w:rPr>
          <w:rFonts w:ascii="Times New Roman" w:hAnsi="Times New Roman"/>
          <w:color w:val="000000"/>
          <w:sz w:val="24"/>
          <w:u w:val="single"/>
        </w:rPr>
        <w:t>At-Will Employment</w:t>
      </w:r>
      <w:r>
        <w:rPr>
          <w:rFonts w:ascii="Times New Roman" w:hAnsi="Times New Roman"/>
          <w:color w:val="000000"/>
          <w:sz w:val="24"/>
        </w:rPr>
        <w:t xml:space="preserve">. The Company and Executive acknowledge that Executive’s employment is and shall continue to be at-will, as defined under applicable law. This means that it is not for any specified period of time and can be terminated by Executive or by the Company at any time, with or without advance notice, and for any or no particular reason or cause. It also means that Executive’s job duties, title, and responsibility and reporting level, work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an authorized officer of the Company. If Executive’s employment terminates for any lawful reason, Executive shall not be entitled to any payments, benefits, Equity Awards or other compensation other than as provided in this Agreement.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(b)</w:t>
      </w:r>
    </w:p>
    <w:p>
      <w:pPr>
        <w:pStyle w:val="TextBody"/>
        <w:bidi w:val="0"/>
        <w:spacing w:before="0" w:after="240"/>
        <w:jc w:val="both"/>
        <w:rPr/>
      </w:pPr>
      <w:r>
        <w:rPr>
          <w:rFonts w:ascii="Times New Roman" w:hAnsi="Times New Roman"/>
          <w:color w:val="000000"/>
          <w:sz w:val="24"/>
          <w:u w:val="single"/>
        </w:rPr>
        <w:t>Notice of Termination</w:t>
      </w:r>
      <w:r>
        <w:rPr>
          <w:rFonts w:ascii="Times New Roman" w:hAnsi="Times New Roman"/>
          <w:color w:val="000000"/>
          <w:sz w:val="24"/>
        </w:rPr>
        <w:t>. During the Term of Employment, any termination of Executive’s employment by the Company or by Executive (other than by reason of death) shall be communicated by written notice (a “</w:t>
      </w:r>
      <w:r>
        <w:rPr>
          <w:rFonts w:ascii="Times New Roman" w:hAnsi="Times New Roman"/>
          <w:color w:val="000000"/>
          <w:sz w:val="24"/>
          <w:u w:val="single"/>
        </w:rPr>
        <w:t>Notice of Termination</w:t>
      </w:r>
      <w:r>
        <w:rPr>
          <w:color w:val="000000"/>
        </w:rPr>
        <w:t>”</w:t>
      </w:r>
      <w:r>
        <w:rPr>
          <w:rFonts w:ascii="Times New Roman" w:hAnsi="Times New Roman"/>
          <w:color w:val="000000"/>
          <w:sz w:val="24"/>
        </w:rPr>
        <w:t>) from one Party hereto to the other Party hereto (i) 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the termination of Executive’s employment with the Company (the “</w:t>
      </w:r>
      <w:r>
        <w:rPr>
          <w:rFonts w:ascii="Times New Roman" w:hAnsi="Times New Roman"/>
          <w:color w:val="000000"/>
          <w:sz w:val="24"/>
          <w:u w:val="single"/>
        </w:rPr>
        <w:t>Date of Termination</w:t>
      </w:r>
      <w:r>
        <w:rPr>
          <w:color w:val="000000"/>
        </w:rPr>
        <w:t>”</w:t>
      </w:r>
      <w:r>
        <w:rPr>
          <w:rFonts w:ascii="Times New Roman" w:hAnsi="Times New Roman"/>
          <w:color w:val="000000"/>
          <w:sz w:val="24"/>
        </w:rPr>
        <w:t>). The failure by the Company to set forth in the Notice of Termination all of the facts and circumstances which contribute to a showing of Cause shall not waive any right of the Company hereunder or preclude the Company from asserting such fact or circumstance in enforcing its rights hereunder. The failure by Executive to set forth in the Notice of Termination all of the facts and circumstances which contribute to a showing of Good Reason shall not waive any right of Executive hereunder or preclude Executive from asserting such fact or circumstance in enforcing Executive’s rights hereunder.</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w:t>
      </w:r>
    </w:p>
    <w:p>
      <w:pPr>
        <w:pStyle w:val="TextBody"/>
        <w:bidi w:val="0"/>
        <w:spacing w:before="0" w:after="240"/>
        <w:jc w:val="both"/>
        <w:rPr/>
      </w:pPr>
      <w:r>
        <w:rPr>
          <w:rFonts w:ascii="Times New Roman" w:hAnsi="Times New Roman"/>
          <w:color w:val="000000"/>
          <w:sz w:val="24"/>
          <w:u w:val="single"/>
        </w:rPr>
        <w:t>Deemed Resignation</w:t>
      </w:r>
      <w:r>
        <w:rPr>
          <w:rFonts w:ascii="Times New Roman" w:hAnsi="Times New Roman"/>
          <w:color w:val="000000"/>
          <w:sz w:val="24"/>
        </w:rPr>
        <w:t>. Upon termination of Executive’s employment with the Company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w:t>
      </w:r>
    </w:p>
    <w:p>
      <w:pPr>
        <w:pStyle w:val="TextBody"/>
        <w:bidi w:val="0"/>
        <w:spacing w:before="0" w:after="240"/>
        <w:jc w:val="both"/>
        <w:rPr/>
      </w:pPr>
      <w:r>
        <w:rPr>
          <w:rFonts w:ascii="Times New Roman" w:hAnsi="Times New Roman"/>
          <w:b/>
          <w:color w:val="000000"/>
          <w:sz w:val="24"/>
          <w:u w:val="single"/>
        </w:rPr>
        <w:t>Consequences of Termination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w:t>
      </w:r>
    </w:p>
    <w:p>
      <w:pPr>
        <w:pStyle w:val="TextBody"/>
        <w:bidi w:val="0"/>
        <w:spacing w:before="0" w:after="240"/>
        <w:jc w:val="both"/>
        <w:rPr/>
      </w:pPr>
      <w:r>
        <w:rPr>
          <w:rFonts w:ascii="Times New Roman" w:hAnsi="Times New Roman"/>
          <w:color w:val="000000"/>
          <w:sz w:val="24"/>
          <w:u w:val="single"/>
        </w:rPr>
        <w:t>Payments upon Termination</w:t>
      </w:r>
      <w:r>
        <w:rPr>
          <w:rFonts w:ascii="Times New Roman" w:hAnsi="Times New Roman"/>
          <w:color w:val="000000"/>
          <w:sz w:val="24"/>
        </w:rPr>
        <w:t xml:space="preserve">. In the event Executive’s employment with the Company terminates pursuant to Section 5, then Executive shall be entitled to the applicable payments and benefits set forth below subject to, </w:t>
      </w:r>
      <w:r>
        <w:rPr>
          <w:rFonts w:ascii="Times New Roman" w:hAnsi="Times New Roman"/>
          <w:color w:val="231F20"/>
          <w:sz w:val="24"/>
        </w:rPr>
        <w:t xml:space="preserve">in the case of a termination described in Section 6(c) or 6(d), </w:t>
      </w:r>
      <w:r>
        <w:rPr>
          <w:rFonts w:ascii="Times New Roman" w:hAnsi="Times New Roman"/>
          <w:color w:val="000000"/>
          <w:sz w:val="24"/>
        </w:rPr>
        <w:t>Executive delivering to the Company a waiver and release of claims agreement in standard reasonable form approved by the Company that becomes effective and irrevocable in accordance with Section 7 hereof (a “</w:t>
      </w:r>
      <w:r>
        <w:rPr>
          <w:rFonts w:ascii="Times New Roman" w:hAnsi="Times New Roman"/>
          <w:color w:val="000000"/>
          <w:sz w:val="24"/>
          <w:u w:val="single"/>
        </w:rPr>
        <w:t>Release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(b)</w:t>
      </w:r>
    </w:p>
    <w:p>
      <w:pPr>
        <w:pStyle w:val="TextBody"/>
        <w:bidi w:val="0"/>
        <w:spacing w:before="0" w:after="240"/>
        <w:jc w:val="both"/>
        <w:rPr/>
      </w:pPr>
      <w:r>
        <w:rPr>
          <w:rFonts w:ascii="Times New Roman" w:hAnsi="Times New Roman"/>
          <w:color w:val="000000"/>
          <w:sz w:val="24"/>
          <w:u w:val="single"/>
        </w:rPr>
        <w:t>Payments upon Termination by the Company for Cause or by Executive Without Good Reason</w:t>
      </w:r>
      <w:r>
        <w:rPr>
          <w:rFonts w:ascii="Times New Roman" w:hAnsi="Times New Roman"/>
          <w:color w:val="000000"/>
          <w:sz w:val="24"/>
        </w:rPr>
        <w:t xml:space="preserve">. Upon a termination of Executive’s employment with the Company at any time for Cause or by Executive without Good Reason, Executive (or Executive’s estate or legal representative, as applicable) shall be entitled to receive, within thirty days of the Date of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Termination (whether such termination of employment is effected by the Company or Executive) (or such earlier date as may be required by applicable law): (i) any portion of Executive’s Annual Base Salary earned through Executive’s Date of Termination not theretofore paid; (ii) any reimbursement of expenses owed to Executive under Section 3(d) above; and (iii) any accrued but unused vacation or paid time-off owed to Executive ((i)-(iii) defined as the “</w:t>
      </w:r>
      <w:r>
        <w:rPr>
          <w:rFonts w:ascii="Times New Roman" w:hAnsi="Times New Roman"/>
          <w:color w:val="000000"/>
          <w:sz w:val="24"/>
          <w:u w:val="single"/>
        </w:rPr>
        <w:t>Accrued Obligations</w:t>
      </w:r>
      <w:r>
        <w:rPr>
          <w:color w:val="000000"/>
        </w:rPr>
        <w:t>”</w:t>
      </w:r>
      <w:r>
        <w:rPr>
          <w:rFonts w:ascii="Times New Roman" w:hAnsi="Times New Roman"/>
          <w:color w:val="000000"/>
          <w:sz w:val="24"/>
        </w:rPr>
        <w:t>). In the event Executive is terminated by the Company for Cause, Executive shall forfeit, effective as of the date Executive engages in such conduct giving rise to his termination for Cause, all unexercised, unearned and/or unpaid Equity Awards, including without limitation, Equity Awards earned but not yet paid, all unpaid dividends and dividend equivalents and all interest, if any, accrued on the foregoing.</w:t>
      </w:r>
      <w:r>
        <w:rPr>
          <w:color w:val="000000"/>
        </w:rPr>
        <w:t xml:space="preserve">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w:t>
      </w:r>
    </w:p>
    <w:p>
      <w:pPr>
        <w:pStyle w:val="TextBody"/>
        <w:bidi w:val="0"/>
        <w:spacing w:before="0" w:after="240"/>
        <w:jc w:val="both"/>
        <w:rPr/>
      </w:pPr>
      <w:r>
        <w:rPr>
          <w:rFonts w:ascii="Times New Roman" w:hAnsi="Times New Roman"/>
          <w:color w:val="000000"/>
          <w:sz w:val="24"/>
          <w:u w:val="single"/>
        </w:rPr>
        <w:t>Severance Payments upon Involuntary Termination Outside a Change in Control Period</w:t>
      </w:r>
      <w:r>
        <w:rPr>
          <w:rFonts w:ascii="Times New Roman" w:hAnsi="Times New Roman"/>
          <w:color w:val="000000"/>
          <w:sz w:val="24"/>
        </w:rPr>
        <w:t>. If, outside a Change in Control Period, Executive’s employment is terminated due to an Involuntary Termination, the Company shall provide the following payments and benefits: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Accrued Obligations;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amount in cash equal to (A) twelve months of Executive’s Annual Base Salary plus (B) Executive’s target Bonus for the calendar year in which such Involuntary Termination occurs, pro-rated based on the total number of days elapsed in the calendar year as of Executive’s Date of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fifty percent of the unvested Equity Awards held by the Executive as of the Date of Termination will become fully vested and, if applicable, exercisable, and all restrictions and rights of repurchase thereon shall lapse with respect to all of the shares of the Company’s common stock subject thereto; and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color w:val="000000"/>
          <w:sz w:val="24"/>
        </w:rPr>
        <w:t>during the period commencing on the Date of Termination and ending on the twelve-month anniversary thereof or, if earlier, the date on which Executive becomes eligible for comparable replacement coverage under a subsequent employer’s group health plan, subject to Executive’s valid election to continue healthcare coverage under Section 4980B of the Internal Revenue Code of 1986, as amended (the “</w:t>
      </w:r>
      <w:r>
        <w:rPr>
          <w:rFonts w:ascii="Times New Roman" w:hAnsi="Times New Roman"/>
          <w:color w:val="000000"/>
          <w:sz w:val="24"/>
          <w:u w:val="single"/>
        </w:rPr>
        <w:t>Code</w:t>
      </w:r>
      <w:r>
        <w:rPr>
          <w:color w:val="000000"/>
        </w:rPr>
        <w:t>”</w:t>
      </w:r>
      <w:r>
        <w:rPr>
          <w:rFonts w:ascii="Times New Roman" w:hAnsi="Times New Roman"/>
          <w:color w:val="000000"/>
          <w:sz w:val="24"/>
        </w:rPr>
        <w:t>) and the regulations thereunder (“</w:t>
      </w:r>
      <w:r>
        <w:rPr>
          <w:rFonts w:ascii="Times New Roman" w:hAnsi="Times New Roman"/>
          <w:color w:val="000000"/>
          <w:sz w:val="24"/>
          <w:u w:val="single"/>
        </w:rPr>
        <w:t>COBRA</w:t>
      </w:r>
      <w:r>
        <w:rPr>
          <w:color w:val="000000"/>
        </w:rPr>
        <w:t>”</w:t>
      </w:r>
      <w:r>
        <w:rPr>
          <w:rFonts w:ascii="Times New Roman" w:hAnsi="Times New Roman"/>
          <w:color w:val="000000"/>
          <w:sz w:val="24"/>
        </w:rPr>
        <w:t>), the Company shall, in its sole discretion, either (A) continue to provide to Executive and Executive’s dependents, at the Company’s sole expense, or (B) reimburse Executive and Executive’s dependents for the cost of, in either case, coverage under its group health plan (if any) at the same coverage levels in effect on the Date of Termination (“</w:t>
      </w:r>
      <w:r>
        <w:rPr>
          <w:rFonts w:ascii="Times New Roman" w:hAnsi="Times New Roman"/>
          <w:color w:val="000000"/>
          <w:sz w:val="24"/>
          <w:u w:val="single"/>
        </w:rPr>
        <w:t>Benefits Coverage</w:t>
      </w:r>
      <w:r>
        <w:rPr>
          <w:color w:val="000000"/>
        </w:rPr>
        <w:t>”</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equal taxable monthly installments over the COBRA continuation period (or remaining portion thereof).</w:t>
      </w:r>
      <w:r>
        <w:rPr>
          <w:color w:val="000000"/>
        </w:rPr>
        <w:t xml:space="preserve">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(d)</w:t>
      </w:r>
    </w:p>
    <w:p>
      <w:pPr>
        <w:pStyle w:val="TextBody"/>
        <w:bidi w:val="0"/>
        <w:spacing w:before="0" w:after="240"/>
        <w:jc w:val="both"/>
        <w:rPr/>
      </w:pPr>
      <w:r>
        <w:rPr>
          <w:rFonts w:ascii="Times New Roman" w:hAnsi="Times New Roman"/>
          <w:color w:val="000000"/>
          <w:sz w:val="24"/>
          <w:u w:val="single"/>
        </w:rPr>
        <w:t>Severance Payments upon Involuntary Termination During a Change in Control Period</w:t>
      </w:r>
      <w:r>
        <w:rPr>
          <w:rFonts w:ascii="Times New Roman" w:hAnsi="Times New Roman"/>
          <w:color w:val="000000"/>
          <w:sz w:val="24"/>
        </w:rPr>
        <w:t>. If, during a Change in Control Period, Executive’s employment is terminated due to an Involuntary Termination, the Company shall provide the following payments and benefits: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Accrued Obligations;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amount in cash equal to (A) eighteen months of Executive’s Annual Base Salary plus (B) one hundred percent (100%) of Executive’s Target Bonus for the calendar year in which such Involuntary Termination occurs (for the avoidance of doubt, if (x) Executive incurred an Involuntary Termination prior to a Change in Control that qualifies Executive for severance payments under Section 6(c)(ii), and (y) a Change in Control occurs within the three-month period following Executive’s Involuntary Termination that qualifies Executive for the increased benefits under this Section 6(d)(ii), then Executive shall be entitled to a lump-sum payment of the amount calculated under this Section 6(d)(ii), less any amount already paid under Section 6(c)(ii));</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one hundred percent (100%) of all unvested Equity Awards held by Executive as of the Date of Termination, will become fully vested and, if applicable, exercisable, and all restrictions and rights of repurchase thereon shall lapse with respect to all of the shares of the Company’s common stock subject thereto effective on the later of (x) the Date of Termination or (y) the date of the Change in Control (for the avoidance of doubt, if Executive’s Involuntary Termination occurs prior to a Change in Control, then any unvested portion of Executive’s outstanding Equity Awards will remain outstanding for three months following the Date of Termination (or, if earlier, until the occurrence of a Change in Control) so that any vesting acceleration benefits provided under this clause (iii) can be provided if a Change in Control occurs within three months following such termination (provided that in no event will the Equity Awards remain outstanding beyond the Equity Award’s maximum term or expiration date)). In such case, if no Change in Control occurs within three months following Executive’s termination, any unvested portion of Executive’s Equity Awards automatically will be forfeited without having vested;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color w:val="000000"/>
          <w:sz w:val="24"/>
        </w:rPr>
        <w:t xml:space="preserve">during the period commencing on the Date of Termination and ending on the twelve-month anniversary thereof or, if earlier, the date on which Executive becomes eligible for comparable replacement coverage under a subsequent employer’s group health plan, subject to Executive’s valid election to continue healthcare coverage under COBRA, the Company shall, in its sole discretion, either (A) continue to provide to Executive and Executive’s dependents, at the Company’s sole expense, or (B) reimburse Executive and Executive’s dependents for the cost of, in either case, the Benefits Coverage;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(1) any plan pursuant to which such benefits are provided is not, or ceases prior to the expiration of the continuation coverage period to be, exempt from the application of Section 409A under Treasury Regulation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taxable monthly installments over the COBRA continuation period (or remaining portion thereof).</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w:t>
      </w:r>
    </w:p>
    <w:p>
      <w:pPr>
        <w:pStyle w:val="TextBody"/>
        <w:bidi w:val="0"/>
        <w:spacing w:before="0" w:after="240"/>
        <w:jc w:val="both"/>
        <w:rPr/>
      </w:pPr>
      <w:r>
        <w:rPr>
          <w:rFonts w:ascii="Times New Roman" w:hAnsi="Times New Roman"/>
          <w:color w:val="000000"/>
          <w:sz w:val="24"/>
          <w:u w:val="single"/>
        </w:rPr>
        <w:t>No Other Severance</w:t>
      </w:r>
      <w:r>
        <w:rPr>
          <w:rFonts w:ascii="Times New Roman" w:hAnsi="Times New Roman"/>
          <w:color w:val="000000"/>
          <w:sz w:val="24"/>
        </w:rPr>
        <w:t>. The provisions of this Agreement, including, without limitation, this Section 6, shall supersede in their entirety any severance payment provisions in any severance plan, policy, program, or other arrangement maintained by the Company except for such additional benefits otherwise approved by the Board or Compensation Committee of the Board after the date hereof.</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(f)</w:t>
      </w:r>
    </w:p>
    <w:p>
      <w:pPr>
        <w:pStyle w:val="TextBody"/>
        <w:bidi w:val="0"/>
        <w:spacing w:before="0" w:after="240"/>
        <w:jc w:val="both"/>
        <w:rPr/>
      </w:pPr>
      <w:r>
        <w:rPr>
          <w:rFonts w:ascii="Times New Roman" w:hAnsi="Times New Roman"/>
          <w:color w:val="000000"/>
          <w:sz w:val="24"/>
          <w:u w:val="single"/>
        </w:rPr>
        <w:t>No Requirement to Mitigate; Survival</w:t>
      </w:r>
      <w:r>
        <w:rPr>
          <w:rFonts w:ascii="Times New Roman" w:hAnsi="Times New Roman"/>
          <w:color w:val="000000"/>
          <w:sz w:val="24"/>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w:t>
      </w:r>
    </w:p>
    <w:p>
      <w:pPr>
        <w:pStyle w:val="TextBody"/>
        <w:bidi w:val="0"/>
        <w:spacing w:before="0" w:after="240"/>
        <w:jc w:val="both"/>
        <w:rPr/>
      </w:pPr>
      <w:r>
        <w:rPr>
          <w:rFonts w:ascii="Times New Roman" w:hAnsi="Times New Roman"/>
          <w:b/>
          <w:color w:val="000000"/>
          <w:sz w:val="24"/>
          <w:u w:val="single"/>
        </w:rPr>
        <w:t>Release and Payment Timing.</w:t>
      </w:r>
      <w:r>
        <w:rPr>
          <w:color w:val="000000"/>
        </w:rPr>
        <w:t xml:space="preserve"> </w:t>
      </w:r>
    </w:p>
    <w:p>
      <w:pPr>
        <w:pStyle w:val="TextBody"/>
        <w:bidi w:val="0"/>
        <w:spacing w:before="0" w:after="0"/>
        <w:jc w:val="both"/>
        <w:rPr>
          <w:rFonts w:ascii="Times New Roman" w:hAnsi="Times New Roman"/>
          <w:b/>
          <w:color w:val="231F20"/>
          <w:sz w:val="24"/>
          <w:u w:val="single"/>
        </w:rPr>
      </w:pPr>
      <w:r>
        <w:rPr>
          <w:rFonts w:ascii="Times New Roman" w:hAnsi="Times New Roman"/>
          <w:b/>
          <w:color w:val="231F20"/>
          <w:sz w:val="24"/>
          <w:u w:val="single"/>
        </w:rPr>
        <w:t>(a)</w:t>
      </w:r>
    </w:p>
    <w:p>
      <w:pPr>
        <w:pStyle w:val="TextBody"/>
        <w:bidi w:val="0"/>
        <w:jc w:val="both"/>
        <w:rPr/>
      </w:pPr>
      <w:r>
        <w:rPr>
          <w:rFonts w:ascii="Times New Roman" w:hAnsi="Times New Roman"/>
          <w:color w:val="000000"/>
          <w:sz w:val="22"/>
          <w:u w:val="single"/>
        </w:rPr>
        <w:t>Release</w:t>
      </w:r>
      <w:r>
        <w:rPr>
          <w:rFonts w:ascii="Times New Roman" w:hAnsi="Times New Roman"/>
          <w:color w:val="000000"/>
          <w:sz w:val="22"/>
        </w:rPr>
        <w:t xml:space="preserve">. </w:t>
      </w:r>
      <w:r>
        <w:rPr>
          <w:rFonts w:ascii="Times New Roman" w:hAnsi="Times New Roman"/>
          <w:color w:val="231F20"/>
          <w:sz w:val="24"/>
        </w:rPr>
        <w:t>Notwithstanding anything to the contrary in this Agreement, any payments or other benefits due under this Agreement under Sections 6(c) and 6(d) as a result of Executive’s termination of employment (other than the Accrued Obligations) are subject to Executive’s execution and delivery of a Release, as follows: (i) the Company shall deliver the Release to Executive within five days following Executive’s Date of Termination, and the Company’s failure to deliver a Release prior to the expiration of such five day period shall constitute a waiver of any requirement to execute a Release, (ii) if Executive fails to execute the Release on or prior to the Release Expiration Date (as defined below) or timely revokes Executive’s acceptance of the Release thereafter, Executive shall not be entitled to any payments or benefits otherwise conditioned on the Release, and (iii) if the Release does not become effective and irrevocable no later than sixty days following the Date of Termination (such deadline, the “</w:t>
      </w:r>
      <w:r>
        <w:rPr>
          <w:rFonts w:ascii="Times New Roman" w:hAnsi="Times New Roman"/>
          <w:color w:val="231F20"/>
          <w:sz w:val="24"/>
          <w:u w:val="single"/>
        </w:rPr>
        <w:t>Release Deadline</w:t>
      </w:r>
      <w:r>
        <w:rPr>
          <w:color w:val="231F20"/>
        </w:rPr>
        <w:t>”</w:t>
      </w:r>
      <w:r>
        <w:rPr>
          <w:rFonts w:ascii="Times New Roman" w:hAnsi="Times New Roman"/>
          <w:color w:val="231F20"/>
          <w:sz w:val="24"/>
        </w:rPr>
        <w:t>), Executive shall not be entitled to any payments or benefits otherwise conditioned on the Release. For purposes of this Section 7, “</w:t>
      </w:r>
      <w:r>
        <w:rPr>
          <w:rFonts w:ascii="Times New Roman" w:hAnsi="Times New Roman"/>
          <w:color w:val="231F20"/>
          <w:sz w:val="24"/>
          <w:u w:val="single"/>
        </w:rPr>
        <w:t>Release Expiration Date</w:t>
      </w:r>
      <w:r>
        <w:rPr>
          <w:color w:val="231F20"/>
        </w:rPr>
        <w:t xml:space="preserve">” </w:t>
      </w:r>
      <w:r>
        <w:rPr>
          <w:rFonts w:ascii="Times New Roman" w:hAnsi="Times New Roman"/>
          <w:color w:val="231F20"/>
          <w:sz w:val="24"/>
        </w:rPr>
        <w:t xml:space="preserve">shall mean the date that is twenty-one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days following such delivery date. </w:t>
      </w:r>
    </w:p>
    <w:p>
      <w:pPr>
        <w:pStyle w:val="TextBody"/>
        <w:bidi w:val="0"/>
        <w:jc w:val="both"/>
        <w:rPr/>
      </w:pPr>
      <w:r>
        <w:rPr/>
        <w:t> </w:t>
      </w:r>
    </w:p>
    <w:p>
      <w:pPr>
        <w:pStyle w:val="TextBody"/>
        <w:bidi w:val="0"/>
        <w:spacing w:before="0" w:after="0"/>
        <w:jc w:val="both"/>
        <w:rPr>
          <w:rFonts w:ascii="Times New Roman" w:hAnsi="Times New Roman"/>
          <w:b/>
          <w:color w:val="231F20"/>
          <w:sz w:val="24"/>
          <w:u w:val="single"/>
        </w:rPr>
      </w:pPr>
      <w:r>
        <w:rPr>
          <w:rFonts w:ascii="Times New Roman" w:hAnsi="Times New Roman"/>
          <w:b/>
          <w:color w:val="231F20"/>
          <w:sz w:val="24"/>
          <w:u w:val="single"/>
        </w:rPr>
        <w:t>(b)</w:t>
      </w:r>
    </w:p>
    <w:p>
      <w:pPr>
        <w:pStyle w:val="TextBody"/>
        <w:bidi w:val="0"/>
        <w:jc w:val="both"/>
        <w:rPr/>
      </w:pPr>
      <w:r>
        <w:rPr>
          <w:rFonts w:ascii="Times New Roman" w:hAnsi="Times New Roman"/>
          <w:color w:val="000000"/>
          <w:sz w:val="24"/>
          <w:u w:val="single"/>
        </w:rPr>
        <w:t>Payment Timing</w:t>
      </w:r>
      <w:r>
        <w:rPr>
          <w:rFonts w:ascii="Times New Roman" w:hAnsi="Times New Roman"/>
          <w:color w:val="000000"/>
          <w:sz w:val="24"/>
        </w:rPr>
        <w:t xml:space="preserve">. The payments due under Sections 6(c)(ii) and 6(d)(ii) of this Agreement as a result of Executive’s termination of employment shall be paid in a lump sum on the date that is sixty days following the Date of Termination; provided, however, that, in the event of Executive’s Involuntary Termination during the Change in Control Period but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prior to a Change in Control, any additional amount payable to Executive under Section 6(d)(ii) in excess of the amounts payable to such Executive under Section 6(c)(ii) shall be paid in a lump sum on the date that is sixty days following the later of (i) the Date of Termination, or (ii) the date of the Change in Control.</w:t>
      </w:r>
    </w:p>
    <w:p>
      <w:pPr>
        <w:pStyle w:val="TextBody"/>
        <w:bidi w:val="0"/>
        <w:jc w:val="left"/>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8.</w:t>
      </w:r>
    </w:p>
    <w:p>
      <w:pPr>
        <w:pStyle w:val="TextBody"/>
        <w:bidi w:val="0"/>
        <w:spacing w:before="0" w:after="240"/>
        <w:jc w:val="both"/>
        <w:rPr/>
      </w:pPr>
      <w:r>
        <w:rPr>
          <w:rFonts w:ascii="Times New Roman" w:hAnsi="Times New Roman"/>
          <w:b/>
          <w:color w:val="000000"/>
          <w:sz w:val="24"/>
          <w:u w:val="single"/>
        </w:rPr>
        <w:t>Continuing Obligations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w:t>
      </w:r>
    </w:p>
    <w:p>
      <w:pPr>
        <w:pStyle w:val="TextBody"/>
        <w:bidi w:val="0"/>
        <w:spacing w:before="0" w:after="240"/>
        <w:jc w:val="both"/>
        <w:rPr/>
      </w:pPr>
      <w:r>
        <w:rPr>
          <w:rFonts w:ascii="Times New Roman" w:hAnsi="Times New Roman"/>
          <w:color w:val="000000"/>
          <w:sz w:val="24"/>
          <w:u w:val="single"/>
        </w:rPr>
        <w:t>Proprietary Information Agreement</w:t>
      </w:r>
      <w:r>
        <w:rPr>
          <w:rFonts w:ascii="Times New Roman" w:hAnsi="Times New Roman"/>
          <w:color w:val="000000"/>
          <w:sz w:val="24"/>
        </w:rPr>
        <w:t>. In connection with Executive’s commencement of employment, Executive will be required to sign and agree to abide by the terms of the Company’s standard employee proprietary information and inventions agreement (the “</w:t>
      </w:r>
      <w:r>
        <w:rPr>
          <w:rFonts w:ascii="Times New Roman" w:hAnsi="Times New Roman"/>
          <w:color w:val="000000"/>
          <w:sz w:val="24"/>
          <w:u w:val="single"/>
        </w:rPr>
        <w:t>Proprietary Information Agreement</w:t>
      </w:r>
      <w:r>
        <w:rPr>
          <w:color w:val="000000"/>
        </w:rPr>
        <w:t>”</w:t>
      </w:r>
      <w:r>
        <w:rPr>
          <w:rFonts w:ascii="Times New Roman" w:hAnsi="Times New Roman"/>
          <w:color w:val="000000"/>
          <w:sz w:val="24"/>
        </w:rPr>
        <w:t xml:space="preserve">), which is attached hereto as </w:t>
      </w:r>
      <w:r>
        <w:rPr>
          <w:rFonts w:ascii="Times New Roman" w:hAnsi="Times New Roman"/>
          <w:color w:val="000000"/>
          <w:sz w:val="24"/>
          <w:u w:val="single"/>
        </w:rPr>
        <w:t>Appendix II</w:t>
      </w:r>
      <w:r>
        <w:rPr>
          <w:color w:val="000000"/>
        </w:rPr>
        <w:t xml:space="preserve"> </w:t>
      </w:r>
      <w:r>
        <w:rPr>
          <w:rFonts w:ascii="Times New Roman" w:hAnsi="Times New Roman"/>
          <w:color w:val="000000"/>
          <w:sz w:val="24"/>
        </w:rPr>
        <w:t xml:space="preserve">and incorporated herein by reference, and agrees that Executive shall continue to be subject to the terms and conditions of such agreement during the term of this Agreement and that such obligations shall survive the Date of Termination.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(b)</w:t>
      </w:r>
    </w:p>
    <w:p>
      <w:pPr>
        <w:pStyle w:val="TextBody"/>
        <w:bidi w:val="0"/>
        <w:spacing w:before="0" w:after="240"/>
        <w:jc w:val="both"/>
        <w:rPr/>
      </w:pPr>
      <w:r>
        <w:rPr>
          <w:rFonts w:ascii="Times New Roman" w:hAnsi="Times New Roman"/>
          <w:color w:val="000000"/>
          <w:sz w:val="24"/>
          <w:u w:val="single"/>
        </w:rPr>
        <w:t>Non-Solicitation</w:t>
      </w:r>
      <w:r>
        <w:rPr>
          <w:rFonts w:ascii="Times New Roman" w:hAnsi="Times New Roman"/>
          <w:color w:val="000000"/>
          <w:sz w:val="24"/>
        </w:rPr>
        <w:t xml:space="preserve">. For a period of one year following Executive’s Date of Termination, Executive shall not, either directly or indirectly (i) solicit for employment through any individual, corporation, firm, or other business, any employees, consultants, independent contractors, or other service providers of the Company or any of its affiliates, or (ii) solicit any employee, consultant or other service provider of the Company or any of its affiliates to leave the employment or consulting of or cease providing services to the Company or any of its affiliates;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foregoing clauses (i) and (ii) shall not apply to inbound inquiries or any general advertisement or solicitation (or any hiring pursuant to such advertisement or solicitation) that is not specifically targeted to such employees, consultants or other service providers.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w:t>
      </w:r>
    </w:p>
    <w:p>
      <w:pPr>
        <w:pStyle w:val="TextBody"/>
        <w:bidi w:val="0"/>
        <w:spacing w:before="0" w:after="240"/>
        <w:jc w:val="both"/>
        <w:rPr/>
      </w:pPr>
      <w:r>
        <w:rPr>
          <w:rFonts w:ascii="Times New Roman" w:hAnsi="Times New Roman"/>
          <w:color w:val="000000"/>
          <w:sz w:val="24"/>
          <w:u w:val="single"/>
        </w:rPr>
        <w:t>Return of Property</w:t>
      </w:r>
      <w:r>
        <w:rPr>
          <w:rFonts w:ascii="Times New Roman" w:hAnsi="Times New Roman"/>
          <w:color w:val="000000"/>
          <w:sz w:val="24"/>
        </w:rPr>
        <w:t xml:space="preserve">. Upon the Date of Termination, Executive agrees to promptly deliver to the Company, all Company documents (and all copies thereof) and other Company property that Executive had in his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(d)</w:t>
      </w:r>
    </w:p>
    <w:p>
      <w:pPr>
        <w:pStyle w:val="TextBody"/>
        <w:bidi w:val="0"/>
        <w:spacing w:before="0" w:after="240"/>
        <w:jc w:val="both"/>
        <w:rPr/>
      </w:pPr>
      <w:r>
        <w:rPr>
          <w:rFonts w:ascii="Times New Roman" w:hAnsi="Times New Roman"/>
          <w:color w:val="000000"/>
          <w:sz w:val="24"/>
          <w:u w:val="single"/>
        </w:rPr>
        <w:t>Remedies</w:t>
      </w:r>
      <w:r>
        <w:rPr>
          <w:rFonts w:ascii="Times New Roman" w:hAnsi="Times New Roman"/>
          <w:color w:val="000000"/>
          <w:sz w:val="24"/>
        </w:rPr>
        <w:t xml:space="preserve">. If Executive breaches or threatens to commit a breach of any of the provisions of this Section 8, Executive agrees that such breach or threatened breach would cause irreparable injury to the Company and that money damages would not provide an adequate remedy to the Company. The Company shall also have any other rights and remedies available to the Company under law or in equity, as well as the right to immediately cease providing the post-termination compensation in Section 6(c) and Section 6(d).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w:t>
      </w:r>
    </w:p>
    <w:p>
      <w:pPr>
        <w:pStyle w:val="TextBody"/>
        <w:bidi w:val="0"/>
        <w:spacing w:before="0" w:after="240"/>
        <w:jc w:val="both"/>
        <w:rPr/>
      </w:pPr>
      <w:r>
        <w:rPr>
          <w:rFonts w:ascii="Times New Roman" w:hAnsi="Times New Roman"/>
          <w:color w:val="000000"/>
          <w:sz w:val="24"/>
          <w:u w:val="single"/>
        </w:rPr>
        <w:t>Other Protections</w:t>
      </w:r>
      <w:r>
        <w:rPr>
          <w:rFonts w:ascii="Times New Roman" w:hAnsi="Times New Roman"/>
          <w:color w:val="000000"/>
          <w:sz w:val="24"/>
        </w:rPr>
        <w:t>. Nothing in this Agreement or the Proprietary Information Agreement shall prevent Executive or any other person from (i)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(ii) exercising any rights Executive or any other person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Executive or any other person has reason to believe is unlawful. In addition, Executive acknowledges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9.</w:t>
      </w:r>
    </w:p>
    <w:p>
      <w:pPr>
        <w:pStyle w:val="TextBody"/>
        <w:bidi w:val="0"/>
        <w:spacing w:before="0" w:after="240"/>
        <w:jc w:val="both"/>
        <w:rPr/>
      </w:pPr>
      <w:r>
        <w:rPr>
          <w:rFonts w:ascii="Times New Roman" w:hAnsi="Times New Roman"/>
          <w:b/>
          <w:color w:val="000000"/>
          <w:sz w:val="24"/>
          <w:u w:val="single"/>
        </w:rPr>
        <w:t>Golden Parachute Excise Tax</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w:t>
      </w:r>
    </w:p>
    <w:p>
      <w:pPr>
        <w:pStyle w:val="TextBody"/>
        <w:bidi w:val="0"/>
        <w:spacing w:before="0" w:after="240"/>
        <w:jc w:val="both"/>
        <w:rPr/>
      </w:pPr>
      <w:r>
        <w:rPr>
          <w:rFonts w:ascii="Times New Roman" w:hAnsi="Times New Roman"/>
          <w:color w:val="000000"/>
          <w:sz w:val="24"/>
          <w:u w:val="single"/>
        </w:rPr>
        <w:t>Best Pay</w:t>
      </w:r>
      <w:r>
        <w:rPr>
          <w:rFonts w:ascii="Times New Roman" w:hAnsi="Times New Roman"/>
          <w:color w:val="000000"/>
          <w:sz w:val="24"/>
        </w:rPr>
        <w:t>. Any provision of this Agreement to the contrary notwithstanding, if any payment or benefit Executive would receive from the Company pursuant to this Agreement or otherwise (“</w:t>
      </w:r>
      <w:r>
        <w:rPr>
          <w:rFonts w:ascii="Times New Roman" w:hAnsi="Times New Roman"/>
          <w:color w:val="000000"/>
          <w:sz w:val="24"/>
          <w:u w:val="single"/>
        </w:rPr>
        <w:t>Payment</w:t>
      </w:r>
      <w:r>
        <w:rPr>
          <w:color w:val="000000"/>
        </w:rPr>
        <w:t>”</w:t>
      </w:r>
      <w:r>
        <w:rPr>
          <w:rFonts w:ascii="Times New Roman" w:hAnsi="Times New Roman"/>
          <w:color w:val="000000"/>
          <w:sz w:val="24"/>
        </w:rPr>
        <w:t>) would (i) constitute a “parachute payment” within the meaning of Section 280G of the Code and (ii) but for this sentence, be subject to the excise tax imposed by Section 4999 of the Code (the “</w:t>
      </w:r>
      <w:r>
        <w:rPr>
          <w:rFonts w:ascii="Times New Roman" w:hAnsi="Times New Roman"/>
          <w:color w:val="000000"/>
          <w:sz w:val="24"/>
          <w:u w:val="single"/>
        </w:rPr>
        <w:t>Excise Tax</w:t>
      </w:r>
      <w:r>
        <w:rPr>
          <w:color w:val="000000"/>
        </w:rPr>
        <w:t>”</w:t>
      </w:r>
      <w:r>
        <w:rPr>
          <w:rFonts w:ascii="Times New Roman" w:hAnsi="Times New Roman"/>
          <w:color w:val="000000"/>
          <w:sz w:val="24"/>
        </w:rPr>
        <w:t>), then such Payment will be equal to the Reduced Amount (as defined below). The “</w:t>
      </w:r>
      <w:r>
        <w:rPr>
          <w:rFonts w:ascii="Times New Roman" w:hAnsi="Times New Roman"/>
          <w:color w:val="000000"/>
          <w:sz w:val="24"/>
          <w:u w:val="single"/>
        </w:rPr>
        <w:t>Reduced Amount</w:t>
      </w:r>
      <w:r>
        <w:rPr>
          <w:color w:val="000000"/>
        </w:rPr>
        <w:t xml:space="preserve">” </w:t>
      </w:r>
      <w:r>
        <w:rPr>
          <w:rFonts w:ascii="Times New Roman" w:hAnsi="Times New Roman"/>
          <w:color w:val="000000"/>
          <w:sz w:val="24"/>
        </w:rPr>
        <w:t>will be either (i) the largest portion of the Payment that would result in no portion of the Payment (after reduction) being subject to the Excise Tax or (ii)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(i) of the preceding sentence, the reduction shall occur in the manner (the “</w:t>
      </w:r>
      <w:r>
        <w:rPr>
          <w:rFonts w:ascii="Times New Roman" w:hAnsi="Times New Roman"/>
          <w:color w:val="000000"/>
          <w:sz w:val="24"/>
          <w:u w:val="single"/>
        </w:rPr>
        <w:t>Reduction Method</w:t>
      </w:r>
      <w:r>
        <w:rPr>
          <w:color w:val="000000"/>
        </w:rPr>
        <w:t>”</w:t>
      </w:r>
      <w:r>
        <w:rPr>
          <w:rFonts w:ascii="Times New Roman" w:hAnsi="Times New Roman"/>
          <w:color w:val="000000"/>
          <w:sz w:val="24"/>
        </w:rPr>
        <w:t>) that results in the greatest economic benefit for Executive. If more than one method of reduction will result in the same economic benefit, the items so reduced will be reduced pro rata (the “</w:t>
      </w:r>
      <w:r>
        <w:rPr>
          <w:rFonts w:ascii="Times New Roman" w:hAnsi="Times New Roman"/>
          <w:color w:val="000000"/>
          <w:sz w:val="24"/>
          <w:u w:val="single"/>
        </w:rPr>
        <w:t xml:space="preserve">Pro Rata Reduction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u w:val="single"/>
        </w:rPr>
        <w:t>Method</w:t>
      </w:r>
      <w:r>
        <w:rPr>
          <w:color w:val="000000"/>
        </w:rPr>
        <w:t>”</w:t>
      </w:r>
      <w:r>
        <w:rPr>
          <w:rFonts w:ascii="Times New Roman" w:hAnsi="Times New Roman"/>
          <w:color w:val="000000"/>
          <w:sz w:val="24"/>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Times New Roman" w:hAnsi="Times New Roman"/>
          <w:i/>
          <w:color w:val="000000"/>
          <w:sz w:val="24"/>
        </w:rPr>
        <w:t>e.g</w:t>
      </w:r>
      <w:r>
        <w:rPr>
          <w:rFonts w:ascii="Times New Roman" w:hAnsi="Times New Roman"/>
          <w:color w:val="000000"/>
          <w:sz w:val="24"/>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(b)</w:t>
      </w:r>
    </w:p>
    <w:p>
      <w:pPr>
        <w:pStyle w:val="TextBody"/>
        <w:bidi w:val="0"/>
        <w:spacing w:before="0" w:after="240"/>
        <w:jc w:val="both"/>
        <w:rPr/>
      </w:pPr>
      <w:r>
        <w:rPr>
          <w:rFonts w:ascii="Times New Roman" w:hAnsi="Times New Roman"/>
          <w:color w:val="000000"/>
          <w:sz w:val="24"/>
          <w:u w:val="single"/>
        </w:rPr>
        <w:t>Accounting Firm</w:t>
      </w:r>
      <w:r>
        <w:rPr>
          <w:rFonts w:ascii="Times New Roman" w:hAnsi="Times New Roman"/>
          <w:color w:val="000000"/>
          <w:sz w:val="24"/>
        </w:rPr>
        <w:t>. All determinations regarding the application of this Section 9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ownership or control (the “</w:t>
      </w:r>
      <w:r>
        <w:rPr>
          <w:rFonts w:ascii="Times New Roman" w:hAnsi="Times New Roman"/>
          <w:color w:val="000000"/>
          <w:sz w:val="24"/>
          <w:u w:val="single"/>
        </w:rPr>
        <w:t>280G Firm</w:t>
      </w:r>
      <w:r>
        <w:rPr>
          <w:color w:val="000000"/>
        </w:rPr>
        <w:t>”</w:t>
      </w:r>
      <w:r>
        <w:rPr>
          <w:rFonts w:ascii="Times New Roman" w:hAnsi="Times New Roman"/>
          <w:color w:val="000000"/>
          <w:sz w:val="24"/>
        </w:rPr>
        <w:t>). The Company will bear all expenses with respect to the determinations by the 280G Firm required to be made hereunder. The 280G Firm engaged to make the determinations hereunder will provide its calculations, together with detailed supporting documentation, to the Company within thirty days before the consummation of a Change in Control (if requested at that time by the Company) or such other time as requested by the Company. If the 280G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280G Firm made hereunder will be final, binding and conclusive upon the Company and Executive.</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10.</w:t>
      </w:r>
    </w:p>
    <w:p>
      <w:pPr>
        <w:pStyle w:val="TextBody"/>
        <w:bidi w:val="0"/>
        <w:spacing w:before="0" w:after="240"/>
        <w:jc w:val="both"/>
        <w:rPr/>
      </w:pPr>
      <w:r>
        <w:rPr>
          <w:rFonts w:ascii="Times New Roman" w:hAnsi="Times New Roman"/>
          <w:b/>
          <w:color w:val="000000"/>
          <w:sz w:val="24"/>
          <w:u w:val="single"/>
        </w:rPr>
        <w:t>Section 409A</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Times New Roman" w:hAnsi="Times New Roman"/>
          <w:color w:val="000000"/>
          <w:sz w:val="24"/>
          <w:u w:val="single"/>
        </w:rPr>
        <w:t>Section 409A</w:t>
      </w:r>
      <w:r>
        <w:rPr>
          <w:color w:val="000000"/>
        </w:rPr>
        <w:t>”</w:t>
      </w:r>
      <w:r>
        <w:rPr>
          <w:rFonts w:ascii="Times New Roman" w:hAnsi="Times New Roman"/>
          <w:color w:val="000000"/>
          <w:sz w:val="24"/>
        </w:rPr>
        <w:t xml:space="preserve">) and, accordingly, to the maximum extent permitted, this Agreement shall be interpreted to be in compliance therewith. If Executive notifies the Company that Executive has received advice of tax counsel of a national reputation with expertise in Section 409A that any provision of this Agreement would cause Executive to incur any additional tax or interest under Section 409A (with specificity as to the reason therefor) or the Company independently makes such determination, the Company and Executive shall take commercially reasonable efforts to reform such provision to try to comply with or be exempt from Section 409A through good faith modifications to the minimum extent reasonably appropriate to conform with Section 409A,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any such modifications shall not increase the cost or liability to the Company. To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Section 409A.</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(b)</w:t>
      </w:r>
    </w:p>
    <w:p>
      <w:pPr>
        <w:pStyle w:val="TextBody"/>
        <w:bidi w:val="0"/>
        <w:spacing w:before="0" w:after="240"/>
        <w:jc w:val="both"/>
        <w:rPr/>
      </w:pPr>
      <w:r>
        <w:rPr>
          <w:rFonts w:ascii="Times New Roman" w:hAnsi="Times New Roman"/>
          <w:color w:val="000000"/>
          <w:sz w:val="24"/>
          <w:u w:val="single"/>
        </w:rPr>
        <w:t>Separation from Service</w:t>
      </w:r>
      <w:r>
        <w:rPr>
          <w:rFonts w:ascii="Times New Roman" w:hAnsi="Times New Roman"/>
          <w:color w:val="000000"/>
          <w:sz w:val="24"/>
        </w:rPr>
        <w:t>. Notwithstanding any provision to the contrary in this Agreement: (i) no amount that constitutes “deferred compensation” under Section 409A shall be payable pursuant to Section 6(c) or Section 6(d) above unless the termination of Executive’s employment constitutes a “separation from service” within the meaning of Section 1.409A-1(h) of the Department of Treasury Regulations (“</w:t>
      </w:r>
      <w:r>
        <w:rPr>
          <w:rFonts w:ascii="Times New Roman" w:hAnsi="Times New Roman"/>
          <w:color w:val="000000"/>
          <w:sz w:val="24"/>
          <w:u w:val="single"/>
        </w:rPr>
        <w:t>Separation from Service</w:t>
      </w:r>
      <w:r>
        <w:rPr>
          <w:color w:val="000000"/>
        </w:rPr>
        <w:t>”</w:t>
      </w:r>
      <w:r>
        <w:rPr>
          <w:rFonts w:ascii="Times New Roman" w:hAnsi="Times New Roman"/>
          <w:color w:val="000000"/>
          <w:sz w:val="24"/>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31st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w:t>
      </w:r>
    </w:p>
    <w:p>
      <w:pPr>
        <w:pStyle w:val="TextBody"/>
        <w:bidi w:val="0"/>
        <w:spacing w:before="0" w:after="240"/>
        <w:jc w:val="both"/>
        <w:rPr/>
      </w:pPr>
      <w:r>
        <w:rPr>
          <w:rFonts w:ascii="Times New Roman" w:hAnsi="Times New Roman"/>
          <w:color w:val="000000"/>
          <w:sz w:val="24"/>
          <w:u w:val="single"/>
        </w:rPr>
        <w:t>Specified Employee</w:t>
      </w:r>
      <w:r>
        <w:rPr>
          <w:rFonts w:ascii="Times New Roman" w:hAnsi="Times New Roman"/>
          <w:color w:val="000000"/>
          <w:sz w:val="24"/>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11.</w:t>
      </w:r>
    </w:p>
    <w:p>
      <w:pPr>
        <w:pStyle w:val="TextBody"/>
        <w:bidi w:val="0"/>
        <w:spacing w:before="0" w:after="240"/>
        <w:jc w:val="both"/>
        <w:rPr/>
      </w:pPr>
      <w:r>
        <w:rPr>
          <w:rFonts w:ascii="Times New Roman" w:hAnsi="Times New Roman"/>
          <w:b/>
          <w:color w:val="000000"/>
          <w:sz w:val="24"/>
          <w:u w:val="single"/>
        </w:rPr>
        <w:t>Withholding</w:t>
      </w:r>
      <w:r>
        <w:rPr>
          <w:rFonts w:ascii="Times New Roman" w:hAnsi="Times New Roman"/>
          <w:color w:val="000000"/>
          <w:sz w:val="24"/>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12.</w:t>
      </w:r>
    </w:p>
    <w:p>
      <w:pPr>
        <w:pStyle w:val="TextBody"/>
        <w:bidi w:val="0"/>
        <w:spacing w:before="0" w:after="240"/>
        <w:jc w:val="both"/>
        <w:rPr/>
      </w:pPr>
      <w:r>
        <w:rPr>
          <w:rFonts w:ascii="Times New Roman" w:hAnsi="Times New Roman"/>
          <w:b/>
          <w:color w:val="000000"/>
          <w:sz w:val="24"/>
          <w:u w:val="single"/>
        </w:rPr>
        <w:t>Miscellaneous Provisions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w:t>
      </w:r>
    </w:p>
    <w:p>
      <w:pPr>
        <w:pStyle w:val="TextBody"/>
        <w:bidi w:val="0"/>
        <w:spacing w:before="0" w:after="240"/>
        <w:jc w:val="both"/>
        <w:rPr/>
      </w:pPr>
      <w:r>
        <w:rPr>
          <w:rFonts w:ascii="Times New Roman" w:hAnsi="Times New Roman"/>
          <w:color w:val="000000"/>
          <w:sz w:val="24"/>
          <w:u w:val="single"/>
        </w:rPr>
        <w:t>Prior Employment</w:t>
      </w:r>
      <w:r>
        <w:rPr>
          <w:rFonts w:ascii="Times New Roman" w:hAnsi="Times New Roman"/>
          <w:color w:val="000000"/>
          <w:sz w:val="24"/>
        </w:rPr>
        <w:t xml:space="preserve">. Executive represents and warrants that Executive’s acceptance of employment with the Company has not breached, and the performance of Executive’s duties hereunder will not breach, any duty owed by Executive to any prior employer or other person. Executive further represents and warrants to the Company that: (i) the performance of Executive’s obligations hereunder will not violate any agreement between Executive and any other person, firm, organization, or other entity; (ii) Executive is not bound by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terms of any agreement with any previous employer or other party to refrain from competing, directly or indirectly, with the business of such previous employer or other party that would be violated by Executive entering into this Agreement and/or providing services to the Company pursuant to the terms of this Agreement; and (iii) Executive’s performance of Executive’s duties under this Agreement will not require Executive to, and Executive shall not, rely on in the performance of Executive’s duties or disclose to the Company or any other person or entity or induce the Company in any way to use or rely on any trade secret or other confidential or proprietary information or material belonging to any previous employer of Executive.</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(b)</w:t>
      </w:r>
    </w:p>
    <w:p>
      <w:pPr>
        <w:pStyle w:val="TextBody"/>
        <w:bidi w:val="0"/>
        <w:spacing w:before="0" w:after="240"/>
        <w:jc w:val="both"/>
        <w:rPr/>
      </w:pPr>
      <w:r>
        <w:rPr>
          <w:rFonts w:ascii="Times New Roman" w:hAnsi="Times New Roman"/>
          <w:color w:val="000000"/>
          <w:sz w:val="24"/>
          <w:u w:val="single"/>
        </w:rPr>
        <w:t>Assignment and Successors</w:t>
      </w:r>
      <w:r>
        <w:rPr>
          <w:rFonts w:ascii="Times New Roman" w:hAnsi="Times New Roman"/>
          <w:color w:val="000000"/>
          <w:sz w:val="24"/>
        </w:rPr>
        <w:t>. The Company shall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(d)</w:t>
      </w:r>
    </w:p>
    <w:p>
      <w:pPr>
        <w:pStyle w:val="TextBody"/>
        <w:bidi w:val="0"/>
        <w:spacing w:before="0" w:after="240"/>
        <w:jc w:val="both"/>
        <w:rPr/>
      </w:pPr>
      <w:r>
        <w:rPr>
          <w:rFonts w:ascii="Times New Roman" w:hAnsi="Times New Roman"/>
          <w:color w:val="000000"/>
          <w:sz w:val="24"/>
          <w:u w:val="single"/>
        </w:rPr>
        <w:t>Validity</w:t>
      </w:r>
      <w:r>
        <w:rPr>
          <w:rFonts w:ascii="Times New Roman" w:hAnsi="Times New Roman"/>
          <w:color w:val="000000"/>
          <w:sz w:val="24"/>
        </w:rPr>
        <w:t>. The invalidity or unenforceability of any provision or provisions of this Agreement shall not affect the validity or enforceability of any other provision of this Agreement, which shall remain in full force and effect.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w:t>
      </w:r>
    </w:p>
    <w:p>
      <w:pPr>
        <w:pStyle w:val="TextBody"/>
        <w:bidi w:val="0"/>
        <w:spacing w:before="0" w:after="240"/>
        <w:jc w:val="both"/>
        <w:rPr/>
      </w:pPr>
      <w:r>
        <w:rPr>
          <w:rFonts w:ascii="Times New Roman" w:hAnsi="Times New Roman"/>
          <w:color w:val="000000"/>
          <w:sz w:val="24"/>
          <w:u w:val="single"/>
        </w:rPr>
        <w:t>Amendments; Waivers</w:t>
      </w:r>
      <w:r>
        <w:rPr>
          <w:rFonts w:ascii="Times New Roman" w:hAnsi="Times New Roman"/>
          <w:color w:val="000000"/>
          <w:sz w:val="24"/>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(f)</w:t>
      </w:r>
    </w:p>
    <w:p>
      <w:pPr>
        <w:pStyle w:val="TextBody"/>
        <w:bidi w:val="0"/>
        <w:spacing w:before="0" w:after="240"/>
        <w:jc w:val="both"/>
        <w:rPr/>
      </w:pPr>
      <w:r>
        <w:rPr>
          <w:rFonts w:ascii="Times New Roman" w:hAnsi="Times New Roman"/>
          <w:color w:val="000000"/>
          <w:sz w:val="24"/>
          <w:u w:val="single"/>
        </w:rPr>
        <w:t>Dispute Resolution</w:t>
      </w:r>
      <w:r>
        <w:rPr>
          <w:rFonts w:ascii="Times New Roman" w:hAnsi="Times New Roman"/>
          <w:color w:val="000000"/>
          <w:sz w:val="24"/>
        </w:rPr>
        <w:t xml:space="preserve">. Unless otherwise prohibited by law or specified below, all disputes, claims and causes of action, in law or equity, arising from or relating to this Agreement or its enforcement, performance, breach, or interpretation, including any dispute regarding the existence of Cause or Good Reason for Executive’s termination of employment, shall be resolved solely and exclusively by final and binding arbitration held in Los Angeles, California, before a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single, mutually-agreed neutral arbitrator, through Judicial Arbitration &amp; Mediation Services (“</w:t>
      </w:r>
      <w:r>
        <w:rPr>
          <w:rFonts w:ascii="Times New Roman" w:hAnsi="Times New Roman"/>
          <w:color w:val="000000"/>
          <w:sz w:val="24"/>
          <w:u w:val="single"/>
        </w:rPr>
        <w:t>JAMS</w:t>
      </w:r>
      <w:r>
        <w:rPr>
          <w:color w:val="000000"/>
        </w:rPr>
        <w:t>”</w:t>
      </w:r>
      <w:r>
        <w:rPr>
          <w:rFonts w:ascii="Times New Roman" w:hAnsi="Times New Roman"/>
          <w:color w:val="000000"/>
          <w:sz w:val="24"/>
        </w:rPr>
        <w:t xml:space="preserve">) under the then existing JAMS arbitration rules. The rules may be found online at www.jamsadr.com or upon written request to the Company. This Section 12(f) is intended to be the exclusive method for resolving any and all claims by the Parties against each other relating to Executive’s employment;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Executive will retain the right to file administrative charges with or seek relief through any government agency of competent jurisdiction, and to participate in any government investigation, including but not limited to (i) claims for workers’ compensation, state disability insurance or unemployment insurance; (ii) claims for unpaid wages or waiting time penalties brought before the California Division of Labor Standards Enforcement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any appeal from an award or from denial of an award of wages and/or waiting time penalties shall be arbitrated pursuant to the terms of this paragraph); and (iii) claims for administrative relief from the United States Equal Employment Opportunity Commission and/or the California Department of Fair Employment and Housing (or any similar agency in any applicable jurisdiction other than California);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except as otherwise provided by law, Executive will not be entitled to obtain any monetary relief through such agencies other than workers’ compensation benefits or unemployment insurance benefits. Further, nothing in this Section 12(f) is intended to prevent either Party from obtaining injunctive relief in court to prevent irreparable harm pending the conclusion of any such arbitration, including without limitation injunctive relief, in any court of competent jurisdiction pursuant to California Code of Civil Procedure §1281.8 or any similar statute of an applicable jurisdiction. Seeking any such relief shall not be deemed to be a waiver of such Party’s right to compel arbitration. In resolving any matter submitted to arbitration, the arbitrator will strictly follow the substantive law applicable to the dispute, claim or controversy and the arbitrator’s authority and jurisdiction will be limited to determining the dispute in conformity with applicable law as to liability, damages and remedies, to the same extent as if the dispute was determined by a court without a jury. The arbitrator will issue a written decision that contains the essential findings of fact and conclusions of law on which the decision is based, which may be entered as a judgment in any court of competent jurisdiction. The Company shall pay all costs of arbitration, including without limitation, arbitration administrative fees, arbitrator compensation and expenses, and costs of any witnesses called by the arbitrator. Unless otherwise ordered by the arbitrator under applicable law, the Company and Executive shall each bear its or his own expenses, such as attorneys’ fees, costs and disbursements. The prevailing party in any arbitration or other dispute between the Parties will be entitled to an award of attorneys’ fees and costs, in addition to any other relief. Each Party warrants that it has had the opportunity to be represented by counsel in the negotiation and execution of this Agreement, including the attorneys’ fees provision herein. Both Executive and the Company expressly waive his and its right to a jury trial. Executive furthers waives his right to pursue claims against the Company on a class basis;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Executive does not waive his right, to the extent preserved by law, to pursue representative claims against the Company under the California Private Attorney General Act.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(g)</w:t>
      </w:r>
    </w:p>
    <w:p>
      <w:pPr>
        <w:pStyle w:val="TextBody"/>
        <w:bidi w:val="0"/>
        <w:spacing w:before="0" w:after="240"/>
        <w:jc w:val="both"/>
        <w:rPr/>
      </w:pPr>
      <w:r>
        <w:rPr>
          <w:rFonts w:ascii="Times New Roman" w:hAnsi="Times New Roman"/>
          <w:color w:val="000000"/>
          <w:sz w:val="24"/>
          <w:u w:val="single"/>
        </w:rPr>
        <w:t>Enforcement</w:t>
      </w:r>
      <w:r>
        <w:rPr>
          <w:rFonts w:ascii="Times New Roman" w:hAnsi="Times New Roman"/>
          <w:color w:val="000000"/>
          <w:sz w:val="24"/>
        </w:rPr>
        <w:t xml:space="preserve">. If any provision of this Agreement is held to be illegal, invalid, or unenforceable under present or future laws, such provision shall be fully severable; this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(h)</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The terms of this Agreement and the other agreements referenced herein, including the Proprietary Information Agreement, are intended by the Parties to be the final expression of their agreement with respect to the employment of Executive by the Company and supersede all prior understandings and agreements, whether written or oral, regarding Executive’s employment with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w:t>
      </w:r>
    </w:p>
    <w:p>
      <w:pPr>
        <w:pStyle w:val="TextBody"/>
        <w:bidi w:val="0"/>
        <w:spacing w:before="0" w:after="240"/>
        <w:jc w:val="both"/>
        <w:rPr/>
      </w:pPr>
      <w:r>
        <w:rPr>
          <w:rFonts w:ascii="Times New Roman" w:hAnsi="Times New Roman"/>
          <w:color w:val="000000"/>
          <w:sz w:val="24"/>
          <w:u w:val="single"/>
        </w:rPr>
        <w:t>Executive Acknowledgement</w:t>
      </w:r>
      <w:r>
        <w:rPr>
          <w:rFonts w:ascii="Times New Roman" w:hAnsi="Times New Roman"/>
          <w:color w:val="000000"/>
          <w:sz w:val="24"/>
        </w:rPr>
        <w:t>.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(j)</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several counterparts, each of which shall be deemed to be an original, but all of which together will constitute one and the same Agreement. Signatures delivered by facsimile shall be deemed effective for all purposes.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(k)</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All notices required or permitted hereunder shall be in writing and shall be deemed effectively given: (i) upon personal delivery to the party to be notified; (ii) when sent by confirmed electronic mail or facsimile if sent during normal business hours of the recipient, and if not, then on the next business day; (iii) five days after having been sent by registered or certified mail, return receipt requested, postage prepaid; or (iv) one day after deposit with a nationally recognized overnight courier, specifying next day delivery, with written verification of receipt. All communications shall be sent to the Company at its principal executive offices or to Executive at his most recent address on the Company’s payroll records or at such other address(es) as the Company or Executive may designate by ten days advance written notice to the other party hereto.</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have duly executed this Agreement as of the date and year set forth below.</w:t>
      </w:r>
    </w:p>
    <w:p>
      <w:pPr>
        <w:pStyle w:val="TextBody"/>
        <w:bidi w:val="0"/>
        <w:spacing w:before="0" w:after="240"/>
        <w:jc w:val="left"/>
        <w:rPr>
          <w:rFonts w:ascii="Times New Roman" w:hAnsi="Times New Roman"/>
          <w:sz w:val="20"/>
        </w:rPr>
      </w:pPr>
      <w:r>
        <w:rPr>
          <w:rFonts w:ascii="Times New Roman" w:hAnsi="Times New Roman"/>
          <w:color w:val="000000"/>
          <w:sz w:val="24"/>
        </w:rPr>
        <w:br/>
      </w:r>
      <w:r>
        <w:rPr>
          <w:rFonts w:ascii="Times New Roman" w:hAnsi="Times New Roman"/>
          <w:b/>
          <w:color w:val="000000"/>
          <w:sz w:val="24"/>
        </w:rPr>
        <w:t>TYRA BIOSCIENCES, INC.</w:t>
      </w:r>
    </w:p>
    <w:p>
      <w:pPr>
        <w:pStyle w:val="TextBody"/>
        <w:bidi w:val="0"/>
        <w:spacing w:before="0" w:after="240"/>
        <w:jc w:val="both"/>
        <w:rPr/>
      </w:pPr>
      <w:r>
        <w:rPr/>
        <w:t> </w:t>
      </w:r>
    </w:p>
    <w:p>
      <w:pPr>
        <w:pStyle w:val="TextBody"/>
        <w:bidi w:val="0"/>
        <w:jc w:val="left"/>
        <w:rPr>
          <w:rFonts w:ascii="Times New Roman" w:hAnsi="Times New Roman"/>
          <w:sz w:val="20"/>
        </w:rPr>
      </w:pPr>
      <w:r>
        <w:rPr>
          <w:rFonts w:ascii="Times New Roman" w:hAnsi="Times New Roman"/>
          <w:color w:val="000000"/>
          <w:sz w:val="24"/>
        </w:rPr>
        <w:br/>
        <w:t xml:space="preserve">By: </w:t>
      </w:r>
      <w:r>
        <w:rPr>
          <w:rFonts w:ascii="Times New Roman" w:hAnsi="Times New Roman"/>
          <w:color w:val="000000"/>
          <w:sz w:val="24"/>
          <w:u w:val="single"/>
        </w:rPr>
        <w:t xml:space="preserve">/s/ Todd Harris </w:t>
      </w:r>
    </w:p>
    <w:p>
      <w:pPr>
        <w:pStyle w:val="TextBody"/>
        <w:bidi w:val="0"/>
        <w:jc w:val="left"/>
        <w:rPr>
          <w:rFonts w:ascii="Times New Roman" w:hAnsi="Times New Roman"/>
          <w:color w:val="000000"/>
          <w:sz w:val="24"/>
        </w:rPr>
      </w:pPr>
      <w:r>
        <w:rPr>
          <w:rFonts w:ascii="Times New Roman" w:hAnsi="Times New Roman"/>
          <w:color w:val="000000"/>
          <w:sz w:val="24"/>
        </w:rPr>
        <w:t>Name: Todd Harris</w:t>
      </w:r>
    </w:p>
    <w:p>
      <w:pPr>
        <w:pStyle w:val="TextBody"/>
        <w:bidi w:val="0"/>
        <w:jc w:val="left"/>
        <w:rPr>
          <w:rFonts w:ascii="Times New Roman" w:hAnsi="Times New Roman"/>
          <w:color w:val="000000"/>
          <w:sz w:val="24"/>
        </w:rPr>
      </w:pPr>
      <w:r>
        <w:rPr>
          <w:rFonts w:ascii="Times New Roman" w:hAnsi="Times New Roman"/>
          <w:color w:val="000000"/>
          <w:sz w:val="24"/>
        </w:rPr>
        <w:t>Title: Chief Executive Officer and President</w:t>
      </w:r>
    </w:p>
    <w:p>
      <w:pPr>
        <w:pStyle w:val="TextBody"/>
        <w:bidi w:val="0"/>
        <w:spacing w:before="0" w:after="24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EXECUTIVE</w:t>
      </w:r>
    </w:p>
    <w:p>
      <w:pPr>
        <w:pStyle w:val="TextBody"/>
        <w:bidi w:val="0"/>
        <w:spacing w:before="0" w:after="240"/>
        <w:jc w:val="both"/>
        <w:rPr/>
      </w:pPr>
      <w:r>
        <w:rPr/>
        <w:t> </w:t>
      </w:r>
    </w:p>
    <w:p>
      <w:pPr>
        <w:pStyle w:val="TextBody"/>
        <w:bidi w:val="0"/>
        <w:jc w:val="left"/>
        <w:rPr>
          <w:rFonts w:ascii="Times New Roman" w:hAnsi="Times New Roman"/>
          <w:sz w:val="20"/>
        </w:rPr>
      </w:pPr>
      <w:r>
        <w:rPr>
          <w:rFonts w:ascii="Times New Roman" w:hAnsi="Times New Roman"/>
          <w:color w:val="000000"/>
          <w:sz w:val="24"/>
        </w:rPr>
        <w:br/>
        <w:t xml:space="preserve">By: </w:t>
      </w:r>
      <w:r>
        <w:rPr>
          <w:rFonts w:ascii="Times New Roman" w:hAnsi="Times New Roman"/>
          <w:color w:val="000000"/>
          <w:sz w:val="24"/>
          <w:u w:val="single"/>
        </w:rPr>
        <w:t xml:space="preserve">/s/ Douglas Warner </w:t>
      </w:r>
    </w:p>
    <w:p>
      <w:pPr>
        <w:pStyle w:val="TextBody"/>
        <w:bidi w:val="0"/>
        <w:jc w:val="left"/>
        <w:rPr>
          <w:rFonts w:ascii="Times New Roman" w:hAnsi="Times New Roman"/>
          <w:color w:val="000000"/>
          <w:sz w:val="24"/>
        </w:rPr>
      </w:pPr>
      <w:r>
        <w:rPr>
          <w:rFonts w:ascii="Times New Roman" w:hAnsi="Times New Roman"/>
          <w:color w:val="000000"/>
          <w:sz w:val="24"/>
        </w:rPr>
        <w:t>Name: Douglas Warner, M.D.</w:t>
      </w:r>
    </w:p>
    <w:p>
      <w:pPr>
        <w:pStyle w:val="TextBody"/>
        <w:bidi w:val="0"/>
        <w:spacing w:before="0" w:after="24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Employment Agreement</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APPENDIX 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defined terms used in this Appendix I that are not otherwise defined in this Appendix I shall have the meaning ascribed to such terms in the Employment Agreement to which this Appendix I relates.</w:t>
      </w:r>
    </w:p>
    <w:p>
      <w:pPr>
        <w:pStyle w:val="TextBody"/>
        <w:bidi w:val="0"/>
        <w:spacing w:before="0" w:after="240"/>
        <w:jc w:val="both"/>
        <w:rPr/>
      </w:pPr>
      <w:r>
        <w:rPr>
          <w:color w:val="000000"/>
        </w:rPr>
        <w:t>“</w:t>
      </w:r>
      <w:r>
        <w:rPr>
          <w:rFonts w:ascii="Times New Roman" w:hAnsi="Times New Roman"/>
          <w:color w:val="000000"/>
          <w:sz w:val="24"/>
          <w:u w:val="single"/>
        </w:rPr>
        <w:t>Cause</w:t>
      </w:r>
      <w:r>
        <w:rPr>
          <w:rFonts w:ascii="Times New Roman" w:hAnsi="Times New Roman"/>
          <w:color w:val="000000"/>
          <w:sz w:val="20"/>
        </w:rPr>
        <w:t xml:space="preserve">” </w:t>
      </w:r>
      <w:r>
        <w:rPr>
          <w:rFonts w:ascii="Times New Roman" w:hAnsi="Times New Roman"/>
          <w:color w:val="000000"/>
          <w:sz w:val="24"/>
        </w:rPr>
        <w:t>shall mean the occurrence of any one or more of the following events or conditions: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material failure on the part of Executive (other than by reason of Disability of Executive) to faithfully and professionally carry out Executive’s duties which failure continues for ten (10) days after written notice detailing such failure is delivered to Executive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Executive’s dishonesty or other misconduct, if such dishonesty or other misconduct is intended to or likely to materially injure the business or reputation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Executive’s conviction or no contest plea to any misdemeanor involving dishonesty, theft, fraud or moral turpitude, or any felony.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Executive’s insobriety or illegal use of drugs, chemicals or controlled substances either (A) in the course of performing Executive’s duties and responsibilities under this Agreement or (B) otherwise materially affecting the ability of Executive to perform the same;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Executive’s material breach of any written agreement with the Company or any of its affiliates or material violation of the Company’s Code of Conduct or any other material written policy of the Company;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wanton or willful dereliction of duties by Executive.</w:t>
      </w:r>
    </w:p>
    <w:p>
      <w:pPr>
        <w:pStyle w:val="TextBody"/>
        <w:bidi w:val="0"/>
        <w:spacing w:before="0" w:after="240"/>
        <w:jc w:val="both"/>
        <w:rPr/>
      </w:pPr>
      <w:r>
        <w:rPr>
          <w:color w:val="000000"/>
        </w:rPr>
        <w:t>“</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shall have the meaning given to such term in the Company’s 2021 Incentive Award Plan. Notwithstanding the foregoing, if a Change in Control constitutes a payment event with respect to any amount hereunder that provides for the deferral of compensation that is subject to Section 409A, to the extent required to avoid the imposition of additional taxes under Section 409A, the transaction or event shall only constitute a Change in Control for purposes of the payment timing of such amount if such transaction also constitutes a “change in control event,” as defined in Treasury Regulation Section 1.409A-3(i)(5).</w:t>
      </w:r>
    </w:p>
    <w:p>
      <w:pPr>
        <w:pStyle w:val="TextBody"/>
        <w:bidi w:val="0"/>
        <w:spacing w:before="0" w:after="240"/>
        <w:jc w:val="both"/>
        <w:rPr/>
      </w:pPr>
      <w:r>
        <w:rPr>
          <w:color w:val="000000"/>
        </w:rPr>
        <w:t>“</w:t>
      </w:r>
      <w:r>
        <w:rPr>
          <w:rFonts w:ascii="Times New Roman" w:hAnsi="Times New Roman"/>
          <w:color w:val="000000"/>
          <w:sz w:val="24"/>
          <w:u w:val="single"/>
        </w:rPr>
        <w:t>Change in Control Period</w:t>
      </w:r>
      <w:r>
        <w:rPr>
          <w:rFonts w:ascii="Times New Roman" w:hAnsi="Times New Roman"/>
          <w:color w:val="000000"/>
          <w:sz w:val="20"/>
        </w:rPr>
        <w:t xml:space="preserve">” </w:t>
      </w:r>
      <w:r>
        <w:rPr>
          <w:rFonts w:ascii="Times New Roman" w:hAnsi="Times New Roman"/>
          <w:color w:val="000000"/>
          <w:sz w:val="24"/>
        </w:rPr>
        <w:t>shall mean the period commencing three months prior to a Change in Control and ending on the eighteen-month anniversary of the Change in Control.</w:t>
      </w:r>
    </w:p>
    <w:p>
      <w:pPr>
        <w:pStyle w:val="TextBody"/>
        <w:bidi w:val="0"/>
        <w:spacing w:before="0" w:after="240"/>
        <w:jc w:val="both"/>
        <w:rPr/>
      </w:pPr>
      <w:r>
        <w:rPr>
          <w:color w:val="000000"/>
        </w:rPr>
        <w:t>“</w:t>
      </w:r>
      <w:r>
        <w:rPr>
          <w:rFonts w:ascii="Times New Roman" w:hAnsi="Times New Roman"/>
          <w:color w:val="000000"/>
          <w:sz w:val="24"/>
          <w:u w:val="single"/>
        </w:rPr>
        <w:t>Disability</w:t>
      </w:r>
      <w:r>
        <w:rPr>
          <w:rFonts w:ascii="Times New Roman" w:hAnsi="Times New Roman"/>
          <w:color w:val="000000"/>
          <w:sz w:val="20"/>
        </w:rPr>
        <w:t xml:space="preserve">” </w:t>
      </w:r>
      <w:r>
        <w:rPr>
          <w:rFonts w:ascii="Times New Roman" w:hAnsi="Times New Roman"/>
          <w:color w:val="000000"/>
          <w:sz w:val="24"/>
        </w:rPr>
        <w:t>shall mean permanent and total disability within the meaning of Section 22(e) of the Code.</w:t>
      </w:r>
    </w:p>
    <w:p>
      <w:pPr>
        <w:pStyle w:val="TextBody"/>
        <w:bidi w:val="0"/>
        <w:spacing w:before="0" w:after="240"/>
        <w:jc w:val="both"/>
        <w:rPr/>
      </w:pPr>
      <w:r>
        <w:rPr>
          <w:color w:val="000000"/>
        </w:rPr>
        <w:t>“</w:t>
      </w:r>
      <w:r>
        <w:rPr>
          <w:rFonts w:ascii="Times New Roman" w:hAnsi="Times New Roman"/>
          <w:color w:val="000000"/>
          <w:sz w:val="24"/>
          <w:u w:val="single"/>
        </w:rPr>
        <w:t>Good Reason</w:t>
      </w:r>
      <w:r>
        <w:rPr>
          <w:rFonts w:ascii="Times New Roman" w:hAnsi="Times New Roman"/>
          <w:color w:val="000000"/>
          <w:sz w:val="20"/>
        </w:rPr>
        <w:t xml:space="preserve">” </w:t>
      </w:r>
      <w:r>
        <w:rPr>
          <w:rFonts w:ascii="Times New Roman" w:hAnsi="Times New Roman"/>
          <w:color w:val="000000"/>
          <w:sz w:val="24"/>
        </w:rPr>
        <w:t>shall mean any one of the following: (i) the material reduction of Executive’s Annual Base Salary (other than as part of a reduction in the base salaries of all or substantially all other similarly situated employees of the Company that is in the same proportion as the reduction in Executive’s Annual Base Salary); (ii) a material reduction of Executive’s duties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responsibilities from those in effect on the Effective Date; (iii) the Company’s material breach of this Agreement (other than a reduction of Executive’s Annual Base Salary as part of a reduction in the base salaries of all or substantially all other similarly situated employees of the Company that is in the same proportion as the reduction in Executive’s Annual Base Salary); or (iv) the permanent, non-voluntary relocation of Executive’s principal place of employment that increases Executive’s one-way commute by more than thirty-five miles, provided, that, in each case, Executive will not be deemed to have Good Reason unless (A) Executive first provides the Board with written notice of the condition giving rise to Good Reason within thirty days of its initial occurrence, (B) the Company or the successor company fails to cure such condition within ten days after receiving such written notice (the “</w:t>
      </w:r>
      <w:r>
        <w:rPr>
          <w:rFonts w:ascii="Times New Roman" w:hAnsi="Times New Roman"/>
          <w:color w:val="000000"/>
          <w:sz w:val="24"/>
          <w:u w:val="single"/>
        </w:rPr>
        <w:t>Cure Perio</w:t>
      </w:r>
      <w:r>
        <w:rPr>
          <w:rFonts w:ascii="Times New Roman" w:hAnsi="Times New Roman"/>
          <w:color w:val="000000"/>
          <w:sz w:val="24"/>
        </w:rPr>
        <w:t>d”), and (C) Executive’s resignation based on such Good Reason is effective within thirty days after the expiration of the Cure Period.</w:t>
      </w:r>
    </w:p>
    <w:p>
      <w:pPr>
        <w:pStyle w:val="TextBody"/>
        <w:bidi w:val="0"/>
        <w:spacing w:before="0" w:after="240"/>
        <w:jc w:val="both"/>
        <w:rPr/>
      </w:pPr>
      <w:r>
        <w:rPr>
          <w:color w:val="000000"/>
        </w:rPr>
        <w:t>“</w:t>
      </w:r>
      <w:r>
        <w:rPr>
          <w:rFonts w:ascii="Times New Roman" w:hAnsi="Times New Roman"/>
          <w:color w:val="000000"/>
          <w:sz w:val="24"/>
          <w:u w:val="single"/>
        </w:rPr>
        <w:t>Involuntary Termination</w:t>
      </w:r>
      <w:r>
        <w:rPr>
          <w:rFonts w:ascii="Times New Roman" w:hAnsi="Times New Roman"/>
          <w:color w:val="000000"/>
          <w:sz w:val="20"/>
        </w:rPr>
        <w:t xml:space="preserve">” </w:t>
      </w:r>
      <w:r>
        <w:rPr>
          <w:rFonts w:ascii="Times New Roman" w:hAnsi="Times New Roman"/>
          <w:color w:val="000000"/>
          <w:sz w:val="24"/>
        </w:rPr>
        <w:t>shall mean Executive’s termination (i) by the Company without Cause, (ii) by the Executive for Good Reason, (iii) due to death or (iv) due to Disability. In no event will Executive’s voluntary resignation without Good Reason be considered an Involuntary Termination.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shall mean any individual, corporation, limited liability corporation, partnership, or other business entity.</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tyra-ex31_1.htm"/>
      <w:bookmarkStart w:id="25" w:name="kstyraex31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Todd Harris,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Tyra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802" w:type="dxa"/>
        <w:jc w:val="left"/>
        <w:tblInd w:w="0" w:type="dxa"/>
        <w:tblLayout w:type="fixed"/>
        <w:tblCellMar>
          <w:top w:w="28" w:type="dxa"/>
          <w:left w:w="28" w:type="dxa"/>
          <w:bottom w:w="28" w:type="dxa"/>
          <w:right w:w="28" w:type="dxa"/>
        </w:tblCellMar>
      </w:tblPr>
      <w:tblGrid>
        <w:gridCol w:w="2101"/>
        <w:gridCol w:w="109"/>
        <w:gridCol w:w="406"/>
        <w:gridCol w:w="418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Harris,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Harris,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Director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tyra-ex31_2.htm"/>
      <w:bookmarkStart w:id="27" w:name="kstyra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Alan Fuhrman,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Tyra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Fuhrman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Fuhrman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tyra-ex32_1.htm"/>
      <w:bookmarkStart w:id="29" w:name="kstyra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Tyra Biosciences, Inc. (the “Company”) on Form 10-Q for the period ending September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802" w:type="dxa"/>
        <w:jc w:val="left"/>
        <w:tblInd w:w="0" w:type="dxa"/>
        <w:tblLayout w:type="fixed"/>
        <w:tblCellMar>
          <w:top w:w="28" w:type="dxa"/>
          <w:left w:w="28" w:type="dxa"/>
          <w:bottom w:w="28" w:type="dxa"/>
          <w:right w:w="28" w:type="dxa"/>
        </w:tblCellMar>
      </w:tblPr>
      <w:tblGrid>
        <w:gridCol w:w="2101"/>
        <w:gridCol w:w="109"/>
        <w:gridCol w:w="406"/>
        <w:gridCol w:w="418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Harris,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Harris,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tyra-ex32_2.htm"/>
      <w:bookmarkStart w:id="31" w:name="kstyra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Tyra Biosciences, Inc. (the “Company”) on Form 10-Q for the period ending September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Fuhrman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Fuhrman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3127/000095017023009181/tyra-ex3_1.htm" TargetMode="External"/><Relationship Id="rId3" Type="http://schemas.openxmlformats.org/officeDocument/2006/relationships/hyperlink" Target="https://www.sec.gov/Archives/edgar/data/1863127/000119312524151705/d807421dex31.htm" TargetMode="External"/><Relationship Id="rId4" Type="http://schemas.openxmlformats.org/officeDocument/2006/relationships/hyperlink" Target="https://www.sec.gov/Archives/edgar/data/1863127/000119312523264152/d537796dex31.htm" TargetMode="External"/><Relationship Id="rId5" Type="http://schemas.openxmlformats.org/officeDocument/2006/relationships/hyperlink" Target="https://www.sec.gov/Archives/edgar/data/1863127/000119312521252729/d189651dex41.htm" TargetMode="External"/><Relationship Id="rId6" Type="http://schemas.openxmlformats.org/officeDocument/2006/relationships/hyperlink" Target="https://www.sec.gov/Archives/edgar/data/1863127/000119312521268272/d189651dex42.htm" TargetMode="External"/><Relationship Id="rId7" Type="http://schemas.openxmlformats.org/officeDocument/2006/relationships/hyperlink" Target="https://www.sec.gov/Archives/edgar/data/1863127/000119312524023367/d620082dex41.htm" TargetMode="External"/><Relationship Id="rId8" Type="http://schemas.openxmlformats.org/officeDocument/2006/relationships/hyperlink" Target="https://www.sec.gov/Archives/edgar/data/1863127/000119312524239650/d814860dex4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34877</Words>
  <Characters>191067</Characters>
  <CharactersWithSpaces>226643</CharactersWithSpaces>
  <Paragraphs>5000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