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l</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18"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480" w:right="1600" w:hanging="3459"/>
        <w:spacing w:after="0" w:line="328"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TYRA BIOSCIENCES, INC.</w:t>
      </w:r>
    </w:p>
    <w:p>
      <w:pPr>
        <w:sectPr>
          <w:pgSz w:w="11900" w:h="16838" w:orient="portrait"/>
          <w:cols w:equalWidth="0" w:num="1">
            <w:col w:w="11240"/>
          </w:cols>
          <w:pgMar w:left="320" w:top="509"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83-1476348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700" w:space="240"/>
            <w:col w:w="3300"/>
          </w:cols>
          <w:pgMar w:left="320" w:top="509"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2656 State Street</w:t>
            </w:r>
          </w:p>
        </w:tc>
        <w:tc>
          <w:tcPr>
            <w:tcW w:w="2720" w:type="dxa"/>
            <w:vAlign w:val="bottom"/>
          </w:tcPr>
          <w:p>
            <w:pPr>
              <w:spacing w:after="0"/>
              <w:rPr>
                <w:sz w:val="17"/>
                <w:szCs w:val="17"/>
                <w:color w:val="auto"/>
              </w:rPr>
            </w:pPr>
          </w:p>
        </w:tc>
      </w:tr>
      <w:tr>
        <w:trPr>
          <w:trHeight w:val="232"/>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TYRA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65"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77" w:lineRule="exact"/>
        <w:rPr>
          <w:sz w:val="24"/>
          <w:szCs w:val="24"/>
          <w:color w:val="auto"/>
        </w:rPr>
      </w:pPr>
    </w:p>
    <w:p>
      <w:pPr>
        <w:ind w:right="500"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2022, the registrant had 42,197,431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Financial Statements</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Balance Sheets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Statements of</w:t>
            </w:r>
          </w:p>
        </w:tc>
        <w:tc>
          <w:tcPr>
            <w:tcW w:w="20" w:type="dxa"/>
            <w:vAlign w:val="bottom"/>
            <w:tcBorders>
              <w:top w:val="single" w:sz="8" w:color="0000EE"/>
              <w:bottom w:val="single" w:sz="8" w:color="0000FF"/>
            </w:tcBorders>
          </w:tcPr>
          <w:p>
            <w:pPr>
              <w:spacing w:after="0"/>
              <w:rPr>
                <w:sz w:val="15"/>
                <w:szCs w:val="15"/>
                <w:color w:val="auto"/>
              </w:rPr>
            </w:pPr>
          </w:p>
        </w:tc>
        <w:tc>
          <w:tcPr>
            <w:tcW w:w="258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6"/>
              </w:rPr>
              <w:t>Operations and Comprehensive Loss</w:t>
            </w:r>
          </w:p>
        </w:tc>
        <w:tc>
          <w:tcPr>
            <w:tcW w:w="560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Statements of Convertible Preferred Stock and 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Statements of Cash Flows</w:t>
            </w:r>
          </w:p>
        </w:tc>
        <w:tc>
          <w:tcPr>
            <w:tcW w:w="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216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6"/>
              </w:rPr>
              <w:t>Management’s Discussion and</w:t>
            </w:r>
          </w:p>
        </w:tc>
        <w:tc>
          <w:tcPr>
            <w:tcW w:w="20" w:type="dxa"/>
            <w:vAlign w:val="bottom"/>
            <w:tcBorders>
              <w:top w:val="single" w:sz="8" w:color="0000EE"/>
            </w:tcBorders>
          </w:tcPr>
          <w:p>
            <w:pPr>
              <w:spacing w:after="0"/>
              <w:rPr>
                <w:sz w:val="15"/>
                <w:szCs w:val="15"/>
                <w:color w:val="auto"/>
              </w:rPr>
            </w:pPr>
          </w:p>
        </w:tc>
        <w:tc>
          <w:tcPr>
            <w:tcW w:w="7120" w:type="dxa"/>
            <w:vAlign w:val="bottom"/>
            <w:gridSpan w:val="8"/>
          </w:tcPr>
          <w:p>
            <w:pPr>
              <w:ind w:left="80"/>
              <w:spacing w:after="0" w:line="182" w:lineRule="exact"/>
              <w:rPr>
                <w:sz w:val="20"/>
                <w:szCs w:val="20"/>
                <w:color w:val="auto"/>
              </w:rPr>
            </w:pPr>
            <w:r>
              <w:rPr>
                <w:rFonts w:ascii="Times New Roman" w:cs="Times New Roman" w:eastAsia="Times New Roman" w:hAnsi="Times New Roman"/>
                <w:sz w:val="18"/>
                <w:szCs w:val="18"/>
                <w:color w:val="0000FF"/>
              </w:rPr>
              <w:t>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8"/>
          </w:tcPr>
          <w:p>
            <w:pPr>
              <w:spacing w:after="0"/>
              <w:rPr>
                <w:sz w:val="15"/>
                <w:szCs w:val="15"/>
                <w:color w:val="auto"/>
              </w:rPr>
            </w:pPr>
          </w:p>
        </w:tc>
        <w:tc>
          <w:tcPr>
            <w:tcW w:w="49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4"/>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4"/>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4"/>
          </w:tcPr>
          <w:p>
            <w:pPr>
              <w:spacing w:after="0"/>
              <w:rPr>
                <w:sz w:val="15"/>
                <w:szCs w:val="15"/>
                <w:color w:val="auto"/>
              </w:rPr>
            </w:pPr>
          </w:p>
        </w:tc>
        <w:tc>
          <w:tcPr>
            <w:tcW w:w="1000" w:type="dxa"/>
            <w:vAlign w:val="bottom"/>
            <w:gridSpan w:val="8"/>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par value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263,211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302,182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267,471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304,057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275,985</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306,701</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Accounts payable (including related party amounts of $64 and $47,</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50,000,000 shares authorized at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no shares issued and outstanding at September 30, 2022 and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at</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September 30, 2022 and December 31, 2021, respectively; 42,632,858</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and 42,536,183 shares issued at September 30, 2022 and December 31, 2021,</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respectively, and 42,136,971 and 41,441,135 shares outstanding at</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342,104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(82,801 )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(40,371 )</w:t>
            </w: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267,756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301,737</w:t>
            </w:r>
          </w:p>
        </w:tc>
        <w:tc>
          <w:tcPr>
            <w:tcW w:w="100" w:type="dxa"/>
            <w:vAlign w:val="bottom"/>
            <w:tcBorders>
              <w:top w:val="single" w:sz="8" w:color="CFF0FC"/>
            </w:tcBorders>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275,985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-3522345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-2545715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76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24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2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General and administrative (including related</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party amounts of $173, $142, $570</w:t>
            </w:r>
          </w:p>
        </w:tc>
        <w:tc>
          <w:tcPr>
            <w:tcW w:w="3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$260,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(13,645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(6,638</w:t>
            </w:r>
          </w:p>
        </w:tc>
        <w:tc>
          <w:tcPr>
            <w:tcW w:w="22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(43,909</w:t>
            </w:r>
          </w:p>
        </w:tc>
        <w:tc>
          <w:tcPr>
            <w:tcW w:w="22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(16,356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(17 )</w:t>
            </w: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(12,509 )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(6,643 )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(42,430 )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(16,364 )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482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used to compute net loss</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41,997,195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9,164,003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41,777,052</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4,504,997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8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per share, basic and diluted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-1456690</wp:posOffset>
            </wp:positionV>
            <wp:extent cx="774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-1456690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-591185</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-591185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-591185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-281940</wp:posOffset>
            </wp:positionV>
            <wp:extent cx="3206115"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28257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76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1180" w:type="dxa"/>
            <w:vAlign w:val="bottom"/>
            <w:gridSpan w:val="3"/>
          </w:tcPr>
          <w:p>
            <w:pPr>
              <w:jc w:val="center"/>
              <w:ind w:left="59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left="59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940" w:type="dxa"/>
            <w:vAlign w:val="bottom"/>
            <w:gridSpan w:val="2"/>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080" w:type="dxa"/>
            <w:vAlign w:val="bottom"/>
            <w:gridSpan w:val="5"/>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080" w:type="dxa"/>
            <w:vAlign w:val="bottom"/>
            <w:gridSpan w:val="5"/>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700" w:type="dxa"/>
            <w:vAlign w:val="bottom"/>
            <w:gridSpan w:val="3"/>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38"/>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08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20" w:type="dxa"/>
            <w:vAlign w:val="bottom"/>
            <w:gridSpan w:val="3"/>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7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3,374,560</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27,651</w:t>
            </w:r>
          </w:p>
        </w:tc>
        <w:tc>
          <w:tcPr>
            <w:tcW w:w="24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1,829,377</w:t>
            </w:r>
          </w:p>
        </w:tc>
        <w:tc>
          <w:tcPr>
            <w:tcW w:w="22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(14,077 )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(13,638 )</w:t>
            </w: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Series A convertible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auto"/>
              </w:rPr>
              <w:t>preferred stock, net of issuance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2,848,486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23,495</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Issuance of Series B convertible</w:t>
            </w: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preferred stock, net of issuance</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3,874,793</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106,128</w:t>
            </w:r>
          </w:p>
        </w:tc>
        <w:tc>
          <w:tcPr>
            <w:tcW w:w="2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costs</w:t>
            </w:r>
          </w:p>
        </w:tc>
        <w:tc>
          <w:tcPr>
            <w:tcW w:w="102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139,212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Vesting of shares of common</w:t>
            </w: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234,239</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(4,209 )</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(4,209 )</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6,223,046</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51,146</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3,874,793</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106,128</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2,202,828</w:t>
            </w:r>
          </w:p>
        </w:tc>
        <w:tc>
          <w:tcPr>
            <w:tcW w:w="220" w:type="dxa"/>
            <w:vAlign w:val="bottom"/>
          </w:tcPr>
          <w:p>
            <w:pPr>
              <w:spacing w:after="0"/>
              <w:rPr>
                <w:sz w:val="13"/>
                <w:szCs w:val="13"/>
                <w:color w:val="auto"/>
              </w:rPr>
            </w:pPr>
          </w:p>
        </w:tc>
        <w:tc>
          <w:tcPr>
            <w:tcW w:w="72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(18,286 )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(17,522 )</w:t>
            </w:r>
          </w:p>
        </w:tc>
        <w:tc>
          <w:tcPr>
            <w:tcW w:w="0" w:type="dxa"/>
            <w:vAlign w:val="bottom"/>
          </w:tcPr>
          <w:p>
            <w:pPr>
              <w:spacing w:after="0"/>
              <w:rPr>
                <w:sz w:val="1"/>
                <w:szCs w:val="1"/>
                <w:color w:val="auto"/>
              </w:rPr>
            </w:pPr>
          </w:p>
        </w:tc>
      </w:tr>
      <w:tr>
        <w:trPr>
          <w:trHeight w:val="110"/>
        </w:trPr>
        <w:tc>
          <w:tcPr>
            <w:tcW w:w="18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Issuance of common stock under</w:t>
            </w:r>
          </w:p>
        </w:tc>
        <w:tc>
          <w:tcPr>
            <w:tcW w:w="7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Vesting of shares of common</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170,012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(5,512 )</w:t>
            </w:r>
          </w:p>
        </w:tc>
        <w:tc>
          <w:tcPr>
            <w:tcW w:w="8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(5,512 )</w:t>
            </w:r>
          </w:p>
        </w:tc>
        <w:tc>
          <w:tcPr>
            <w:tcW w:w="0" w:type="dxa"/>
            <w:vAlign w:val="bottom"/>
          </w:tcPr>
          <w:p>
            <w:pPr>
              <w:spacing w:after="0"/>
              <w:rPr>
                <w:sz w:val="1"/>
                <w:szCs w:val="1"/>
                <w:color w:val="auto"/>
              </w:rPr>
            </w:pPr>
          </w:p>
        </w:tc>
      </w:tr>
      <w:tr>
        <w:trPr>
          <w:trHeight w:val="156"/>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6,223,046</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51,146</w:t>
            </w:r>
          </w:p>
        </w:tc>
        <w:tc>
          <w:tcPr>
            <w:tcW w:w="24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3,874,793</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106,128</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2,374,351</w:t>
            </w:r>
          </w:p>
        </w:tc>
        <w:tc>
          <w:tcPr>
            <w:tcW w:w="2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(23,798</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(22,667</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0"/>
        </w:trPr>
        <w:tc>
          <w:tcPr>
            <w:tcW w:w="18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Preferred stock converted into</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of common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(6,223,046 )</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(51,146 )</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(3,874,793 )</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(106,128 )</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26,228,089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Initial public offering of</w:t>
            </w: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3"/>
                <w:szCs w:val="13"/>
                <w:color w:val="auto"/>
              </w:rPr>
              <w:t>common</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12,420,000</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181,219</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shares, net of issuance costs</w:t>
            </w:r>
          </w:p>
        </w:tc>
        <w:tc>
          <w:tcPr>
            <w:tcW w:w="102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Vesting of shares of common</w:t>
            </w: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184,698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(6,643 )</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(6,643 )</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41,207,660</w:t>
            </w:r>
          </w:p>
        </w:tc>
        <w:tc>
          <w:tcPr>
            <w:tcW w:w="220" w:type="dxa"/>
            <w:vAlign w:val="bottom"/>
          </w:tcPr>
          <w:p>
            <w:pPr>
              <w:spacing w:after="0"/>
              <w:rPr>
                <w:sz w:val="13"/>
                <w:szCs w:val="13"/>
                <w:color w:val="auto"/>
              </w:rPr>
            </w:pPr>
          </w:p>
        </w:tc>
        <w:tc>
          <w:tcPr>
            <w:tcW w:w="72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340,168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(30,441 )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-1979295</wp:posOffset>
            </wp:positionV>
            <wp:extent cx="7683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-1979295</wp:posOffset>
            </wp:positionV>
            <wp:extent cx="7683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-1979295</wp:posOffset>
            </wp:positionV>
            <wp:extent cx="7683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-1979295</wp:posOffset>
            </wp:positionV>
            <wp:extent cx="7683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-1979295</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-1979295</wp:posOffset>
            </wp:positionV>
            <wp:extent cx="6858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-1979295</wp:posOffset>
            </wp:positionV>
            <wp:extent cx="6858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-1979295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-1165225</wp:posOffset>
            </wp:positionV>
            <wp:extent cx="7683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-1165225</wp:posOffset>
            </wp:positionV>
            <wp:extent cx="76835"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-1165225</wp:posOffset>
            </wp:positionV>
            <wp:extent cx="7683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-1165225</wp:posOffset>
            </wp:positionV>
            <wp:extent cx="76835"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-1165225</wp:posOffset>
            </wp:positionV>
            <wp:extent cx="685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-1165225</wp:posOffset>
            </wp:positionV>
            <wp:extent cx="6858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-1165225</wp:posOffset>
            </wp:positionV>
            <wp:extent cx="6858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-1165225</wp:posOffset>
            </wp:positionV>
            <wp:extent cx="6858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-119380</wp:posOffset>
            </wp:positionV>
            <wp:extent cx="7683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-119380</wp:posOffset>
            </wp:positionV>
            <wp:extent cx="7683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-119380</wp:posOffset>
            </wp:positionV>
            <wp:extent cx="7683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-119380</wp:posOffset>
            </wp:positionV>
            <wp:extent cx="7683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-119380</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-119380</wp:posOffset>
            </wp:positionV>
            <wp:extent cx="6858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-119380</wp:posOffset>
            </wp:positionV>
            <wp:extent cx="6858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-119380</wp:posOffset>
            </wp:positionV>
            <wp:extent cx="6858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right="377"/>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2"/>
              </w:rPr>
              <w:t>Series B</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2"/>
                <w:szCs w:val="12"/>
                <w:color w:val="auto"/>
              </w:rPr>
            </w:pPr>
          </w:p>
        </w:tc>
        <w:tc>
          <w:tcPr>
            <w:tcW w:w="106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jc w:val="center"/>
              <w:ind w:right="377"/>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3"/>
          </w:tcPr>
          <w:p>
            <w:pPr>
              <w:jc w:val="center"/>
              <w:ind w:left="117"/>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57"/>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760" w:type="dxa"/>
            <w:vAlign w:val="bottom"/>
            <w:gridSpan w:val="4"/>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41,441,135</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342,104</w:t>
            </w:r>
          </w:p>
        </w:tc>
        <w:tc>
          <w:tcPr>
            <w:tcW w:w="3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(40,371 )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301,737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under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28,951</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400" w:type="dxa"/>
            <w:vAlign w:val="bottom"/>
            <w:gridSpan w:val="2"/>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Vesting of shares of common</w:t>
            </w: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226,478</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(14,826 )</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(14,826 )</w:t>
            </w:r>
          </w:p>
        </w:tc>
        <w:tc>
          <w:tcPr>
            <w:tcW w:w="0" w:type="dxa"/>
            <w:vAlign w:val="bottom"/>
          </w:tcPr>
          <w:p>
            <w:pPr>
              <w:spacing w:after="0"/>
              <w:rPr>
                <w:sz w:val="1"/>
                <w:szCs w:val="1"/>
                <w:color w:val="auto"/>
              </w:rPr>
            </w:pPr>
          </w:p>
        </w:tc>
      </w:tr>
      <w:tr>
        <w:trPr>
          <w:trHeight w:val="20"/>
        </w:trPr>
        <w:tc>
          <w:tcPr>
            <w:tcW w:w="17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620" w:type="dxa"/>
            <w:vAlign w:val="bottom"/>
          </w:tcPr>
          <w:p>
            <w:pPr>
              <w:spacing w:after="0"/>
              <w:rPr>
                <w:sz w:val="13"/>
                <w:szCs w:val="13"/>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41,696,564</w:t>
            </w:r>
          </w:p>
        </w:tc>
        <w:tc>
          <w:tcPr>
            <w:tcW w:w="200" w:type="dxa"/>
            <w:vAlign w:val="bottom"/>
          </w:tcPr>
          <w:p>
            <w:pPr>
              <w:spacing w:after="0"/>
              <w:rPr>
                <w:sz w:val="13"/>
                <w:szCs w:val="13"/>
                <w:color w:val="auto"/>
              </w:rPr>
            </w:pPr>
          </w:p>
        </w:tc>
        <w:tc>
          <w:tcPr>
            <w:tcW w:w="72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346,377</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(55,197 )</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7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Issuance of common stock</w:t>
            </w:r>
          </w:p>
        </w:tc>
        <w:tc>
          <w:tcPr>
            <w:tcW w:w="62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under</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15,247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shares of common</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191,299</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(15,095 )</w:t>
            </w: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(15,095 )</w:t>
            </w:r>
          </w:p>
        </w:tc>
        <w:tc>
          <w:tcPr>
            <w:tcW w:w="0" w:type="dxa"/>
            <w:vAlign w:val="bottom"/>
          </w:tcPr>
          <w:p>
            <w:pPr>
              <w:spacing w:after="0"/>
              <w:rPr>
                <w:sz w:val="1"/>
                <w:szCs w:val="1"/>
                <w:color w:val="auto"/>
              </w:rPr>
            </w:pPr>
          </w:p>
        </w:tc>
      </w:tr>
      <w:tr>
        <w:trPr>
          <w:trHeight w:val="156"/>
        </w:trPr>
        <w:tc>
          <w:tcPr>
            <w:tcW w:w="1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6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41,903,110</w:t>
            </w:r>
          </w:p>
        </w:tc>
        <w:tc>
          <w:tcPr>
            <w:tcW w:w="2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349,141</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(70,292</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278,853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4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Issuance of common stock</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under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benefit plans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52,477</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400" w:type="dxa"/>
            <w:vAlign w:val="bottom"/>
            <w:gridSpan w:val="2"/>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Vesting of shares of common</w:t>
            </w: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181,384</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(12,509 )</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(12,509 )</w:t>
            </w:r>
          </w:p>
        </w:tc>
        <w:tc>
          <w:tcPr>
            <w:tcW w:w="0" w:type="dxa"/>
            <w:vAlign w:val="bottom"/>
          </w:tcPr>
          <w:p>
            <w:pPr>
              <w:spacing w:after="0"/>
              <w:rPr>
                <w:sz w:val="1"/>
                <w:szCs w:val="1"/>
                <w:color w:val="auto"/>
              </w:rPr>
            </w:pPr>
          </w:p>
        </w:tc>
      </w:tr>
      <w:tr>
        <w:trPr>
          <w:trHeight w:val="20"/>
        </w:trPr>
        <w:tc>
          <w:tcPr>
            <w:tcW w:w="17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620" w:type="dxa"/>
            <w:vAlign w:val="bottom"/>
          </w:tcPr>
          <w:p>
            <w:pPr>
              <w:spacing w:after="0"/>
              <w:rPr>
                <w:sz w:val="8"/>
                <w:szCs w:val="8"/>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tcPr>
          <w:p>
            <w:pPr>
              <w:spacing w:after="0"/>
              <w:rPr>
                <w:sz w:val="8"/>
                <w:szCs w:val="8"/>
                <w:color w:val="auto"/>
              </w:rPr>
            </w:pPr>
          </w:p>
        </w:tc>
        <w:tc>
          <w:tcPr>
            <w:tcW w:w="700" w:type="dxa"/>
            <w:vAlign w:val="bottom"/>
            <w:vMerge w:val="restart"/>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8"/>
                <w:szCs w:val="8"/>
                <w:color w:val="auto"/>
              </w:rPr>
            </w:pPr>
          </w:p>
        </w:tc>
        <w:tc>
          <w:tcPr>
            <w:tcW w:w="82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tcPr>
          <w:p>
            <w:pPr>
              <w:spacing w:after="0"/>
              <w:rPr>
                <w:sz w:val="8"/>
                <w:szCs w:val="8"/>
                <w:color w:val="auto"/>
              </w:rPr>
            </w:pPr>
          </w:p>
        </w:tc>
        <w:tc>
          <w:tcPr>
            <w:tcW w:w="700" w:type="dxa"/>
            <w:vAlign w:val="bottom"/>
            <w:vMerge w:val="restart"/>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42,136,971</w:t>
            </w:r>
          </w:p>
        </w:tc>
        <w:tc>
          <w:tcPr>
            <w:tcW w:w="200" w:type="dxa"/>
            <w:vAlign w:val="bottom"/>
            <w:vMerge w:val="restart"/>
          </w:tcPr>
          <w:p>
            <w:pPr>
              <w:spacing w:after="0"/>
              <w:rPr>
                <w:sz w:val="8"/>
                <w:szCs w:val="8"/>
                <w:color w:val="auto"/>
              </w:rPr>
            </w:pPr>
          </w:p>
        </w:tc>
        <w:tc>
          <w:tcPr>
            <w:tcW w:w="720" w:type="dxa"/>
            <w:vAlign w:val="bottom"/>
            <w:vMerge w:val="restart"/>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350,553</w:t>
            </w:r>
          </w:p>
        </w:tc>
        <w:tc>
          <w:tcPr>
            <w:tcW w:w="220" w:type="dxa"/>
            <w:vAlign w:val="bottom"/>
            <w:vMerge w:val="restart"/>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(82,801 )</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267,756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-1757045</wp:posOffset>
            </wp:positionV>
            <wp:extent cx="7683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-1757045</wp:posOffset>
            </wp:positionV>
            <wp:extent cx="76835"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-1757045</wp:posOffset>
            </wp:positionV>
            <wp:extent cx="7747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-1757045</wp:posOffset>
            </wp:positionV>
            <wp:extent cx="6858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-1757045</wp:posOffset>
            </wp:positionV>
            <wp:extent cx="6858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-1757045</wp:posOffset>
            </wp:positionV>
            <wp:extent cx="6858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-1757045</wp:posOffset>
            </wp:positionV>
            <wp:extent cx="685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-1757045</wp:posOffset>
            </wp:positionV>
            <wp:extent cx="6858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-864870</wp:posOffset>
            </wp:positionV>
            <wp:extent cx="7683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-864870</wp:posOffset>
            </wp:positionV>
            <wp:extent cx="76835"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-864870</wp:posOffset>
            </wp:positionV>
            <wp:extent cx="7747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-864870</wp:posOffset>
            </wp:positionV>
            <wp:extent cx="6858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6858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6858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-864870</wp:posOffset>
            </wp:positionV>
            <wp:extent cx="6858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-864870</wp:posOffset>
            </wp:positionV>
            <wp:extent cx="6858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-196850</wp:posOffset>
            </wp:positionV>
            <wp:extent cx="76835"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-196850</wp:posOffset>
            </wp:positionV>
            <wp:extent cx="76835"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-196850</wp:posOffset>
            </wp:positionV>
            <wp:extent cx="7747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-196850</wp:posOffset>
            </wp:positionV>
            <wp:extent cx="68580"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-196850</wp:posOffset>
            </wp:positionV>
            <wp:extent cx="6858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-196850</wp:posOffset>
            </wp:positionV>
            <wp:extent cx="68580" cy="197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-196850</wp:posOffset>
            </wp:positionV>
            <wp:extent cx="6858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-196850</wp:posOffset>
            </wp:positionV>
            <wp:extent cx="6858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9748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ind w:left="5180"/>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19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(42,430 )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(16,364 )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(5,945 )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(538 )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Series A convertible preferred stock, net of issuance costs</w:t>
            </w:r>
          </w:p>
        </w:tc>
        <w:tc>
          <w:tcPr>
            <w:tcW w:w="9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Series B convertible preferred stock, net of issuance costs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under benefit plans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financing lease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312,856</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(decrease) increase for the period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(38,214</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302,425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940" w:type="dxa"/>
            <w:vAlign w:val="bottom"/>
            <w:tcBorders>
              <w:bottom w:val="single" w:sz="8" w:color="auto"/>
            </w:tcBorders>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264,211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 balance sheets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263,211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264,211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94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equipment included in accounts payable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94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-1879600</wp:posOffset>
            </wp:positionV>
            <wp:extent cx="685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-1879600</wp:posOffset>
            </wp:positionV>
            <wp:extent cx="6858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-1305560</wp:posOffset>
            </wp:positionV>
            <wp:extent cx="124333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333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-722630</wp:posOffset>
            </wp:positionV>
            <wp:extent cx="124333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43330" cy="16319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1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69"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completed its initial public offering (the IPO) and issued 12,420,000 shares of common stock for net proceeds of approximately $181.2 million. See Note 6 to these financial statements for additional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21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On September 7, 2021, the Company effected a 2.5974-for-1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500,000,000. The accompanying financial statements and notes to the financial statements give retroactive effect to the Forward Stock Split for all periods presented, unless otherwise indicated.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generally accepted accounting principles in the United States (GAAP). Any reference in these notes to applicable guidance is meant to refer to GAAP as found in the Accounting Standards Codification (ASC) and Accounting Standards Updates (ASU) promulgated by the Financial Accounting Standards Board (FASB). The accompanying unaudited financial statements do not include all of the information and notes required by GAAP for complete financial statements. These unaudited financial statements include only normal and recurring adjustments that the Company believes are necessary to fairly state the Company’s financial position and the results of its operations and cash flows. The results for the three and nine months ended September 30, 2022 and 2021 are not necessarily indicative of the results expected for the full fiscal year or any subsequent interim period. The balance sheet at September 30, 2022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 notes accompanying them should be read in conjunction with the Company’s Annual Report on Form 10-K for the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6"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From inception to September 30, 2022, the Company has devoted substantially all of its resources to organizing and staffing the company, business planning, raising capital, developing its proprietary SNÅP platform,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through September 30, 2022, the Company funded its operations primarily through the issuance of common stock in its IPO, the sale of convertible preferred stock and the issuance of Simple Agreements for Future Equity.</w:t>
      </w:r>
    </w:p>
    <w:p>
      <w:pPr>
        <w:spacing w:after="0" w:line="195" w:lineRule="exact"/>
        <w:rPr>
          <w:sz w:val="20"/>
          <w:szCs w:val="20"/>
          <w:color w:val="auto"/>
        </w:rPr>
      </w:pPr>
    </w:p>
    <w:p>
      <w:pPr>
        <w:ind w:right="240" w:firstLine="749"/>
        <w:spacing w:after="0" w:line="24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8" w:name="page9"/>
    <w:bookmarkEnd w:id="8"/>
    <w:p>
      <w:pPr>
        <w:ind w:firstLine="749"/>
        <w:spacing w:after="0" w:line="250"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6"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there have been no changes to the Company's significant accounting policies as described in the Company’s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16"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Restricted cash is comprised of cash that is restricted as to its withdrawal or use under the terms of certain contractual agreements. Restricted cash as of September 30, 2022 and December 31, 2021 was $1.0 million and $0.2 million, respectively, which consisted of collateral letters of credit related to the Company's operating leases and which are considered a non-current asset on the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16"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2022 and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p>
    <w:p>
      <w:pPr>
        <w:spacing w:after="0" w:line="177" w:lineRule="exact"/>
        <w:rPr>
          <w:sz w:val="20"/>
          <w:szCs w:val="20"/>
          <w:color w:val="auto"/>
        </w:rPr>
      </w:pPr>
    </w:p>
    <w:p>
      <w:pPr>
        <w:ind w:left="1080" w:hanging="32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the entity;</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for which investments in their equity securities is typically accounted for under the equity method by the investing entity;</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for the benefit of employees;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owners of the entity and members of their immediate families;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the entity and members of their immediate families; or</w:t>
      </w:r>
    </w:p>
    <w:p>
      <w:pPr>
        <w:spacing w:after="0" w:line="211" w:lineRule="exact"/>
        <w:rPr>
          <w:rFonts w:ascii="Times New Roman" w:cs="Times New Roman" w:eastAsia="Times New Roman" w:hAnsi="Times New Roman"/>
          <w:sz w:val="18"/>
          <w:szCs w:val="18"/>
          <w:color w:val="auto"/>
        </w:rPr>
      </w:pPr>
    </w:p>
    <w:p>
      <w:pPr>
        <w:ind w:left="1080" w:right="140" w:hanging="323"/>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26" w:lineRule="exact"/>
        <w:rPr>
          <w:sz w:val="20"/>
          <w:szCs w:val="20"/>
          <w:color w:val="auto"/>
        </w:rPr>
      </w:pPr>
    </w:p>
    <w:p>
      <w:pPr>
        <w:ind w:right="140" w:firstLine="749"/>
        <w:spacing w:after="0" w:line="243" w:lineRule="auto"/>
        <w:rPr>
          <w:sz w:val="20"/>
          <w:szCs w:val="20"/>
          <w:color w:val="auto"/>
        </w:rPr>
      </w:pPr>
      <w:r>
        <w:rPr>
          <w:rFonts w:ascii="Times New Roman" w:cs="Times New Roman" w:eastAsia="Times New Roman" w:hAnsi="Times New Roman"/>
          <w:sz w:val="18"/>
          <w:szCs w:val="18"/>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For the three and nine months ended September 30, 2022, van den Boom &amp; Associates rendered contracted services totaling approximately $0.2 million and $0.6 million, respectively.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There were no other significant updates not already disclosed in the Company’s audited financial statements for the years ended December 31, 2021 and 2020 to the recently issued accounting standards for the three and nine months ended September 30, 2022. Although there were several other new accounting pronouncements issued or proposed by the FASB, the Company does not believe any of those accounting pronouncements have had or will have a material impact on its financial position or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212" w:lineRule="exact"/>
        <w:rPr>
          <w:sz w:val="20"/>
          <w:szCs w:val="20"/>
          <w:color w:val="auto"/>
        </w:rPr>
      </w:pPr>
    </w:p>
    <w:p>
      <w:pPr>
        <w:ind w:left="760" w:right="50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—Quoted prices for similar assets and liabilities in active markets, quoted prices in markets that are not active, or inputs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 and</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supported by little or no market activity).</w:t>
      </w:r>
    </w:p>
    <w:p>
      <w:pPr>
        <w:spacing w:after="0" w:line="205"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and cash equivalents, prepaid and other current assets, restricted cash, accounts payable, and accrued and other current liabilities, approximate fair value due to their short maturities. Included in cash and cash equivalents at September 30, 2022 and December 31, 2021 are money market funds with a carrying value and fair value of $252.7 million and $291.7 million, respectively, based upon a Level 1 fair value assessment.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Assets measured at fair value on a recurring basis are as follows (in thousands):</w:t>
      </w: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vMerge w:val="restart"/>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0" w:type="dxa"/>
            <w:vAlign w:val="bottom"/>
          </w:tcPr>
          <w:p>
            <w:pPr>
              <w:spacing w:after="0"/>
              <w:rPr>
                <w:sz w:val="17"/>
                <w:szCs w:val="17"/>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3"/>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tcBorders>
              <w:top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None of the Company’s non-financial assets or liabilities are recorded at fair value on a non-recurring basis. No transfers between levels have occurred during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r>
      <w:tr>
        <w:trPr>
          <w:trHeight w:val="210"/>
        </w:trPr>
        <w:tc>
          <w:tcPr>
            <w:tcW w:w="5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220" w:firstLine="749"/>
        <w:spacing w:after="0" w:line="253"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was $82,000 and $214,000, respectively. Depreciation expense for the three and nine months ended September 30, 2021 was $41,000 and $90,000, respectively.</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Accrued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general and administrative fees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16"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In January 2020 and February 2021, the Company issued, at each date, 2,848,486 shares of Series A convertible preferred stock at a price of $8.25 per share resulting in gross proceeds of $23.5 million, at each date, and incurred issuance costs of $0.2 million and $5,000, respectively.</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March 2021, the Company issued 3,874,793 shares of Series B convertible preferred stock, at a price of $27.4337 per share, resulting in net proceeds of $106.1 million excluding issuance costs of $0.2 million.</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September 2021, upon completion of the IPO, all of the Company’s shares of convertible preferred stock converted into 26,228,089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granted and outstanding</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5,948,170</w:t>
            </w: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 available for future issuance under the 2021</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Incentive Award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4,283,673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4,384,274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available for future issuance under the 2021</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759,442</w:t>
            </w:r>
          </w:p>
        </w:tc>
        <w:tc>
          <w:tcPr>
            <w:tcW w:w="200" w:type="dxa"/>
            <w:vAlign w:val="bottom"/>
            <w:vMerge w:val="restart"/>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10,991,285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8,535,790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5143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02"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Since inception, the Company has issued 2,820,560 shares of restricted common stock at a price of $0.0001 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to be outstanding for accounting purposes until those shares vest. Unvested outstanding Founders Stock as of September 30, 2022 and December 31, 2021 were 127,760 and 495,170 shares, respectively. The amount recorded as liabilities associated with shares issued with repurchase rights were immaterial as of September 30, 2022 and December 31, 2021.</w:t>
      </w:r>
    </w:p>
    <w:p>
      <w:pPr>
        <w:spacing w:after="0" w:line="18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18"/>
          <w:szCs w:val="18"/>
          <w:color w:val="auto"/>
        </w:rPr>
        <w:t>For the nine months ended September 30, 2022 and 2021, 367,410 and 365,445 shares vested in each period and the Company recognized $0.2 million of stock-based compensation expense for each period related to the awards, respectively. As of September 30, 2022, the total unrecognized compensation expense related to unvested Founders Stock was $0.1 million and is expected to be recognized over a weighted-average period of approximately 0.3 years.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Equity Incentive Plans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Incentive Award Plan (the 2021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adoption of the 2021 Plan, the Company restricted the grant of future equity awards under the 2020 Equity Incentive Plan (the 2020 Plan).</w:t>
      </w:r>
    </w:p>
    <w:p>
      <w:pPr>
        <w:spacing w:after="0" w:line="205"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will automatically increase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w:t>
      </w:r>
    </w:p>
    <w:p>
      <w:pPr>
        <w:spacing w:after="0" w:line="186"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The options granted under the 2020 Plan and the 2021 Plan are exercisable at various dates as determined upon grant and will expire no more than ten years from their date of grant. The exercise price of each option shall be determined by the Company’s Board of Directors based on the fair market value of the Company’s stock on the date of the option grant. The exercise price shall not be less than 100% of the fair market value of the Company’s common stock at the time the option is granted. The vesting period generally occurs over four years, either ratably, or with a one year cliff followed by ratable vesting over the remaining 36 months, unless there is a specific performance vesting trigger at which time those shares will vest when the performance trigger is probable to occur. Certain grants contain performance vesting conditions in addition to defined service periods.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period ended September 30, 2022 is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3"/>
                <w:szCs w:val="13"/>
                <w:color w:val="auto"/>
              </w:rPr>
            </w:pPr>
          </w:p>
        </w:tc>
        <w:tc>
          <w:tcPr>
            <w:tcW w:w="86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3,771,516</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2,630,877</w:t>
            </w:r>
          </w:p>
        </w:tc>
        <w:tc>
          <w:tcPr>
            <w:tcW w:w="2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(50,756 )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(121,262 )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(282,205 )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5,948,170</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1,262,635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12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6,475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line="151" w:lineRule="exact"/>
              <w:rPr>
                <w:sz w:val="20"/>
                <w:szCs w:val="20"/>
                <w:color w:val="auto"/>
              </w:rPr>
            </w:pPr>
            <w:r>
              <w:rPr>
                <w:rFonts w:ascii="Times New Roman" w:cs="Times New Roman" w:eastAsia="Times New Roman" w:hAnsi="Times New Roman"/>
                <w:sz w:val="17"/>
                <w:szCs w:val="17"/>
                <w:color w:val="auto"/>
              </w:rPr>
              <w:t>Vested and expected to vest as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5,948,170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September 30, 2022</w:t>
            </w: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7.95</w:t>
            </w:r>
          </w:p>
        </w:tc>
        <w:tc>
          <w:tcPr>
            <w:tcW w:w="12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32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18,806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-591185</wp:posOffset>
            </wp:positionV>
            <wp:extent cx="5143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-281940</wp:posOffset>
            </wp:positionV>
            <wp:extent cx="51435" cy="282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282575"/>
                    </a:xfrm>
                    <a:prstGeom prst="rect">
                      <a:avLst/>
                    </a:prstGeom>
                    <a:noFill/>
                  </pic:spPr>
                </pic:pic>
              </a:graphicData>
            </a:graphic>
          </wp:anchor>
        </w:drawing>
      </w:r>
    </w:p>
    <w:p>
      <w:pPr>
        <w:spacing w:after="0" w:line="3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96,431 performance-based stock options vested upon the achievement of the performance condition. The Company recorded $1.2 million of compensation expense relating to the vested performance-based stock options for the nine months ended September 30, 2022.</w:t>
      </w:r>
    </w:p>
    <w:p>
      <w:pPr>
        <w:spacing w:after="0" w:line="169"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 aggregate of 94,731 performance-based stock options were forfeited as the related performance conditions were not achieved. The Company reversed previously recognized $1.0 million of expense related to the cancelled options.</w:t>
      </w:r>
    </w:p>
    <w:p>
      <w:pPr>
        <w:spacing w:after="0" w:line="162" w:lineRule="exact"/>
        <w:rPr>
          <w:sz w:val="20"/>
          <w:szCs w:val="20"/>
          <w:color w:val="auto"/>
        </w:rPr>
      </w:pPr>
    </w:p>
    <w:p>
      <w:pPr>
        <w:jc w:val="both"/>
        <w:ind w:right="100" w:firstLine="749"/>
        <w:spacing w:after="0" w:line="247" w:lineRule="auto"/>
        <w:rPr>
          <w:sz w:val="20"/>
          <w:szCs w:val="20"/>
          <w:color w:val="auto"/>
        </w:rPr>
      </w:pPr>
      <w:r>
        <w:rPr>
          <w:rFonts w:ascii="Times New Roman" w:cs="Times New Roman" w:eastAsia="Times New Roman" w:hAnsi="Times New Roman"/>
          <w:sz w:val="18"/>
          <w:szCs w:val="18"/>
          <w:color w:val="auto"/>
        </w:rPr>
        <w:t>As of September 30, 2022, 3,493 performance-based stock options were both outstanding and unvested. The performance conditions related to these options were satisfied in 2020, and the options will continue to vest over the remaining service period of 16 months. Total unrecognized stock-based compensation expense on outstanding performance based options was $13,000 as of September 30, 2022.</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w:t>
      </w:r>
    </w:p>
    <w:p>
      <w:pPr>
        <w:spacing w:after="0" w:line="40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54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5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$5.38 - 12.31</w:t>
            </w:r>
          </w:p>
        </w:tc>
        <w:tc>
          <w:tcPr>
            <w:tcW w:w="16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$0.99 - 16.00</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- 3.6%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- 1.1%</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5.1 - 6.1</w:t>
            </w:r>
          </w:p>
        </w:tc>
        <w:tc>
          <w:tcPr>
            <w:tcW w:w="16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5.0 - 6.1</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- 90.4%</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- 99.9%</w:t>
            </w:r>
          </w:p>
        </w:tc>
        <w:tc>
          <w:tcPr>
            <w:tcW w:w="120" w:type="dxa"/>
            <w:vAlign w:val="bottom"/>
            <w:shd w:val="clear" w:color="auto" w:fill="CFF0FC"/>
          </w:tcPr>
          <w:p>
            <w:pPr>
              <w:spacing w:after="0"/>
              <w:rPr>
                <w:sz w:val="18"/>
                <w:szCs w:val="18"/>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tcPr>
          <w:p>
            <w:pPr>
              <w:spacing w:after="0"/>
              <w:rPr>
                <w:sz w:val="20"/>
                <w:szCs w:val="20"/>
                <w:color w:val="auto"/>
              </w:rPr>
            </w:pPr>
          </w:p>
        </w:tc>
        <w:tc>
          <w:tcPr>
            <w:tcW w:w="920" w:type="dxa"/>
            <w:vAlign w:val="bottom"/>
          </w:tcPr>
          <w:p>
            <w:pPr>
              <w:jc w:val="center"/>
              <w:ind w:right="5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center"/>
              <w:ind w:right="53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right="72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including Founder's Stock, has been reported in the statements of operations and comprehensive loss as follows (in thousands):</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49"/>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 grants for the nine months ended September 30, 2022 and 2021 was $5.59 and $2.70 per share, respectively.</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forfeitures resulted in the reversal of compensation expense in each case totaling $1.1 million, of which $1.0 million related to the non-achievement of underlying performance conditions for certain performance-based stock option grants. Forfeitures resulting in the reversal of compensation expense were immaterial for the three and nine months ended September 30, 2021.</w:t>
      </w:r>
    </w:p>
    <w:p>
      <w:pPr>
        <w:spacing w:after="0" w:line="16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2022, the unrecognized compensation cost related to outstanding employee and nonemployee options was $28.1 million, and is expected to be recognized as expense over a weighted-average period of approximately 2.9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7"/>
          <w:szCs w:val="17"/>
          <w:color w:val="auto"/>
        </w:rPr>
        <w:t>In September 2021, the Company’s Board of Directors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w:t>
      </w:r>
    </w:p>
    <w:p>
      <w:pPr>
        <w:spacing w:after="0" w:line="1" w:lineRule="exact"/>
        <w:rPr>
          <w:sz w:val="20"/>
          <w:szCs w:val="20"/>
          <w:color w:val="auto"/>
        </w:rPr>
      </w:pPr>
    </w:p>
    <w:p>
      <w:pPr>
        <w:ind w:right="60" w:firstLine="8"/>
        <w:spacing w:after="0" w:line="239"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smaller amount as determined by the Company’s Board of Directors.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six months, with new offering periods commencing every six months on or about the dates of March 15 and September 15 of each year. During the nine months ended September 30, 2022, the Company issued 45,919 shares of common stock in connection with the ESPP.</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Early Exercise of Stock Options</w:t>
      </w:r>
    </w:p>
    <w:p>
      <w:pPr>
        <w:spacing w:after="0" w:line="22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September 30, 2022 and December 31, 2021, 368,127 and 599,878 unvested shares issued under early exercise provisions were subject to repurchase by the Company, respectively. As of September 30, 2022 and December 31, 2021, the Company recorded $0.2 million and $0.4 million, respectively, associated with early exercised stock options in other long-term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ectPr>
          <w:pgSz w:w="11900" w:h="16838" w:orient="portrait"/>
          <w:cols w:equalWidth="0" w:num="1">
            <w:col w:w="11240"/>
          </w:cols>
          <w:pgMar w:left="320" w:top="5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loss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9" w:lineRule="exact"/>
        <w:rPr>
          <w:sz w:val="20"/>
          <w:szCs w:val="20"/>
          <w:color w:val="auto"/>
        </w:rPr>
      </w:pPr>
    </w:p>
    <w:p>
      <w:pPr>
        <w:ind w:left="920" w:right="360" w:hanging="134"/>
        <w:spacing w:after="0" w:line="234" w:lineRule="auto"/>
        <w:rPr>
          <w:sz w:val="20"/>
          <w:szCs w:val="20"/>
          <w:color w:val="auto"/>
        </w:rPr>
      </w:pPr>
      <w:r>
        <w:rPr>
          <w:rFonts w:ascii="Times New Roman" w:cs="Times New Roman" w:eastAsia="Times New Roman" w:hAnsi="Times New Roman"/>
          <w:sz w:val="18"/>
          <w:szCs w:val="18"/>
          <w:color w:val="auto"/>
        </w:rPr>
        <w:t>Less: weighted average unvested founder shares of common stock</w:t>
      </w:r>
    </w:p>
    <w:p>
      <w:pPr>
        <w:spacing w:after="0" w:line="1" w:lineRule="exact"/>
        <w:rPr>
          <w:sz w:val="20"/>
          <w:szCs w:val="20"/>
          <w:color w:val="auto"/>
        </w:rPr>
      </w:pPr>
    </w:p>
    <w:p>
      <w:pPr>
        <w:ind w:left="920" w:right="540" w:hanging="134"/>
        <w:spacing w:after="0" w:line="229" w:lineRule="auto"/>
        <w:rPr>
          <w:sz w:val="20"/>
          <w:szCs w:val="20"/>
          <w:color w:val="auto"/>
        </w:rPr>
      </w:pPr>
      <w:r>
        <w:rPr>
          <w:rFonts w:ascii="Times New Roman" w:cs="Times New Roman" w:eastAsia="Times New Roman" w:hAnsi="Times New Roman"/>
          <w:sz w:val="18"/>
          <w:szCs w:val="18"/>
          <w:color w:val="auto"/>
        </w:rPr>
        <w:t>Less: weighted average unvested common stock issued upon early exercise of common stock options</w:t>
      </w:r>
    </w:p>
    <w:p>
      <w:pPr>
        <w:spacing w:after="0" w:line="2" w:lineRule="exact"/>
        <w:rPr>
          <w:sz w:val="20"/>
          <w:szCs w:val="20"/>
          <w:color w:val="auto"/>
        </w:rPr>
      </w:pPr>
    </w:p>
    <w:p>
      <w:pPr>
        <w:ind w:left="560" w:right="780" w:hanging="134"/>
        <w:spacing w:after="0" w:line="234" w:lineRule="auto"/>
        <w:rPr>
          <w:sz w:val="20"/>
          <w:szCs w:val="20"/>
          <w:color w:val="auto"/>
        </w:rPr>
      </w:pPr>
      <w:r>
        <w:rPr>
          <w:rFonts w:ascii="Times New Roman" w:cs="Times New Roman" w:eastAsia="Times New Roman" w:hAnsi="Times New Roman"/>
          <w:sz w:val="18"/>
          <w:szCs w:val="18"/>
          <w:color w:val="auto"/>
        </w:rPr>
        <w:t>Weighted average shares used to compute net loss per common share, basic and diluted</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540" w:type="dxa"/>
            <w:vAlign w:val="bottom"/>
            <w:gridSpan w:val="5"/>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2340" w:type="dxa"/>
            <w:vAlign w:val="bottom"/>
            <w:gridSpan w:val="5"/>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(12,509 )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(42,430 )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(16,364 )</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42,646,810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10,621,868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42,614,902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5,984,285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(209,421 )</w:t>
            </w:r>
          </w:p>
        </w:tc>
        <w:tc>
          <w:tcPr>
            <w:tcW w:w="32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(673,607 )</w:t>
            </w:r>
          </w:p>
        </w:tc>
        <w:tc>
          <w:tcPr>
            <w:tcW w:w="200" w:type="dxa"/>
            <w:vAlign w:val="bottom"/>
          </w:tcPr>
          <w:p>
            <w:pPr>
              <w:spacing w:after="0"/>
              <w:rPr>
                <w:sz w:val="24"/>
                <w:szCs w:val="24"/>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(330,928 )</w:t>
            </w: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(785,036 )</w:t>
            </w:r>
          </w:p>
        </w:tc>
        <w:tc>
          <w:tcPr>
            <w:tcW w:w="0" w:type="dxa"/>
            <w:vAlign w:val="bottom"/>
          </w:tcPr>
          <w:p>
            <w:pPr>
              <w:spacing w:after="0"/>
              <w:rPr>
                <w:sz w:val="1"/>
                <w:szCs w:val="1"/>
                <w:color w:val="auto"/>
              </w:rPr>
            </w:pPr>
          </w:p>
        </w:tc>
      </w:tr>
      <w:tr>
        <w:trPr>
          <w:trHeight w:val="580"/>
        </w:trPr>
        <w:tc>
          <w:tcPr>
            <w:tcW w:w="22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(440,194 )</w:t>
            </w:r>
          </w:p>
        </w:tc>
        <w:tc>
          <w:tcPr>
            <w:tcW w:w="32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(784,258 )</w:t>
            </w:r>
          </w:p>
        </w:tc>
        <w:tc>
          <w:tcPr>
            <w:tcW w:w="200" w:type="dxa"/>
            <w:vAlign w:val="bottom"/>
          </w:tcPr>
          <w:p>
            <w:pPr>
              <w:spacing w:after="0"/>
              <w:rPr>
                <w:sz w:val="24"/>
                <w:szCs w:val="24"/>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(506,922 )</w:t>
            </w: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(694,252 )</w:t>
            </w:r>
          </w:p>
        </w:tc>
        <w:tc>
          <w:tcPr>
            <w:tcW w:w="0" w:type="dxa"/>
            <w:vAlign w:val="bottom"/>
          </w:tcPr>
          <w:p>
            <w:pPr>
              <w:spacing w:after="0"/>
              <w:rPr>
                <w:sz w:val="1"/>
                <w:szCs w:val="1"/>
                <w:color w:val="auto"/>
              </w:rPr>
            </w:pPr>
          </w:p>
        </w:tc>
      </w:tr>
      <w:tr>
        <w:trPr>
          <w:trHeight w:val="358"/>
        </w:trPr>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41,997,195</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9,164,003</w:t>
            </w:r>
          </w:p>
        </w:tc>
        <w:tc>
          <w:tcPr>
            <w:tcW w:w="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41,777,052</w:t>
            </w:r>
          </w:p>
        </w:tc>
        <w:tc>
          <w:tcPr>
            <w:tcW w:w="2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4,504,997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-3242310</wp:posOffset>
            </wp:positionH>
            <wp:positionV relativeFrom="paragraph">
              <wp:posOffset>-1628140</wp:posOffset>
            </wp:positionV>
            <wp:extent cx="662622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-1328420</wp:posOffset>
            </wp:positionV>
            <wp:extent cx="66262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-1053465</wp:posOffset>
            </wp:positionV>
            <wp:extent cx="662622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6225" cy="257175"/>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-419735</wp:posOffset>
            </wp:positionV>
            <wp:extent cx="662622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26225" cy="25717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536" w:right="339" w:bottom="1440" w:gutter="0" w:footer="0" w:header="0"/>
          <w:type w:val="continuous"/>
        </w:sect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their inclusion would be anti-dilutive.</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subject to repurchase</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127,760</w:t>
            </w:r>
          </w:p>
        </w:tc>
        <w:tc>
          <w:tcPr>
            <w:tcW w:w="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619,069</w:t>
            </w:r>
          </w:p>
        </w:tc>
        <w:tc>
          <w:tcPr>
            <w:tcW w:w="80" w:type="dxa"/>
            <w:vAlign w:val="bottom"/>
            <w:shd w:val="clear" w:color="auto" w:fill="CFF0FC"/>
          </w:tcPr>
          <w:p>
            <w:pPr>
              <w:spacing w:after="0"/>
              <w:rPr>
                <w:sz w:val="18"/>
                <w:szCs w:val="18"/>
                <w:color w:val="auto"/>
              </w:rPr>
            </w:pPr>
          </w:p>
        </w:tc>
      </w:tr>
      <w:tr>
        <w:trPr>
          <w:trHeight w:val="171"/>
        </w:trPr>
        <w:tc>
          <w:tcPr>
            <w:tcW w:w="53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Unvested common stock upon early exercise of stock</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368,127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749,476</w:t>
            </w:r>
          </w:p>
        </w:tc>
        <w:tc>
          <w:tcPr>
            <w:tcW w:w="80" w:type="dxa"/>
            <w:vAlign w:val="bottom"/>
          </w:tcPr>
          <w:p>
            <w:pPr>
              <w:spacing w:after="0"/>
              <w:rPr>
                <w:sz w:val="20"/>
                <w:szCs w:val="20"/>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5,948,170</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2,586,313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3,954,858</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16"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The Company has leases for its office and laboratory space, including its corporate headquarters, with terms that expire in 2033. The Company has two options to extend the term of the operating lease for a period of three years each. However, as the Company was not reasonably certain to exercise either of those options at lease commencement, neither option was recognized as part of the associated operating lease Right-of-use (ROU) asset or liability.</w:t>
      </w:r>
    </w:p>
    <w:p>
      <w:pPr>
        <w:spacing w:after="0" w:line="19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In March 2022, the Company entered into an agreement (the Expansion Lease), for an additional office and laboratory space. The Expansion Lease is expected to commence in the second half of 2023 and projected lease payments over the life of the lease are expected to be $5.5 million with a lease expiration of 120 months after the commencement of the Expansion Lease. The Company has an option to renew the Expansion Lease and its existing operating lease, which has the same lessor and has been amended to have the same lease term as the Expansion Lease for two additional thirty-six month periods.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4" w:name="page15"/>
    <w:bookmarkEnd w:id="14"/>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operating leases, the Company paid a security deposit of $71,000 and is required to maintain a letter of credit of $1.0 million until 2027 at which time it can be reduced to $0.5 million throughout the end of the lease term.</w:t>
      </w:r>
    </w:p>
    <w:p>
      <w:pPr>
        <w:spacing w:after="0" w:line="148"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The Company's operating lease cost was $0.1 million and $0.1 million for the three months ended September 30, 2022 and 2021, respectively, and $0.2 million and $0.3 million for the nine months ended September 30, 2022 and 2021, respectively. Cash paid for amounts included in the measurement of lease liabilities was $0.1 million and $0.1 million for the three months ended September 30, 2022 and 2021, respectively, and $0.2 million and $0.2 million for the nine months ended September 30, 2022 and 2021, respectively.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Maturities of lease liabilities, weighted-average remaining term and weighted-average discount rate were as follows (in thousands):</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(remaining 3 months)</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(1,062 )</w:t>
            </w:r>
          </w:p>
        </w:tc>
        <w:tc>
          <w:tcPr>
            <w:tcW w:w="80" w:type="dxa"/>
            <w:vAlign w:val="bottom"/>
          </w:tcPr>
          <w:p>
            <w:pPr>
              <w:spacing w:after="0"/>
              <w:rPr>
                <w:sz w:val="18"/>
                <w:szCs w:val="18"/>
                <w:color w:val="auto"/>
              </w:rPr>
            </w:pPr>
          </w:p>
        </w:tc>
      </w:tr>
      <w:tr>
        <w:trPr>
          <w:trHeight w:val="209"/>
        </w:trPr>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8"/>
                <w:szCs w:val="18"/>
                <w:color w:val="auto"/>
              </w:rPr>
            </w:pPr>
          </w:p>
        </w:tc>
      </w:tr>
      <w:tr>
        <w:trPr>
          <w:trHeight w:val="209"/>
        </w:trPr>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7"/>
        </w:trPr>
        <w:tc>
          <w:tcPr>
            <w:tcW w:w="5640" w:type="dxa"/>
            <w:vAlign w:val="bottom"/>
          </w:tcPr>
          <w:p>
            <w:pPr>
              <w:spacing w:after="0"/>
              <w:rPr>
                <w:sz w:val="24"/>
                <w:szCs w:val="24"/>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640" w:type="dxa"/>
            <w:vAlign w:val="bottom"/>
          </w:tcPr>
          <w:p>
            <w:pPr>
              <w:spacing w:after="0"/>
              <w:rPr>
                <w:sz w:val="16"/>
                <w:szCs w:val="16"/>
                <w:color w:val="auto"/>
              </w:rPr>
            </w:pPr>
          </w:p>
        </w:tc>
        <w:tc>
          <w:tcPr>
            <w:tcW w:w="10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56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(years) - operating leases</w:t>
            </w:r>
          </w:p>
        </w:tc>
        <w:tc>
          <w:tcPr>
            <w:tcW w:w="128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171"/>
        </w:trPr>
        <w:tc>
          <w:tcPr>
            <w:tcW w:w="56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Weighted-average incremental borrowing</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 operating leases</w:t>
            </w:r>
          </w:p>
        </w:tc>
        <w:tc>
          <w:tcPr>
            <w:tcW w:w="14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7"/>
              </w:rPr>
              <w:t>6.50 %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-1610995</wp:posOffset>
            </wp:positionV>
            <wp:extent cx="51435"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-1328420</wp:posOffset>
            </wp:positionV>
            <wp:extent cx="51435"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-1045210</wp:posOffset>
            </wp:positionV>
            <wp:extent cx="514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2021 and the related Management’s Discussion and Analysis of Financial Condition and Results of Operations, both of which are contained in the Annual Report on Form 10-K for the year ended December 31, 2021 (the 2021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on our business from the COVID-19 pandemic, geopolitical instability, inflation, rising interest rates or other factors and from resulting adverse effects on financial markets, the global economy, and the supply chain,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ind w:firstLine="794"/>
        <w:spacing w:after="0" w:line="24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We are a precision oncology company focused on developing purpose-built therapies to overcome tumor resistance and improve outcomes for patients with cancer.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members, which are altered in approximately 7% of all cancers. We are advancing multiple product candidates toward the clinic including our lead product candidate TYRA-300, an FGFR3 inhibitor with an initial focus on patients with metastatic urothelial carcinoma of the bladder and urinary tract. Our second product candidate, TYRA-200 is an FGFR1/2/3 inhibitor with potency against FGFR2 fusions, molecular brake mutations and gatekeeper resistance that TYRA is developing initially in intrahepatic cholangiocarcinoma. We submitted an Investigational New Drug application (IND) with the U.S. Food and Drug Administration (FDA) for TYRA-300 in June 2022 and received clearance in July 2022 to proceed with our Phase 1/2 clinical trial of TYRA-300 (SURF301), a two-part study designed to determine the optimal and maximum tolerated doses (MTD) and the recommended Phase 2 dose (RP2D) of TYRA-300, as well as to evaluate the preliminary antitumor activity of TYRA-300. We anticipate submitting an IND with the FDA for TYRA-200 in the fourth quarter of 2022. In addition, we have pipeline development programs targeting FGFR3-related achondroplasia and other FGFR3-related skeletal dysplasias, FGFR4 driven cancers, and RET (REarranged during Transfection kinase) driven cancers.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6" w:name="page17"/>
    <w:bookmarkEnd w:id="16"/>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nine months ended September 30, 2022 and 2021 were $42.4 million and $16.4 million, respectively. As of September 30, 2022, we had an accumulated deficit of $82.8 million. As of September 30, 2022, we had cash and cash equivalents of $263.2 million.</w:t>
      </w:r>
    </w:p>
    <w:p>
      <w:pPr>
        <w:spacing w:after="0" w:line="19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planned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8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86"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(CROs), third-party manufacturers and other third parties with whom we do business, as well as its impact on regulatory authorities and our key scientific and management personnel.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62" w:lineRule="exact"/>
        <w:rPr>
          <w:sz w:val="20"/>
          <w:szCs w:val="20"/>
          <w:color w:val="auto"/>
        </w:rPr>
      </w:pPr>
    </w:p>
    <w:p>
      <w:pPr>
        <w:ind w:left="1080" w:hanging="323"/>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225" w:lineRule="exact"/>
        <w:rPr>
          <w:rFonts w:ascii="Times New Roman" w:cs="Times New Roman" w:eastAsia="Times New Roman" w:hAnsi="Times New Roman"/>
          <w:sz w:val="18"/>
          <w:szCs w:val="18"/>
          <w:color w:val="auto"/>
        </w:rPr>
      </w:pPr>
    </w:p>
    <w:p>
      <w:pPr>
        <w:ind w:left="1380" w:right="400" w:hanging="308"/>
        <w:spacing w:after="0" w:line="250"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CROs, central laboratories and other vendors and service providers engaged to conduct our trials;</w:t>
      </w:r>
    </w:p>
    <w:p>
      <w:pPr>
        <w:spacing w:after="0" w:line="190" w:lineRule="exact"/>
        <w:rPr>
          <w:rFonts w:ascii="Times New Roman" w:cs="Times New Roman" w:eastAsia="Times New Roman" w:hAnsi="Times New Roman"/>
          <w:sz w:val="18"/>
          <w:szCs w:val="18"/>
          <w:color w:val="auto"/>
        </w:rPr>
      </w:pPr>
    </w:p>
    <w:p>
      <w:pPr>
        <w:ind w:left="1380" w:right="120" w:hanging="308"/>
        <w:spacing w:after="0" w:line="266"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product candidates, including under agreements with third parties, such as consultants and CROs;</w:t>
      </w:r>
    </w:p>
    <w:p>
      <w:pPr>
        <w:spacing w:after="0" w:line="162"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chemistry, manufacturing and controls, or CMC development, and other services; and</w:t>
      </w:r>
    </w:p>
    <w:p>
      <w:pPr>
        <w:spacing w:after="0" w:line="225" w:lineRule="exact"/>
        <w:rPr>
          <w:rFonts w:ascii="Times New Roman" w:cs="Times New Roman" w:eastAsia="Times New Roman" w:hAnsi="Times New Roman"/>
          <w:sz w:val="18"/>
          <w:szCs w:val="18"/>
          <w:color w:val="auto"/>
        </w:rPr>
      </w:pPr>
    </w:p>
    <w:p>
      <w:pPr>
        <w:ind w:left="1380" w:right="800" w:hanging="308"/>
        <w:spacing w:after="0" w:line="246"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compounds for use in our preclinical studies, including under agreements with third parties, such as consultants and third-party manufacturers;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ind w:left="1120" w:hanging="363"/>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225" w:lineRule="exact"/>
        <w:rPr>
          <w:rFonts w:ascii="Times New Roman" w:cs="Times New Roman" w:eastAsia="Times New Roman" w:hAnsi="Times New Roman"/>
          <w:sz w:val="18"/>
          <w:szCs w:val="18"/>
          <w:color w:val="auto"/>
        </w:rPr>
      </w:pPr>
    </w:p>
    <w:p>
      <w:pPr>
        <w:ind w:left="1380" w:right="20" w:hanging="308"/>
        <w:spacing w:after="0" w:line="266" w:lineRule="auto"/>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162"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materials; and</w:t>
      </w:r>
    </w:p>
    <w:p>
      <w:pPr>
        <w:spacing w:after="0" w:line="225"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and supplies.</w:t>
      </w:r>
    </w:p>
    <w:p>
      <w:pPr>
        <w:spacing w:after="0" w:line="212"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81"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212" w:lineRule="exact"/>
        <w:rPr>
          <w:sz w:val="20"/>
          <w:szCs w:val="20"/>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discovery and preclinical development activities and clinical trials;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80" w:right="380" w:hanging="323"/>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particularly in light of the COVID-19 pandemic environment;</w:t>
      </w:r>
    </w:p>
    <w:p>
      <w:pPr>
        <w:spacing w:after="0" w:line="162"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such as the military conflict in the Ukraine;</w:t>
      </w:r>
    </w:p>
    <w:p>
      <w:pPr>
        <w:spacing w:after="0" w:line="225" w:lineRule="exact"/>
        <w:rPr>
          <w:rFonts w:ascii="Times New Roman" w:cs="Times New Roman" w:eastAsia="Times New Roman" w:hAnsi="Times New Roman"/>
          <w:sz w:val="18"/>
          <w:szCs w:val="18"/>
          <w:color w:val="auto"/>
        </w:rPr>
      </w:pPr>
    </w:p>
    <w:p>
      <w:pPr>
        <w:ind w:left="1080" w:right="880" w:hanging="323"/>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the COVID-19 pandemic, geopolitical instability, inflation, rising interest rates and other factors; and</w:t>
      </w:r>
    </w:p>
    <w:p>
      <w:pPr>
        <w:spacing w:after="0" w:line="162"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2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 requirements, director and officer insurance costs, and investor and public relations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(13,645 )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(6,638 )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(6,643 )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(5,866 )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-1353820</wp:posOffset>
            </wp:positionV>
            <wp:extent cx="5143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-1353820</wp:posOffset>
            </wp:positionV>
            <wp:extent cx="5143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-1353820</wp:posOffset>
            </wp:positionV>
            <wp:extent cx="4318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-513715</wp:posOffset>
            </wp:positionV>
            <wp:extent cx="5143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-513715</wp:posOffset>
            </wp:positionV>
            <wp:extent cx="5143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431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$10.9 million and $5.5 million for the three months ended September 30, 2022 and 2021, respectively. The increase of $5.4 million was primarily due to additional spend to support the advancement of TYRA-300, TYRA-200 and our SNÅP platform, including $1.3 million of higher personnel-related costs, which included $0.4 million of non-cash stock-based compensation costs.</w:t>
      </w:r>
    </w:p>
    <w:p>
      <w:pPr>
        <w:spacing w:after="0" w:line="190"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three months ended September 30, 2022 and 2021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4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External research and development expense by</w:t>
            </w:r>
          </w:p>
        </w:tc>
        <w:tc>
          <w:tcPr>
            <w:tcW w:w="8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43"/>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program</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TYRA-300</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TYRA-200</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FGFR3 ACH</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FGFR4</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5143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16"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$2.7 million and $1.2 million for the three months ended September 30, 2022 and 2021, respectively. The increase of $1.5 million was primarily due to increases of $0.5 million in personnel-related expenses, including $0.1 million in non-cash stock-based compensation costs, $0.6 million in other operating expenses and $0.4 million in professional services related to legal, accounting, and other consulting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2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(43,909 )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(16,356 )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(42,430 )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(16,364 )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(26,066 )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-1362710</wp:posOffset>
            </wp:positionV>
            <wp:extent cx="5143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-1362710</wp:posOffset>
            </wp:positionV>
            <wp:extent cx="5143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-1362710</wp:posOffset>
            </wp:positionV>
            <wp:extent cx="4318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-522605</wp:posOffset>
            </wp:positionV>
            <wp:extent cx="514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-522605</wp:posOffset>
            </wp:positionV>
            <wp:extent cx="514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-522605</wp:posOffset>
            </wp:positionV>
            <wp:extent cx="431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$32.6 million and $13.4 million for the nine months ended September 30, 2022 and 2021, respectively. The increase of $19.2 million was primarily due to additional spend to support the advancement of TYRA-300, TYRA-200 and our SNÅP platform, including $5.9 million of higher personnel-related costs, which included $3.3 million of non-cash stock-based compensation costs.</w:t>
      </w:r>
    </w:p>
    <w:p>
      <w:pPr>
        <w:spacing w:after="0" w:line="190"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nine months ended September 30, 2022 and 2021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4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External research and development expense by</w:t>
            </w:r>
          </w:p>
        </w:tc>
        <w:tc>
          <w:tcPr>
            <w:tcW w:w="8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43"/>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program</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TYRA-300</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TYRA-200</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FGFR3 ACH</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FGFR4</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8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32,608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5143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16"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$11.3 million and $3.0 million for the nine months ended September 30, 2022 and 2021, respectively. The increase of $8.3 million was primarily due to increases of $5.0 million in personnel-related expenses, including $0.7 million in non-cash stock-based compensation costs, $1.4 million in professional services related to legal, accounting, and other consulting fees and $1.9 million in other 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18"/>
          <w:szCs w:val="18"/>
          <w:color w:val="auto"/>
        </w:rPr>
        <w:t>On September 17, 2021, we completed our IPO and issued 12,420,000 shares of common stock for net proceeds of approximately $181.2 million. Prior to our initial public offering, we funded our operations primarily through private placements of our convertible preferred stock with aggregate gross proceeds of $157.2 million.</w:t>
      </w:r>
    </w:p>
    <w:p>
      <w:pPr>
        <w:spacing w:after="0" w:line="16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(538 )</w:t>
            </w:r>
          </w:p>
        </w:tc>
        <w:tc>
          <w:tcPr>
            <w:tcW w:w="9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312,856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cash (decrease) increase for the period</w:t>
            </w:r>
          </w:p>
        </w:tc>
        <w:tc>
          <w:tcPr>
            <w:tcW w:w="192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(38,214 )</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297,599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-513715</wp:posOffset>
            </wp:positionV>
            <wp:extent cx="5143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431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20" w:firstLine="74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$38.3 million, consisting primarily of our net loss of $42.4 million and net changes in operating assets and liabilities of $3.8 million, adjusted for $7.9 million of non-cash charges related to stock-based compensation expense and depreciation and amortization.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2021 was $14.7 million, consisting primarily of our net loss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 million, adjusted for $1.1 million of non-cash charges and $0.6 million for net changes in operating assets and liabilities. Non-cash charges consisted</w:t>
      </w:r>
    </w:p>
    <w:p>
      <w:pPr>
        <w:spacing w:after="0"/>
        <w:rPr>
          <w:sz w:val="20"/>
          <w:szCs w:val="20"/>
          <w:color w:val="auto"/>
        </w:rPr>
      </w:pPr>
      <w:r>
        <w:rPr>
          <w:rFonts w:ascii="Times New Roman" w:cs="Times New Roman" w:eastAsia="Times New Roman" w:hAnsi="Times New Roman"/>
          <w:sz w:val="18"/>
          <w:szCs w:val="18"/>
          <w:color w:val="auto"/>
        </w:rPr>
        <w:t>primarily of stock-based compensation expense and depreciation and amortization.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and 2021 was $0.5 million and $0.5 million, respectively, consisting of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$0.6 million for the nine months ended September 30, 2022, due to proceeds received from the issuance of common stock under benefit plans.</w:t>
      </w:r>
    </w:p>
    <w:p>
      <w:pPr>
        <w:spacing w:after="0" w:line="162" w:lineRule="exact"/>
        <w:rPr>
          <w:sz w:val="20"/>
          <w:szCs w:val="20"/>
          <w:color w:val="auto"/>
        </w:rPr>
      </w:pPr>
    </w:p>
    <w:p>
      <w:pPr>
        <w:ind w:right="260" w:firstLine="74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$312.9 million for the nine months ended September 30, 2021, primarily due to net proceeds of $182.7 million from our IPO, in addition to net proceeds of $23.5 million from the second closing of our Series A convertible preferred stock, $106.1 million in net proceeds from the issuance of our Series B convertible preferred stock, and $0.6 million from the issuance of common stock under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1080" w:right="20" w:hanging="323"/>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69" w:lineRule="exact"/>
        <w:rPr>
          <w:rFonts w:ascii="Times New Roman" w:cs="Times New Roman" w:eastAsia="Times New Roman" w:hAnsi="Times New Roman"/>
          <w:sz w:val="18"/>
          <w:szCs w:val="18"/>
          <w:color w:val="auto"/>
        </w:rPr>
      </w:pPr>
    </w:p>
    <w:p>
      <w:pPr>
        <w:ind w:left="1080" w:right="340" w:hanging="323"/>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7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21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211" w:lineRule="exact"/>
        <w:rPr>
          <w:rFonts w:ascii="Times New Roman" w:cs="Times New Roman" w:eastAsia="Times New Roman" w:hAnsi="Times New Roman"/>
          <w:sz w:val="18"/>
          <w:szCs w:val="18"/>
          <w:color w:val="auto"/>
        </w:rPr>
      </w:pPr>
    </w:p>
    <w:p>
      <w:pPr>
        <w:ind w:left="1080" w:right="160" w:hanging="323"/>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48" w:lineRule="exact"/>
        <w:rPr>
          <w:rFonts w:ascii="Times New Roman" w:cs="Times New Roman" w:eastAsia="Times New Roman" w:hAnsi="Times New Roman"/>
          <w:sz w:val="18"/>
          <w:szCs w:val="18"/>
          <w:color w:val="auto"/>
        </w:rPr>
      </w:pPr>
    </w:p>
    <w:p>
      <w:pPr>
        <w:ind w:left="1080" w:right="460" w:hanging="323"/>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w:t>
      </w:r>
    </w:p>
    <w:p>
      <w:pPr>
        <w:spacing w:after="0" w:line="17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211" w:lineRule="exact"/>
        <w:rPr>
          <w:rFonts w:ascii="Times New Roman" w:cs="Times New Roman" w:eastAsia="Times New Roman" w:hAnsi="Times New Roman"/>
          <w:sz w:val="18"/>
          <w:szCs w:val="18"/>
          <w:color w:val="auto"/>
        </w:rPr>
      </w:pPr>
    </w:p>
    <w:p>
      <w:pPr>
        <w:ind w:left="1080" w:hanging="323"/>
        <w:spacing w:after="0" w:line="25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2" w:name="page23"/>
    <w:bookmarkEnd w:id="22"/>
    <w:p>
      <w:pPr>
        <w:ind w:left="1080" w:hanging="323"/>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225" w:lineRule="exact"/>
        <w:rPr>
          <w:rFonts w:ascii="Times New Roman" w:cs="Times New Roman" w:eastAsia="Times New Roman" w:hAnsi="Times New Roman"/>
          <w:sz w:val="18"/>
          <w:szCs w:val="18"/>
          <w:color w:val="auto"/>
        </w:rPr>
      </w:pPr>
    </w:p>
    <w:p>
      <w:pPr>
        <w:ind w:left="1080" w:right="600" w:hanging="323"/>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the risk of each of which may be exacerbated by the ongoing COVID-19 pandemic, potential geopolitical instability, inflation or rising interest rates.</w:t>
      </w:r>
    </w:p>
    <w:p>
      <w:pPr>
        <w:spacing w:after="0" w:line="16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0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Other than disclosed below, there were no material changes outside the ordinary course of our business during the nine months ended September 30, 2022 to the information regarding our contractual obligations that was disclosed in “Management’s Discussion and Analysis of Financial Condition and Results of Operations” included in the 2021 Annual Report.</w:t>
      </w:r>
    </w:p>
    <w:p>
      <w:pPr>
        <w:spacing w:after="0" w:line="16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In March 2022, we entered into the Expansion Lease for additional office and laboratory space. The Expansion Lease is expected to commence in the second half of 2023 and projected lease payments over the life of the lease are expected to be $5.5 million with a lease expiration of 120 months after the commencement of the Expansion Lease. These obligations are further described in Note 10 to our audited financial statements and Note 9 to our unaudited interim financial statements.</w:t>
      </w:r>
    </w:p>
    <w:p>
      <w:pPr>
        <w:spacing w:after="0" w:line="17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September 30, 2022, including the executed but not yet commenced, Expansion Lease (in thousands):</w:t>
      </w:r>
    </w:p>
    <w:p>
      <w:pPr>
        <w:spacing w:after="0" w:line="142"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4"/>
              <w:spacing w:after="0" w:line="145"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and nine months ended September 30, 2022, as compared to the critical accounting policies and estimates disclosed in “Management’s Discussion and Analysis of Financial Condition and Results of Operations” included in the 2021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See Note 2 to our financial statements included elsewhere in this Quarterly Report on Form 10-Q for recently issued accounting pronouncements that may potentially impact our financial position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2022,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2021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in Internal Control Over Financial Reporting</w:t>
      </w:r>
    </w:p>
    <w:p>
      <w:pPr>
        <w:spacing w:after="0" w:line="216"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Due to a transition period established by SEC rules applicable to newly public companies, our management is not required to evaluate the effectiveness of our internal control over financial reporting until the filing of our Annual Report on Form 10-K for the year ending December 31, 2022. As a result, this Quarterly Report on Form 10-Q does not address whether there have been any changes in our internal control over financial reporting.</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our 2021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29"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8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September 30, 2022, we estimate that we have used approximately $49.5 million of the proceeds from our IPO for general corporate purposes, including to fund the development of TYRA-300 and our other development programs. There has been no material change in the planned use of such proceeds from that described in our final prospectus filed with the SEC pursuant to Rule 424(b)(4) under the Securities Act on September 15,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60" w:type="dxa"/>
            <w:vAlign w:val="bottom"/>
          </w:tcPr>
          <w:p>
            <w:pPr>
              <w:spacing w:after="0"/>
              <w:rPr>
                <w:sz w:val="24"/>
                <w:szCs w:val="24"/>
                <w:color w:val="auto"/>
              </w:rPr>
            </w:pPr>
          </w:p>
        </w:tc>
        <w:tc>
          <w:tcPr>
            <w:tcW w:w="294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38"/>
        </w:trPr>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2"/>
        </w:trPr>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5800" w:type="dxa"/>
            <w:vAlign w:val="bottom"/>
            <w:gridSpan w:val="20"/>
            <w:vMerge w:val="restart"/>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Certificate of Incorporation</w:t>
              </w:r>
            </w:hyperlink>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0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9/17/21</w:t>
            </w:r>
          </w:p>
        </w:tc>
        <w:tc>
          <w:tcPr>
            <w:tcW w:w="120" w:type="dxa"/>
            <w:vAlign w:val="bottom"/>
            <w:vMerge w:val="continue"/>
          </w:tcPr>
          <w:p>
            <w:pPr>
              <w:spacing w:after="0"/>
              <w:rPr>
                <w:sz w:val="13"/>
                <w:szCs w:val="13"/>
                <w:color w:val="auto"/>
              </w:rPr>
            </w:pPr>
          </w:p>
        </w:tc>
        <w:tc>
          <w:tcPr>
            <w:tcW w:w="1100" w:type="dxa"/>
            <w:vAlign w:val="bottom"/>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Bylaws</w:t>
              </w:r>
            </w:hyperlink>
          </w:p>
        </w:tc>
        <w:tc>
          <w:tcPr>
            <w:tcW w:w="212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9/17/21</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Specimen stock certificate evidencing the shares of common stock</w:t>
              </w:r>
            </w:hyperlink>
          </w:p>
        </w:tc>
        <w:tc>
          <w:tcPr>
            <w:tcW w:w="20" w:type="dxa"/>
            <w:vAlign w:val="bottom"/>
            <w:tcBorders>
              <w:bottom w:val="single" w:sz="8" w:color="0000EE"/>
            </w:tcBorders>
          </w:tcPr>
          <w:p>
            <w:pPr>
              <w:spacing w:after="0"/>
              <w:rPr>
                <w:sz w:val="24"/>
                <w:szCs w:val="24"/>
                <w:color w:val="auto"/>
              </w:rPr>
            </w:pPr>
          </w:p>
        </w:tc>
        <w:tc>
          <w:tcPr>
            <w:tcW w:w="100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0"/>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Investors’ Rights Agreement, dated March 5, 2021, by</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and among the Registrant and certain of its stockholders</w:t>
              </w:r>
            </w:hyperlink>
          </w:p>
        </w:tc>
        <w:tc>
          <w:tcPr>
            <w:tcW w:w="20" w:type="dxa"/>
            <w:vAlign w:val="bottom"/>
            <w:tcBorders>
              <w:top w:val="single" w:sz="8" w:color="0000FF"/>
              <w:bottom w:val="single" w:sz="8" w:color="0000EE"/>
            </w:tcBorders>
          </w:tcPr>
          <w:p>
            <w:pPr>
              <w:spacing w:after="0"/>
              <w:rPr>
                <w:sz w:val="14"/>
                <w:szCs w:val="14"/>
                <w:color w:val="auto"/>
              </w:rPr>
            </w:pPr>
          </w:p>
        </w:tc>
        <w:tc>
          <w:tcPr>
            <w:tcW w:w="16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10/3/22</w:t>
            </w:r>
          </w:p>
        </w:tc>
        <w:tc>
          <w:tcPr>
            <w:tcW w:w="122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gridSpan w:val="10"/>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ATM Sales Agreement, dated October 3, 2022, by and</w:t>
              </w:r>
            </w:hyperlink>
          </w:p>
        </w:tc>
        <w:tc>
          <w:tcPr>
            <w:tcW w:w="1740" w:type="dxa"/>
            <w:vAlign w:val="bottom"/>
            <w:gridSpan w:val="10"/>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between the Registrant</w:t>
              </w:r>
            </w:hyperlink>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Virtu Americas LLC</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13a-14(a) or Rule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15d-14(a), as adopted pursuant to Section 302 of the Sarbanes-Oxley Act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2002</w:t>
            </w:r>
          </w:p>
        </w:tc>
        <w:tc>
          <w:tcPr>
            <w:tcW w:w="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13a-14(a) or Rule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15d-14(a), as adopted pursuant to Section 302 of the Sarbanes-Oxley Act of</w:t>
            </w: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2002</w:t>
            </w:r>
          </w:p>
        </w:tc>
        <w:tc>
          <w:tcPr>
            <w:tcW w:w="60" w:type="dxa"/>
            <w:vAlign w:val="bottom"/>
            <w:tcBorders>
              <w:top w:val="single" w:sz="8" w:color="0000FF"/>
              <w:bottom w:val="single" w:sz="8" w:color="0000EE"/>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37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42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8"/>
        </w:trPr>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2"/>
        </w:trPr>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2"/>
        </w:trPr>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1"/>
        </w:trPr>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2"/>
        </w:trPr>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8"/>
        <w:spacing w:after="0" w:line="266" w:lineRule="auto"/>
        <w:tabs>
          <w:tab w:leader="none" w:pos="4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29"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20"/>
        <w:spacing w:after="0"/>
        <w:tabs>
          <w:tab w:leader="none" w:pos="5680" w:val="left"/>
          <w:tab w:leader="none" w:pos="774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Esther van den Boom</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20" w:right="5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Harris,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Tyra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van den Boom,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Tyra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 w:leader="none" w:pos="774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Esther van den Boom</w:t>
      </w: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Tyra Biosciences,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Tyra Biosciences,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680" w:val="left"/>
          <w:tab w:leader="none" w:pos="774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Esther van den Boom</w:t>
      </w: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69" Type="http://schemas.openxmlformats.org/officeDocument/2006/relationships/hyperlink" Target="https://www.sec.gov/Archives/edgar/data/1863127/000119312521276124/d220261dex31.htm" TargetMode="External"/><Relationship Id="rId170" Type="http://schemas.openxmlformats.org/officeDocument/2006/relationships/hyperlink" Target="https://www.sec.gov/Archives/edgar/data/1863127/000119312521276124/d220261dex32.htm" TargetMode="External"/><Relationship Id="rId171" Type="http://schemas.openxmlformats.org/officeDocument/2006/relationships/hyperlink" Target="https://www.sec.gov/Archives/edgar/data/1863127/000119312521252729/d189651dex41.htm" TargetMode="External"/><Relationship Id="rId172" Type="http://schemas.openxmlformats.org/officeDocument/2006/relationships/hyperlink" Target="https://www.sec.gov/Archives/edgar/data/1863127/000119312521268272/d189651dex42.htm" TargetMode="External"/><Relationship Id="rId173" Type="http://schemas.openxmlformats.org/officeDocument/2006/relationships/hyperlink" Target="https://www.sec.gov/Archives/edgar/data/1863127/000119312522256638/d370610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2022-11-03T16:48:48Z</dcterms:created>
  <dcterms:modified xsi:type="dcterms:W3CDTF">2022-11-03T16:48:48Z</dcterms:modified>
</cp:coreProperties>
</file>