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Gulfo Adele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TYRA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2656 STATE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Tyra Biosciences, Inc.</w:t>
              </w:r>
            </w:hyperlink>
            <w:r>
              <w:rPr/>
              <w:t xml:space="preserve"> [ </w:t>
            </w:r>
            <w:r>
              <w:rPr>
                <w:rFonts w:ascii="Times;serif" w:hAnsi="Times;serif"/>
                <w:color w:val="0000FF"/>
                <w:sz w:val="24"/>
                <w:shd w:fill="FFFFFF" w:val="clear"/>
              </w:rPr>
              <w:t>TYRA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32.68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13,160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pursuant to the Issuer's Non-Employee Director Compensation Program. 1/12th of the total number of shares of common stock subject to the option vest monthly following May 28, 2026, the date of grant. In the event the next occurring annual meeting of the Issuer's stockholders occurs prior to the first anniversary of the date of grant, any remaining unvested portion of the option will vest on the date of such annual meeting of the Issuer's stockholders, subject to the Reporting Person's continuous service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 D. Fawaz,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7102" TargetMode="External"/><Relationship Id="rId5" Type="http://schemas.openxmlformats.org/officeDocument/2006/relationships/hyperlink" Target="http://www.sec.gov/cgi-bin/browse-edgar?action=getcompany&amp;CIK=0001863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3573</Characters>
  <CharactersWithSpaces>4174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