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920" w:hanging="4079"/>
        <w:spacing w:after="0" w:line="299" w:lineRule="auto"/>
        <w:tabs>
          <w:tab w:leader="none" w:pos="36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3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TYRA BIOSCIENCES, INC.</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83-1476348</w:t>
            </w:r>
          </w:p>
        </w:tc>
      </w:tr>
      <w:tr>
        <w:trPr>
          <w:trHeight w:val="135"/>
        </w:trPr>
        <w:tc>
          <w:tcPr>
            <w:tcW w:w="4120" w:type="dxa"/>
            <w:vAlign w:val="bottom"/>
          </w:tcPr>
          <w:p>
            <w:pPr>
              <w:jc w:val="center"/>
              <w:ind w:right="19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120" w:type="dxa"/>
            <w:vAlign w:val="bottom"/>
          </w:tcPr>
          <w:p>
            <w:pPr>
              <w:jc w:val="center"/>
              <w:ind w:right="1964"/>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2656 State Street</w:t>
            </w:r>
          </w:p>
        </w:tc>
        <w:tc>
          <w:tcPr>
            <w:tcW w:w="3020" w:type="dxa"/>
            <w:vAlign w:val="bottom"/>
          </w:tcPr>
          <w:p>
            <w:pPr>
              <w:spacing w:after="0"/>
              <w:rPr>
                <w:sz w:val="19"/>
                <w:szCs w:val="19"/>
                <w:color w:val="auto"/>
              </w:rPr>
            </w:pPr>
          </w:p>
        </w:tc>
      </w:t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Carlsbad, California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92008</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62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00" w:type="dxa"/>
            <w:vAlign w:val="bottom"/>
            <w:vMerge w:val="restart"/>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2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120" w:type="dxa"/>
            <w:vAlign w:val="bottom"/>
          </w:tcPr>
          <w:p>
            <w:pPr>
              <w:spacing w:after="0"/>
              <w:rPr>
                <w:sz w:val="13"/>
                <w:szCs w:val="13"/>
                <w:color w:val="auto"/>
              </w:rPr>
            </w:pPr>
          </w:p>
        </w:tc>
        <w:tc>
          <w:tcPr>
            <w:tcW w:w="17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TYRA</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100" w:type="dxa"/>
            <w:vAlign w:val="bottom"/>
            <w:tcBorders>
              <w:top w:val="single" w:sz="8" w:color="auto"/>
            </w:tcBorders>
          </w:tcPr>
          <w:p>
            <w:pPr>
              <w:jc w:val="center"/>
              <w:ind w:right="748"/>
              <w:spacing w:after="0" w:line="158" w:lineRule="exact"/>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173"/>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18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0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410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87" w:lineRule="exact"/>
        <w:rPr>
          <w:sz w:val="24"/>
          <w:szCs w:val="24"/>
          <w:color w:val="auto"/>
        </w:rPr>
      </w:pPr>
    </w:p>
    <w:p>
      <w:pPr>
        <w:ind w:right="5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0" w:lineRule="exact"/>
        <w:rPr>
          <w:sz w:val="24"/>
          <w:szCs w:val="24"/>
          <w:color w:val="auto"/>
        </w:rPr>
      </w:pPr>
    </w:p>
    <w:p>
      <w:pPr>
        <w:ind w:right="240"/>
        <w:spacing w:after="0" w:line="239" w:lineRule="auto"/>
        <w:rPr>
          <w:sz w:val="20"/>
          <w:szCs w:val="20"/>
          <w:color w:val="auto"/>
        </w:rPr>
      </w:pPr>
      <w:r>
        <w:rPr>
          <w:rFonts w:ascii="Times New Roman" w:cs="Times New Roman" w:eastAsia="Times New Roman" w:hAnsi="Times New Roman"/>
          <w:sz w:val="14"/>
          <w:szCs w:val="14"/>
          <w:color w:val="auto"/>
        </w:rPr>
        <w:t>The aggregate market value of registrant’s common stock held by non-affiliates of the registrant, computed by reference to the closing price as of the last business day of the registrant’s most recently completed second fiscal quarter, June 28, 2024, was approximately $337.8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25, 2025, the registrant had 53,089,957 shares of common stock ($0.0001 par value) outstanding.</w:t>
      </w:r>
    </w:p>
    <w:p>
      <w:pPr>
        <w:spacing w:after="0" w:line="2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7" w:lineRule="exact"/>
        <w:rPr>
          <w:sz w:val="24"/>
          <w:szCs w:val="24"/>
          <w:color w:val="auto"/>
        </w:rPr>
      </w:pPr>
    </w:p>
    <w:p>
      <w:pPr>
        <w:ind w:right="120"/>
        <w:spacing w:after="0" w:line="243" w:lineRule="auto"/>
        <w:rPr>
          <w:sz w:val="20"/>
          <w:szCs w:val="20"/>
          <w:color w:val="auto"/>
        </w:rPr>
      </w:pPr>
      <w:r>
        <w:rPr>
          <w:rFonts w:ascii="Times New Roman" w:cs="Times New Roman" w:eastAsia="Times New Roman" w:hAnsi="Times New Roman"/>
          <w:sz w:val="14"/>
          <w:szCs w:val="14"/>
          <w:color w:val="auto"/>
        </w:rPr>
        <w:t>Certain sections of the registrant’s definitive proxy statement for the 2024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789940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0" w:type="dxa"/>
            <w:vAlign w:val="bottom"/>
            <w:gridSpan w:val="11"/>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7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7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782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670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774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000" w:type="dxa"/>
            <w:vAlign w:val="bottom"/>
            <w:gridSpan w:val="2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3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7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1"/>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40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3"/>
          </w:tcPr>
          <w:p>
            <w:pPr>
              <w:spacing w:after="0"/>
              <w:rPr>
                <w:sz w:val="17"/>
                <w:szCs w:val="17"/>
                <w:color w:val="auto"/>
              </w:rPr>
            </w:pPr>
          </w:p>
        </w:tc>
        <w:tc>
          <w:tcPr>
            <w:tcW w:w="22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43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7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46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4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30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43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7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6"/>
          </w:tcPr>
          <w:p>
            <w:pPr>
              <w:spacing w:after="0"/>
              <w:rPr>
                <w:sz w:val="17"/>
                <w:szCs w:val="17"/>
                <w:color w:val="auto"/>
              </w:rPr>
            </w:pPr>
          </w:p>
        </w:tc>
        <w:tc>
          <w:tcPr>
            <w:tcW w:w="560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412"/>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8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885"/>
        </w:trPr>
        <w:tc>
          <w:tcPr>
            <w:tcW w:w="170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340" w:type="dxa"/>
            <w:vAlign w:val="bottom"/>
            <w:gridSpan w:val="16"/>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9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“continue” “could,” “contemplate,” “estimate,” “expect,” “intend,” “may,” “plan,” “potential,” “predict,” “project,” “should,” “target,” “will” or "would"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including, without limitation, the risk factors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9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We maintain a website at www.tyra.bio,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next-generation precision medicines for large opportunities in targeted oncology and genetically defined conditions, with an initial focus on Fibroblast Growth Factor Receptor (FGFR) biology.</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in-house precision medicine platform, SNÅP, enables rapid and precise drug design through iterative molecular SNÅPshots that help us design and predict which product candidates may demonstrate the highest potency, selectivity and tolerability in the clinic. We have initially leveraged our SNÅP approach to develop TYRA-300, TYRA-200 and TYRA-430: three clinical-stage, novel small molecules designed to overcome the toxicity and resistance liabilities of first generation pan-FGFR inhibitors.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FGFR3 Programs—TYRA-300 for Bladder Cancer and Skeletal Conditions</w:t>
      </w:r>
    </w:p>
    <w:p>
      <w:pPr>
        <w:spacing w:after="0" w:line="227"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Mutations in the protein receptor FGFR3 are a key driver in two indications with large market opportunities: bladder cancer and skeletal conditions. In bladder cancer, uncontrolled activation of FGFR3 on the cell surface stimulates cellular proliferation. In skeletal conditions, increased activity of FGFR3 expressed in growth plate chondrocytes (cartilage cells) results in excessive limitation of long bone growth.</w:t>
      </w:r>
    </w:p>
    <w:p>
      <w:pPr>
        <w:spacing w:after="0" w:line="176"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Our lead program, TYRA-300, was designed to be more selective for FGFR3 over FGFR1, FGFR2, and FGFR4 to minimize off-target side effects, providing potential clinical advantages over less selective first-generation compounds and potentially addressing key unmet needs across both bladder cancer and skeletal conditions.</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TYRA-300 is to be evaluated in three Phase 2 studies: SURF301, for the treatment of metastatic urothelial carcinoma (mUC); SURF302, for the treatment of non-muscle invasive bladder cancer (NMIBC); and BEACH301, for the treatment of pediatric achondroplasia (ACH).</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SURF301 for mUC: This ongoing study is an international, multi-center, open label Phase 1/2 clinical trial that was designed to determine the optimal and maximum tolerated doses (MTD), and the recommended Phase 2 dose (RP2D) of TYRA-300, as well as to evaluate the preliminary antitumor activity of TYRA-300. In late October 2024, we reported interim data that in patients with FGFR3+ mUC who received doses ≥ 90 mg once daily (QD), 6 out of 11 (54.5%) patients achieved a confirmed partial response (PR). Preliminary data, as of the August 15, 2024 data cutoff, suggested TYRA-300 was generally well-tolerated, with infrequent FGFR2- and FGFR1-associated toxicities. Dose optimization is ongoing in this study.</w:t>
      </w:r>
    </w:p>
    <w:p>
      <w:pPr>
        <w:spacing w:after="0" w:line="183"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SURF302 for NMIBC: This study is an open-label Phase 2 clinical trial evaluating the efficacy and safety of TYRA-300 at lower doses (50 and 60mg QD) in participants with FGFR3-altered low-grade, intermediate risk (IR) NMIBC. We expect to dose the first patient in this study in the second quarter of 2025.</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BEACH301 for ACH: This study is an open-label, Phase 2 dose-escalation/dose-expansion trial evaluating TYRA-300 at lower doses (0.125,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 0.375, 0.50 mg/kg) in children ages 3 to 10 with ACH with open growth plates. Prior to initiation of the first two cohorts, the study will enroll a safety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sentinel cohort of up to 3 treatment-naïve participants per dose level in children ages 5 to 10. We expect to dose the first child in this study in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FGFR2 Program- TYRA-200 for Intrahepatic Cholangiocarcinoma</w:t>
      </w:r>
    </w:p>
    <w:p>
      <w:pPr>
        <w:spacing w:after="0" w:line="227"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FGFR2 is a protein receptor present on the cell surface that promotes cellular proliferation and transformation upon binding of fibroblast growth factor. Activating gene alterations of FGFR2 have been implicated in the tumorigenesis of multiple solid tumor types, with pan-FGFR inhibitors approved for intrahepatic cholangiocarcinoma (ICC).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TYRA-200 is an FGFR1/2/3 inhibitor designed to be active against nearly all of the clinically identified acquired resistant mutations that arise during treatment with pan-FGFR inhibitors, which we believe is necessary to address the problem of disease progression due to polyclonal resistance. TYRA-200 is currently being evaluated in a multi-center, open label Phase 1 clinical study, SURF201 that is designed to evaluate the safety, tolerability, and pharmacokinetics (PK) of TYRA-200, determine the optimal dose for further development and the MTD and RP2D, and evaluate preliminary antitumor activity, with a focus on achieving proof-of-concept in a cohort of FGFR2-driven ICC resistant to previous FGFR inhibitors.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FGF19+ Program- TYRA-430 for Hepatocellular Carcinoma</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Fibroblast growth factor 19 (FGF19) is a post-prandial enterohepatic hormone that signals through FGFR4 and its associated co-receptor Klotho Beta (KLB) to exert its normal cellular functions. In certain cancers, FGF19 is aberrantly expressed due to focal chromosomal amplifications or epigenetic mechanisms, promoting tumor cells to become dependent on the FGFR4/KLB/FGF19 oncogenic axis. Recent insights into FGF/FGFR signaling in HCC have indicated an important bypass mechanism in FGFR3, which shares the KLB coreceptor.</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TYRA-430 was designed to be biased for FGFR4 and FGFR3 over the FGFR1 and FGFR2 isoforms specifically to address the FGF19 signaling pathway, while also potentially limiting side effects due to inhibition of FGFR1 and FGFR2, as well as to address acquired resistance mutations that have limited the efficacy of previous FGFR4-specific inhibitors. TYRA-430 will be initially studied in SURF431, a global Phase 1 multicenter, open-label, study in advanced HCC and other solid tumors with activating FGF/FGFR pathway aberrations (SURF431). We expect to dose the first patient in this study in the second quarter of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349240" cy="3017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mission is to improve outcomes for patients living with cancer and genetically defined conditions. We are executing on our mission by focusing on our three strategic pillars: a novel SNÅP platform; an expanding and advancing pipeline; and building a leading company around FGFR biology. With this strategy, our goal is the discovery, development and commercialization of next-generation precision small molecules against clinically validated targets to treat a wide range of indications currently lacking adequate treatment options.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elements of our strategy to achieve this goal are to:</w:t>
      </w:r>
    </w:p>
    <w:p>
      <w:pPr>
        <w:spacing w:after="0" w:line="185"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TYRA-300, in bladder cancer and skeletal conditions;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early-stage clinical pipeline and maintain our position as a leader in our initial focus area of FGFR biology; and</w:t>
      </w:r>
    </w:p>
    <w:p>
      <w:pPr>
        <w:spacing w:after="0" w:line="184"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Harness the power of our SNÅP platform to expand our pipeline of next-generation precision medicines for oncology and rare disease indications within FGFR biology and potentially other target areas of interest.</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All of our assets have been developed in-house and we retain full development and commercialization rights for our pipeline. We intend to maximize the value of our pipeline by retaining development and commercialization rights to our product candidates, indications and geographies that we believe we can ultimately commercialize successfully on our own if they are approved. We will seek to collaborate on product candidates or indications that we believe have promising utility in disease areas or patient populations that are better served by the resources or specific expertise of larger biopharmaceutical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SNÅP Platform</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proprietary SNÅP platform enables rapid and precise drug design through iterative molecular SNÅPshots that help us design and predict which product candidates will demonstrate the highest potency, selectivity and tolerability in the clinic. Through this approach, we have developed next-generation precision small molecule candidates with novel structures designed to inhibit the target while avoiding off-target toxicities and resistance mutations.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SNÅP platform is driven by our ability to generate iterative data rapidly and concurrently from the following three key pillars.</w:t>
      </w:r>
    </w:p>
    <w:p>
      <w:pPr>
        <w:spacing w:after="0" w:line="194" w:lineRule="exact"/>
        <w:rPr>
          <w:sz w:val="20"/>
          <w:szCs w:val="20"/>
          <w:color w:val="auto"/>
        </w:rPr>
      </w:pPr>
    </w:p>
    <w:p>
      <w:pPr>
        <w:ind w:left="1140" w:right="20" w:hanging="383"/>
        <w:spacing w:after="0" w:line="262" w:lineRule="auto"/>
        <w:tabs>
          <w:tab w:leader="none" w:pos="1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Protein crystallography</w:t>
      </w:r>
      <w:r>
        <w:rPr>
          <w:rFonts w:ascii="Times New Roman" w:cs="Times New Roman" w:eastAsia="Times New Roman" w:hAnsi="Times New Roman"/>
          <w:sz w:val="18"/>
          <w:szCs w:val="18"/>
          <w:color w:val="auto"/>
        </w:rPr>
        <w:t>. We have developed proprietary protein crystallography techniques that enable us to determine the co-crystal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structures of newly synthesized compounds in target proteins in as little as three days. This enables weekly generation of detailed structural insights on the precise interactions and conformational changes that occur when our potential product candidates bind to a particular target, creating opportunities to further refine the structural design.</w:t>
      </w:r>
    </w:p>
    <w:p>
      <w:pPr>
        <w:spacing w:after="0" w:line="135" w:lineRule="exact"/>
        <w:rPr>
          <w:rFonts w:ascii="Times New Roman" w:cs="Times New Roman" w:eastAsia="Times New Roman" w:hAnsi="Times New Roman"/>
          <w:sz w:val="18"/>
          <w:szCs w:val="18"/>
          <w:b w:val="1"/>
          <w:bCs w:val="1"/>
          <w:color w:val="auto"/>
        </w:rPr>
      </w:pPr>
    </w:p>
    <w:p>
      <w:pPr>
        <w:jc w:val="both"/>
        <w:ind w:left="1140" w:hanging="383"/>
        <w:spacing w:after="0" w:line="268" w:lineRule="auto"/>
        <w:tabs>
          <w:tab w:leader="none" w:pos="1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Cell-based assays</w:t>
      </w:r>
      <w:r>
        <w:rPr>
          <w:rFonts w:ascii="Times New Roman" w:cs="Times New Roman" w:eastAsia="Times New Roman" w:hAnsi="Times New Roman"/>
          <w:sz w:val="18"/>
          <w:szCs w:val="18"/>
          <w:color w:val="auto"/>
        </w:rPr>
        <w:t>. We assess inhibitor potency directly in in vitro target-specific anti-proliferation assays, in addition to enzymatic assays,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enable us to simultaneously understand target potency and cell penetration as well as target-specific cell killing. Our process allows us to generate data on newly synthesized compounds in as little as two days.</w:t>
      </w:r>
    </w:p>
    <w:p>
      <w:pPr>
        <w:spacing w:after="0" w:line="130" w:lineRule="exact"/>
        <w:rPr>
          <w:rFonts w:ascii="Times New Roman" w:cs="Times New Roman" w:eastAsia="Times New Roman" w:hAnsi="Times New Roman"/>
          <w:sz w:val="18"/>
          <w:szCs w:val="18"/>
          <w:b w:val="1"/>
          <w:bCs w:val="1"/>
          <w:color w:val="auto"/>
        </w:rPr>
      </w:pPr>
    </w:p>
    <w:p>
      <w:pPr>
        <w:ind w:left="1140" w:right="100" w:hanging="383"/>
        <w:spacing w:after="0" w:line="286" w:lineRule="auto"/>
        <w:tabs>
          <w:tab w:leader="none" w:pos="1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vivo models</w:t>
      </w:r>
      <w:r>
        <w:rPr>
          <w:rFonts w:ascii="Times New Roman" w:cs="Times New Roman" w:eastAsia="Times New Roman" w:hAnsi="Times New Roman"/>
          <w:sz w:val="18"/>
          <w:szCs w:val="18"/>
          <w:color w:val="auto"/>
        </w:rPr>
        <w:t>. Our direct structural insights and in vitro datasets are complemented by in vivo pharmacologic data generated through in-house animal models that provide us with bioavailability, PK data and anti-tumor activity in as little as five days.</w:t>
      </w:r>
    </w:p>
    <w:p>
      <w:pPr>
        <w:spacing w:after="0" w:line="15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Together, these three pillars of our platform provide a molecular SNÅPshot for our compound candidates. At this time, we are able to generate a molecular SNÅPshot for a compound candidate within one week. We believe that a sharp focus on efficiently generating these three key empirical datasets for compound candidates enables us to</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speed with the robust identification of pivotal insights to rapidly and precisely iterate the design of our novel molecular structures.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Overcoming First Generation FGFR Inhibitor Liabilities</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have initially leveraged our SNÅP approach to develop novel small molecules designed to overcome the toxicity and resistance liabilities of prior generation pan-FGFR inhibitors. Four FGFR targeted therapies have been approved by the FDA for oncology: erdafitinib for locally advanced or mUC, or bladder cancer, and pemigatinib, infigratinib, and futibatinib for ICC with FGFR2-fusions or gene rearrangements (infigratinib was later withdrawn from the market effective March 31, 2023). These inhibitors have demonstrated clinical responses, however response rates and duration of response are limited and come with toxicities driven by the inhibition of FGFR receptors 1, 2 and 4. FGFR1 is expressed in kidney cells where it regulates phosphate and calcium reabsorption, and consequently, inhibition of FGFR1 results in hyperphosphatemia. Inhibition of FGFR2 can result in toxicities that significantly impact quality of life, such as skin and nail toxicities (e.g., onycholysis and hand-foot syndrome), stomatitis, and ocular toxicities such as keratitis and blurred vision. Inhibition of FGFR4 disrupts bile acid metabolism and can result in diarrhea and elevated liver enzymes (AST and ALT). Hyperphosphatemia was a dose-limiting toxicity (DLT) of erdafitinib and was reported in over 70% of patients in the Phase 3 clinical trial conducted in mUC. Overall, Phase 3 adverse events resulted in 72% dose interruptions, 69% dose reductions, and 14% treatment discontinuations. By way of example, we believe the safety and tolerability profile of erdafitinib is a key limitation to its efficacy, as demonstrated by the dosing instructions to start at a daily 8 mg dose, and only increase to 9 mg if hyperphosphatemia is not observed. A similarly high rate of FGFR-related toxicities has been reported in clinical trials of other non-isoform selective FGFR inhibitors including pemigatinib, infigratinib and futibatinib in pivotal studies for ICC. In addition to being limited by toxicity, patients can develop acquired drug resistance, ultimately resulting in disease progression and discontinuation of therapy.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FGFR3 Program for Bladder Cancer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TYRA-300 for mUC and NMIBC</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FGFR3 is a protein receptor expressed on the cell surface that stimulates cellular proliferation upon binding of fibroblast growth factor.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Uncontrolled activation of FGFR3 has been implicated in the oncogenesis of multiple solid tumor types, including bladder cancer.</w:t>
      </w:r>
    </w:p>
    <w:p>
      <w:pPr>
        <w:spacing w:after="0" w:line="20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TYRA-300 was designed to be more selective for FGFR3 over FGFR1, FGFR2, and FGFR4, to minimize side effects resulting from inhibition of these related proteins and achieve greater potency against the FGFR3 driver mutation. TYRA-300 is currently being studied in the global Phase 1/2 SURF301 trial in patients with mUC; TYRA-300 will also be evaluated in the global Phase 2 SURF302 trial in patients with IR NMIBC, expected to initiate in the second quarter of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Disease background</w:t>
      </w:r>
    </w:p>
    <w:p>
      <w:pPr>
        <w:spacing w:after="0" w:line="225"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Urothelial cancer (UC) is one of the most common malignancies of the genitourinary system, with over 730,000 people living with bladder cancer in the United States in 2021. Bladder cancer is classified into three broad categories: NMIBC where the cancer is restricted to surface lining of the bladder, MIBC, which is a cancer that has grown deeper into the bladder wall, and mUC in which cancer has spread beyond the bladder. NMIBC comprises the largest population of bladder cancer patients, representing 70-75% of cases diagnosed annually in the United States. NMIBC can be categorized as low, intermediate and high risk for recurrence or progression, with a significant proportion categorized as intermediate and high risk. Whereas between 2014 to 2020, the five-year survival for early stage NMIBC was 97.2%, it was 8.8% for mUC.</w:t>
      </w:r>
    </w:p>
    <w:p>
      <w:pPr>
        <w:spacing w:after="0" w:line="18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incidence of activating FGFR3 mutations in bladder cancer has been estimated to be between 60-80% of IR NMIBC and between 10-20% of mUC, making FGFR3 an attractive target for development.</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estimate that in 2023, across NIMBC, MIBC and mUC, approximately 163,000 patients were seeking therapy for first-time treatment or to address a recurrence. Applying FGFR3 alteration incidence to these estimates,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that approximately 66,000-72,000 FGFR3+ patients are addressable across intermediate and high risk NMIBC, MIBC and mUC in the United States alone. The majority of FGFR3+ patients are estimated to be IR, ranging from 22-41,000, and approximately 3,400 patients are estimated to be addressable in the post-frontline setting of mUC.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123190</wp:posOffset>
            </wp:positionV>
            <wp:extent cx="5349240" cy="2383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Potential bladder cancer patient populations for our FGFR3 inhibitor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2/3L+ mUC treatment landscape and unmet need</w:t>
      </w:r>
    </w:p>
    <w:p>
      <w:pPr>
        <w:spacing w:after="0" w:line="225"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The shift in frontline mUC standard of care from chemotherapy combinations to Padcev in combination with Keytruda has created an unmet need in the post-frontline setting, where Padcev and Keytruda were initially approved as monotherapies. For FGFR3+ mUC patients who have received frontline Padcev and Keytruda, erdafitinib is a second-line treatment option, offering a 35.3% overall response rate (ORR), a median progression free survival (PFS) of 5.6 months and overall survival (OS) of 12.1 months, outperforming single agent chemotherapy. Erdafitinib uptake has been limited by tolerability, including 13% serious treatment-related adverse events (TRAE), 45.9%, grade 3/4 TRAE and 66% TRAE leading to dose reduction. Other available options include chemotherapy combinations, for which no randomized controlled trial data is available to date. There continues to be a high unmet need for improvements in both efficacy and toxicity in the 2/3L+ setting.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NMIBC treatment landscape and unmet need</w:t>
      </w:r>
    </w:p>
    <w:p>
      <w:pPr>
        <w:spacing w:after="0" w:line="22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NMIBC is one of the most recurrent of all cancers and current standard of care treatment comes with drawbacks. For low grade lesions, Transurethral Resection of Bladder Tumor (TURBT) with or without adjuvant intravesical chemotherapy is the standard of care, whereas high risk lesions should be treated with either adjuvant BCG or radical cystectomy. TURBT comes with risks and burden to patients, including the need to undergo general anesthesia and potential for adverse events such as bladder perforation. Within the first two years of initial standard of care treatment, intermediate and high risk NMIBC recurrence rates are as high as 40% and 30%, respectively. No novel therapy has been approved for IR NMIBC, with only intravesical therapies remaining in development. For high risk NMIBC, primarily intravesical treatments have been approved only for patients with carcinoma in situ (CIS) and multiple intravesical therapies are in Phase 3 development.</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Phase 2 data for erdafitinib in NMIBC suggest the potential for FGFR inhibitors in this indication. Oral erdafitinib demonstrated a preliminary 83% complete response (CR) rate in IR patients presented at SUO 2023, 77% recurrence free survival (RFS) in high-risk papillary patients presented at ESMO 2023 and 73% 6-month CR rate in high-risk CIS patients presented at SUO 2023. The safety and tolerability results were generally consistent with that known for erdafitinib, despite using a lower 6mg daily dose in these studies. TAR-210, an erdafitinib-containing</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 w:name="page9"/>
    <w:bookmarkEnd w:id="8"/>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device implanted every three months via the urethra, also demonstrated a 90% CR rate in IR patients and 90% RFS in high-risk papillary patients as presented at AUA 2024. Johnson &amp; Johnson has initiated a Phase 3 study for TAR-210 in low grade, IR patients and has not indicated plans to develop oral erdafitinib further in this setting.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solution, TYRA-300 in mUC and NMIBC</w:t>
      </w:r>
    </w:p>
    <w:p>
      <w:pPr>
        <w:spacing w:after="0" w:line="225"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We believe an orally administered, highly specific FGFR3-directed inhibitor, with minimal effects from other FGFR-related toxicities, has the potential to be highly efficacious and tolerable and represents a potentially large future market opportunity for our product candidate in patients with FGFR3+ mUC and NMIBC.</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Designing inhibitors that bind to the ATP-binding site and that can selectively differentiate between FGFR3 and FGFR1 is challenging due to the near-identical amino acid sequence in this site. We utilized the differentiated approach of our SNÅP platform to generate compounds, including TYRA-300, that capitalize on subtle conformational differences between FGFR3 and FGFR1 to obtain greater than ten-fold selectivity for FGFR3 versus FGFR1. In comparison, other FGFR inhibitors that are approved or in clinical development such as erdafitinib, pemigatinib, futibatinib and infigratinib, have demonstrated low or no selectivity for FGFR3 over FGFR1 and FGFR2.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development and data generated to date for TYRA-300 in oncology</w:t>
      </w:r>
    </w:p>
    <w:p>
      <w:pPr>
        <w:spacing w:after="0" w:line="22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In November 2022, we initiated our Phase 1 clinical trial of TYRA-300, SURF301, an international, multi-center, open label study designed to determine the optimal dose, MTD and the RP2D of TYRA-300, as well as to evaluate the preliminary antitumor activity of TYRA-300. SURF301 is currently enrolling adults with locally advanced or mUC and other advanced solid tumors with FGFR3 gene alterations. As of March 2024, the Part A Phase 1 portion of SURF301 completed dose escalation up to 120mg without determining an MTD, and is currently evaluating doses below 120mg, including 100mg in preparation for initiating the Phase 2 portion of the study.</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October 2024, we announced interim clinical proof-of-concept data for TYRA-300 in patients with mUC from the SURF301 study. These data were presented in a late-breaking oral presentation at the 36th EORTC-NCI-AACR Symposium on Molecular Targets and Cancer Therapeutics in Barcelona, Spain. As of the August 15, 2024 data cutoff, 41 patients were enrolled in the Phase 1 portion of the SURF301 Phase 1/2 study. Eligible participants were adults with advanced malignancies with or without FGFR3 alterations, including those previously treated with erdafitinib. The enrolled patient population was heavily pre-treated, with 44% of patients receiving ≥ 3 lines of therapy prior to receiving TYRA-300, and 76% of FGFR3+ mUC patients receiving ≥ 3 lines of therapy. Treatment with TYRA-300 was evaluated across six dose levels, ranging from 10 mg-120 mg QD.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130810</wp:posOffset>
            </wp:positionV>
            <wp:extent cx="5040630" cy="2237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4063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study population was older and heavily pre-treated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In the preliminary PK/pharmacodynamics analysis in 41 patients as of the data cutoff, TYRA-300 plasma concentrations indicated adequate target coverage at ≥90 mg QD, with further PK characterization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114300</wp:posOffset>
            </wp:positionV>
            <wp:extent cx="5212080" cy="2374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Exposure at doses ≥90 mg exceeded FGFR3 IC</w:t>
      </w:r>
      <w:r>
        <w:rPr>
          <w:rFonts w:ascii="Times New Roman" w:cs="Times New Roman" w:eastAsia="Times New Roman" w:hAnsi="Times New Roman"/>
          <w:sz w:val="24"/>
          <w:szCs w:val="24"/>
          <w:b w:val="1"/>
          <w:bCs w:val="1"/>
          <w:color w:val="auto"/>
          <w:vertAlign w:val="subscript"/>
        </w:rPr>
        <w:t>90</w:t>
      </w:r>
      <w:r>
        <w:rPr>
          <w:rFonts w:ascii="Times New Roman" w:cs="Times New Roman" w:eastAsia="Times New Roman" w:hAnsi="Times New Roman"/>
          <w:sz w:val="18"/>
          <w:szCs w:val="18"/>
          <w:b w:val="1"/>
          <w:bCs w:val="1"/>
          <w:color w:val="auto"/>
        </w:rPr>
        <w:t xml:space="preserve"> target coverage</w:t>
      </w:r>
    </w:p>
    <w:p>
      <w:pPr>
        <w:spacing w:after="0" w:line="23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patients with FGFR3+ mUC who received doses ≥ 90 mg QD, anti-tumor activity was observed in all patients: (i) 6 out of 11 (54.5%) patients at ≥ 90 mg QD achieved a confirmed PR, 3 of which are still ongoing; (ii) 5 out of 10 (50%) patients at 90 mg QD achieved a PR; (iii) 1 out of 1 (100%) patient at 120 mg QD achieved a PR; and (iv) a 100% disease control rate (DCR) was achieved for all patients at ≥ 90 mg QD (PR + stable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260350</wp:posOffset>
            </wp:positionV>
            <wp:extent cx="5349240" cy="2057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Anti-tumor activity was observed in all </w:t>
      </w:r>
      <w:r>
        <w:rPr>
          <w:rFonts w:ascii="Times New Roman" w:cs="Times New Roman" w:eastAsia="Times New Roman" w:hAnsi="Times New Roman"/>
          <w:sz w:val="18"/>
          <w:szCs w:val="18"/>
          <w:b w:val="1"/>
          <w:bCs w:val="1"/>
          <w:i w:val="1"/>
          <w:iCs w:val="1"/>
          <w:color w:val="auto"/>
        </w:rPr>
        <w:t>FGFR3</w:t>
      </w:r>
      <w:r>
        <w:rPr>
          <w:rFonts w:ascii="Times New Roman" w:cs="Times New Roman" w:eastAsia="Times New Roman" w:hAnsi="Times New Roman"/>
          <w:sz w:val="18"/>
          <w:szCs w:val="18"/>
          <w:b w:val="1"/>
          <w:bCs w:val="1"/>
          <w:color w:val="auto"/>
        </w:rPr>
        <w:t>+ mUC patients treated at ≥90 mg QD</w:t>
      </w:r>
    </w:p>
    <w:p>
      <w:pPr>
        <w:spacing w:after="0" w:line="229" w:lineRule="exact"/>
        <w:rPr>
          <w:sz w:val="20"/>
          <w:szCs w:val="20"/>
          <w:color w:val="auto"/>
        </w:rPr>
      </w:pPr>
    </w:p>
    <w:p>
      <w:pPr>
        <w:ind w:right="200" w:firstLine="749"/>
        <w:spacing w:after="0" w:line="272" w:lineRule="auto"/>
        <w:rPr>
          <w:sz w:val="20"/>
          <w:szCs w:val="20"/>
          <w:color w:val="auto"/>
        </w:rPr>
      </w:pPr>
      <w:r>
        <w:rPr>
          <w:rFonts w:ascii="Times New Roman" w:cs="Times New Roman" w:eastAsia="Times New Roman" w:hAnsi="Times New Roman"/>
          <w:sz w:val="17"/>
          <w:szCs w:val="17"/>
          <w:color w:val="auto"/>
        </w:rPr>
        <w:t>TYRA-300 demonstrated favorable interim safety results as of the data cutoff date: (i) preliminary data has shown TYRA-300 was generally well-tolerated, with infrequent FGFR2- and FGFR1-associated toxicities; (ii) in doses from 10 mg up to 120 mg QD, there were 4 (10%) serious adverse events related to TYRA-300, 1 DLT of grade (Gr) 3 diarrhea at 90 mg QD, and 1 TRAE leading to discontinuation of treatment (Gr3 ALT, 90 mg QD);</w:t>
      </w:r>
    </w:p>
    <w:p>
      <w:pPr>
        <w:spacing w:after="0" w:line="2" w:lineRule="exact"/>
        <w:rPr>
          <w:sz w:val="20"/>
          <w:szCs w:val="20"/>
          <w:color w:val="auto"/>
        </w:rPr>
      </w:pPr>
    </w:p>
    <w:p>
      <w:pPr>
        <w:ind w:left="5580" w:right="2640" w:hanging="5572"/>
        <w:spacing w:after="0" w:line="76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 Gr4 TRAEs; and (iv) the 120 mg QD dose was the highest dose evaluated with no DLTs reported.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268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At 90mg QD, improved tolerability was observed with TYRA-300 as compared to erdafitinib</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At dose levels lower than 60mg, including target dose levels for NMIBC and skeletal conditions, TYRA-300 exhibited favorable interim safety results as of the data cutoff date. No hyperphosphatemia, discontinuation or dose reductions were reported at doses equal to or below 60mg.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114300</wp:posOffset>
            </wp:positionV>
            <wp:extent cx="5349240" cy="2297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FGFR-related toxicities were infrequent at lower doses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clinical development plans for TYRA-300 in mUC and NMIBC</w:t>
      </w:r>
    </w:p>
    <w:p>
      <w:pPr>
        <w:spacing w:after="0" w:line="225"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We believe that the full development potential for TYRA-300 may cover the entire spectrum of disease in UC, and may represent a large opportunity relative to other drug targets given the high prevalence of FGFR3 mutations and the potential to treat earlier disease.</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Phase 2 portion of SURF301 will test two doses of TYRA-300. We plan to include cohorts of mUC patients naïve to FGFR inhibitors as well as a small cohort of mUC patients who have received an FGFR inhibitor</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1" w:name="page12"/>
    <w:bookmarkEnd w:id="1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and have developed resistance to that inhibitor due to an FGFR3 mutation, such as the gatekeeper V555M.</w:t>
      </w:r>
    </w:p>
    <w:p>
      <w:pPr>
        <w:spacing w:after="0" w:line="22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In January 2025, we announced that the FDA cleared our Investigational New Drug application (IND) for TYRA-300 to proceed with a Phase 2 clinical trial of TYRA-300 in low-grade, IR NMIBC (SURF302). SURF302 will be an open-label Phase 2 clinical study evaluating the efficacy and safety of TYRA-300 in participants with FGFR3-altered low-grade, IR NMIBC. The study will enroll up to 90 participants at multiple sites primarily in the United States. Participants will be randomized initially to treatment with TYRA-300 at 50 mg QD (Cohort 1) or treatment with TYRA-300 at 60 mg QD (Cohort 2). Following a review of efficacy and safety, an additional dosing cohort may be evaluated. The primary endpoint is CR rate at three months. Secondary endpoints include time to recurrence, the median duration of response, RFS, PFS, safety and tolerability. We expect to dose the first patient in this study in the second quarter of 2025.</w:t>
      </w:r>
    </w:p>
    <w:p>
      <w:pPr>
        <w:spacing w:after="0" w:line="18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Our future plans may include potential combination studies with approved or novel agents across all stages of bladder cancer where the risk of overlapping toxicities may be diminished when combined with TYRA-300.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FGFR3 Program for Skeletal Conditions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TYRA-300 for ACH and Skeletal Conditions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Mutations in FGFR3 are implicated in skeletal conditions due to its role in regulating bone and cartilage formation. We believe that there is a significant opportunity to develop TYRA-300 to potentially address the long-term complications associated with these skeletal conditions including ACH, hypochondroplasia (HCH), Short Stature Homeobox (SHOX) deficiency, other FGFR3-driven genetic syndromes and idiopathic short stature.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Disease background</w:t>
      </w:r>
    </w:p>
    <w:p>
      <w:pPr>
        <w:spacing w:after="0" w:line="22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FGFR3 is expressed in growth plate chondrocytes (cartilage cells) where it functions in signaling pathways to limit growth. The G380R mutation in FGFR3, which causes an estimated 99% of ACH, as well as other activating mutations, increases FGFR3 activity, resulting in excessive limitation of growth in the long bones, vertebral bodies and skull base. In children with ACH, the most common form of dwarfism, these growth differences can result in life-long health complications such as sleep apnea, obesity, recurrent ear infections, and bowed legs. The most serious sequelae include spinal stenosis (narrowing of the spinal canal); up to 20% of infants require surgery to address narrowing at the base of the skull (foramen magnum stenosis), which can be life-threatening; in adults, spinal stenosis of the lower back results in chronic pain, necessitating surgery and long-term pain management.</w:t>
      </w:r>
    </w:p>
    <w:p>
      <w:pPr>
        <w:spacing w:after="0" w:line="18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ACH is an autosomal dominant condition that occurs in approximately 1 in 15,000 to 40,000 newborns worldwide, and it is estimated that there are approximately 3,000 affected individuals under the age of 18 in the United States and approximately 23,000 addressable, affected individuals under the age of 18 worldwide. Approximately 80% of ACH cases arise through a spontaneous mutation of FGFR3, whereas 20% of cases are familial.</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FGFR3 is implicated in multiple additional skeletal conditions, including HCH, which is most commonly caused by the N540K mutation (~70-80%) in the FGFR3 gene, as well as SHOX Deficiency, where SHOX is a transcription factor for FGFR3.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treatment landscape and unmet need</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ACH had been managed primarily through surgical and physical therapy intervention until the accelerated approval of Voxzogo (vosoritide) in 2021. Voxzogo is a daily injected C-natriuretic peptide (CNP) analog, which acts downstream of FGFR3. In a pivotal study, children treated with 15mg/kg of Voxzogo achieved 5.66cm/year in average height velocity (AHV), a 1.40cm improvement over 4.26cm baseline. Children in the Phase 2 trial treated with 15mg/kg achieved 5.91cm/year AHV, 1.87cm improvement over 4.04cm baseline. Children treated with 30mg/kg saw a lower change from baseline, suggesting the CNP pathway activity is potentially dose-limited in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FGFR3-driven conditions. TransCon CNP, a prodrug of CNP administered to children with ACH by injection on a weekly basis, showed similar efficacy in Phase 3 and a New Drug Application (NDA) filing is expected in the first quarter of 2025. BridgeBio is developing infigratinib, a daily oral, low-dose FGFR1/2/3 inhibitor, which achieved 6.0 cm/yr AHV and a 2.51 cm/yr improvement over 3.51cm/yr baseline for the 0.25 mg/kg cohort in Phase 2 studies. BridgeBio previously published that doses above 0.33mg/kg are limited by hyperphosphatemia and they have communicated they do not plan to exceed the 0.25 mg/kg dose in pediatric skeletal conditions. BioMarin disclosed that prolonged treatment with Voxzogo could result in a final adult height improvement of 17cm or more in ACH, potentially 29cm less than average height for adult males without ACH, pointing to remaining unmet need.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solution, TYRA-300 in ACH</w:t>
      </w:r>
    </w:p>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By engaging FGFR3 selectively at higher, safe doses, TYRA-300 may have the potential to meaningfully improve height, health and functional outcomes beyond what can be achieved with current therapies in development for children with ACH, HCH, SHOX deficiency, other FGFR3-driven genetic syndromes and idiopathic short stature.</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the Imagine Institute’s FGFR3Y367C/+ preclinical model, TYRA-300 administered daily at a 1.2 mg/kg dose for 15 days, increased body length in mice by 17.9% compared to the vehicle (p&lt;0.0001) and increased the length of the femur (+22.6%), tibia (+33.0%) and L4-L6 (+23.5%) in mice (p&lt;0.0001). 1.2mg/kg in mice roughly equates to a 0.5mg/kg dose in children and a 40mg dose in adults. TYRA-300 also demonstrated increases in long bone length in the Imagine Institute’s HCH mouse model.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Development plans for TYRA-300 in ACH</w:t>
      </w:r>
    </w:p>
    <w:p>
      <w:pPr>
        <w:spacing w:after="0" w:line="22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October 2024, we announced that the FDA cleared the Company’s IND for TYRA-300 to proceed with a Phase 2 clinical trial of TYRA-300 for children with ACH (BEACH301). BEACH301 will be a Phase 2, multicenter, open-label, dose-escalation/dose-expansion study evaluating TYRA-300 in children ages 3 to 10 with ACH with open growth plates. The study will enroll children who are treatment-naïve (Cohort 1) and those who have received prior growth-accelerating therapy (Cohort 2) at multiple sites across the globe. Each of these cohorts is expected to enroll up to 10 participants per dose level (0.125, 0.25, 0.375, 0.50 mg/kg) for up to 12 months. Prior to initiation of Cohorts 1 and 2, the study will enroll a safety sentinel cohort of up to 3 treatment-naïve participants per dose level in children ages 5 to 10. The primary objectives of the study will be to assess safety and tolerability in children with ACH and evaluate change from baseline in annualized growth velocity to determine the dose(s) for further development. Secondary objectives will include evaluating change from baseline in height z-score, proportionality and PK. We are also planning exploratory assessments of clinical outcomes such as functional improvements, changes in the spine, and quality of life measures. The Company expects to dose the first child with ACH in the BEACH301 study in the second quarter of 2025.</w:t>
      </w:r>
    </w:p>
    <w:p>
      <w:pPr>
        <w:spacing w:after="0" w:line="194"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 July 2023 and January 2024, the FDA granted orphan drug designation and rare pediatric disease designation to TYRA-300, respectively, for the treatment of 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FGFR2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TYRA-200 for ICC</w:t>
      </w:r>
    </w:p>
    <w:p>
      <w:pPr>
        <w:spacing w:after="0" w:line="22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FGFR2 is a protein receptor present on the cell surface that promotes cellular proliferation and transformation upon binding of fibroblast growth factor. Activating gene alterations of FGFR2 have been implicated in the tumorigenesis of multiple solid tumor types.</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TYRA-200 is an investigational, oral, FGFR1/2/3 inhibitor designed to be active against activating FGFR2 gene alterations, as well as clinically important molecular brake and gatekeeper resistance mutations, and selective for FGFR4. We are focusing initial Phase 1 development of TYRA-200 in FGFR2-driven ICC resistant to treatment with prior FGFR inhibitors.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Disease background</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ICC is a form of cancer that originates in the bile ducts, which are a series of thin vessels that transport bile from liver cells to the small intestine. The median OS for all patients diagnosed with ICC is reported to be 16.1 months. The median OS for patients diagnosed with late-stage disease is less than one year. Approximately 15-20% of patients with ICC have genetic alterations in FGFR2, which are primarily gene rearrangements and activating mutations. In addition to ICC, FGFR2 drives an estimated 7-16% of endometrial cancers and 0.8% of other solid tumors.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ICC is a rare tumor, accounting for an estimated 10-20% of intrahepatic biliary cancers and an estimated ~11% of cancers of unknown primary origin. We estimate that in 2023, approximately 1,000 second-line FGFR2+ ICC patients are addressable for treatment with an FGFR2 inhibitor and approximately 500 FGFR2+ ICC patients are addressable in the FGFR-resistant setting in the United States. We also estimate that approximately 1,000 and 3,000 FGFR2+ patients with late-stage endometrial cancer and other solid tumors, respectively, may be addressable with FGFR2 inhibitors.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treatment landscape and unmet need</w:t>
      </w:r>
    </w:p>
    <w:p>
      <w:pPr>
        <w:spacing w:after="0" w:line="225" w:lineRule="exact"/>
        <w:rPr>
          <w:sz w:val="20"/>
          <w:szCs w:val="20"/>
          <w:color w:val="auto"/>
        </w:rPr>
      </w:pPr>
    </w:p>
    <w:p>
      <w:pPr>
        <w:jc w:val="both"/>
        <w:ind w:right="400" w:firstLine="749"/>
        <w:spacing w:after="0" w:line="257" w:lineRule="auto"/>
        <w:rPr>
          <w:sz w:val="20"/>
          <w:szCs w:val="20"/>
          <w:color w:val="auto"/>
        </w:rPr>
      </w:pPr>
      <w:r>
        <w:rPr>
          <w:rFonts w:ascii="Times New Roman" w:cs="Times New Roman" w:eastAsia="Times New Roman" w:hAnsi="Times New Roman"/>
          <w:sz w:val="18"/>
          <w:szCs w:val="18"/>
          <w:color w:val="auto"/>
        </w:rPr>
        <w:t>Currently, surgical recession is the only curative option available to ICC patients. However, only up to one-third of patients are eligible for surgery at diagnosis and up to 70% of patients experience a recurrence largely within the first two years following surgery. Patients with unresectable tumors are typically treated with frontline immunotherapy in combination with cisplatin-based chemotherapy which have shown 12.7-12.8 month OS.</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Upon disease progression, patients with somatic alternations in FGFR2 are eligible to be treated with approved pan-FGFR inhibitors including Pemazyre (pemigatinib) and Lytgobi (futibatinib) which have generated ORR of 36-42% and mean duration of response of 9.1-9.7 months. The investigational FGFR2-specific inhibitor lirafugratinib has reported ~80% response rates in a small dataset of patients who have not received an FGFR inhibitor previously, though showed limited activity in patients whose tumors have developed these acquired resistance mutations.</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currently approved pan-FGFR inhibitors as well as several investigational agents are not active against the entire spectrum of clinically important acquired resistance mutations that develop in response to FGFR inhibition. Polyclonal resistance (multiple resistance mutations that occur in the same patient) is a common feature in this patient population, with one dataset showing Over 50% of patients who recur on FGFR therapy have gatekeeper and molecular brake mutations. We believe the ability to demonstrate clinically beneficial activity in the FGFR inhibitor-resistant setting will provide proof of concept and validate the design principles behind TYRA-200.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solution, TYRA-200 in ICC</w:t>
      </w:r>
    </w:p>
    <w:p>
      <w:pPr>
        <w:spacing w:after="0" w:line="225"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7"/>
          <w:szCs w:val="17"/>
          <w:color w:val="auto"/>
        </w:rPr>
        <w:t>We believe the critical unmet need for patients with FGFR2 fusion or FGFR2-altered ICC is balancing the potency for the wild type and the numerous on-target resistance mutations that confer resistance to the currently approved FGFR inhibitors. We believe maintaining potency against all of these clinically important mutations as well as wild-type FGFR2 could potentially improve efficacy and duration of response. Additionally, we designed TYRA-200 with greater selectivity for FGFR1-3 versus FGFR4 to potentially improve upon tolerability of pan-FGFR inhibitors that are potent for FGFR4.</w:t>
      </w:r>
    </w:p>
    <w:p>
      <w:pPr>
        <w:spacing w:after="0" w:line="164"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preclinical models, TYRA-200 has demonstrated potency in FGFR2-driven Ba/F3 cells similar to erdafitinib, pemigatinib, futibatinib or infigratinib, while reducing or eliminating the decrease in potency observed with N550K/H/D and E566A molecular brake, V565F/L/I gatekeeper, and K660E/N A-loop activator resistance mutations. In a preclinical allograft model of an FGFR2-driven Ba/F3 cell line with the V565F gatekeeper mutation, we observed 96% and 98% tumor growth inhibition by TYRA-200 versus 62% tumor growth inhibition in an allograft treated with futibatinib.</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Development plans for TYRA-200 in ICC</w:t>
      </w:r>
    </w:p>
    <w:p>
      <w:pPr>
        <w:spacing w:after="0" w:line="22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December 2023, we commenced our Phase 1 clinical trial of TYRA-200, SURF201, a multi-center, open label study designed to evaluate the safety, tolerability, and PK of TYRA-200 and determine the optimal dose for further development, the MTD and RP2D, as well as evaluate preliminary antitumor activity. SURF201 is currently enrolling participants with ICC with acquired kinase domain mutations. Positive data in this setting, where other FGFR inhibitors have not succeeded, would potentially provide confidence in our belief that addressing acquired resistance may prolong the duration of responses, and ultimately PFS, in the FGFR-naive setting.</w:t>
      </w:r>
    </w:p>
    <w:p>
      <w:pPr>
        <w:spacing w:after="0" w:line="183"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Beyond FGFR-resistant and FGFR-naive ICC, there is potential for TYRA-200 to extend into metastatic endometrial carcinoma as well as advanced colorectal, breast, ovarian, gastric, and lung cancer.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FGF19+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TYRA-430 for Hepatocellular Carcinoma</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FGF19 is a post-prandial enterohepatic hormone that signals through FGFR4 and its associated co-receptor KLB to exert its normal cellular functions. In a subset of certain cancers, such as HCC, gastric adenocarcinoma, and squamous esophageal carcinoma, FGF19 is aberrantly expressed due to focal chromosomal amplifications or epigenetic mechanisms, promoting tumor cells to become dependent on the FGFR4/KLB/FGF19 oncogenic axis.</w:t>
      </w:r>
    </w:p>
    <w:p>
      <w:pPr>
        <w:spacing w:after="0" w:line="176"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An experiment run by Tao et al (2022) demonstrated a greater dependence of HCC JHH-7 cells on KLB, the common co-receptor for FGFR3 and FGFR4, than on either receptor alone. This is also consistent with the results of the double knock down of FGFR3 and 4 being more deleterious than knock down of either receptor alone, suggesting the need for dual inhibition of FGFR3 or FGFR4.</w:t>
      </w:r>
    </w:p>
    <w:p>
      <w:pPr>
        <w:spacing w:after="0" w:line="176"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TYRA-430 is an investigational FGFR4/3 biased inhibitor for FGF19+/FGFR4-driven cancers that is designed to be agnostic to acquired resistance mechanisms originating from the V550 gatekeeper and the C552 mutations. In August 2024, we announced that the FDA cleared our IND to proceed with the global Phase 1 SURF431 clinical trial of TYRA-430 in advanced HCC and other solid tumors with activating FGF/FGFR pathway aberrations.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Disease background</w:t>
      </w:r>
    </w:p>
    <w:p>
      <w:pPr>
        <w:spacing w:after="0" w:line="22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Liver cancer is the third leading cause of cancer related mortality worldwide (Bray et al). Abnormal activation of FGF19 has been implicated as an oncogenic driver in approximately 30% of HCC. Data suggests that in this subtype, excessive FGF19 may over-activate the receptor tyrosine kinases FGFR4 and FGFR3 thus drive cancer cell proliferation, survival, and resistance to apoptosis.</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estimate that in 2022, approximately 6,000 frontline FGFR19+ HCC patients were addressable for treatment with an FGFR4/3 inhibitor and over 3,000 FGFR19+ HCC patients were addressable in the post-frontline setting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treatment landscape and unmet need</w:t>
      </w:r>
    </w:p>
    <w:p>
      <w:pPr>
        <w:spacing w:after="0" w:line="22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Between 2014 and 2020, the five-year relative survival for liver cancer patients in the US was 21.7%. Most HCC patients are diagnosed with unresectable disease and are not eligible for potentially curable treatments, including surgery, transplant or ablation. For patients with advanced, unresectable HCC, immunotherapies have become standard of care in the frontline since the 2020 approval of Tecentriq/Avastin (atezolizumab/bevacizumab), based on a 28% ORR and 6.8 month PFS, with follow up analysis in the intent to treat population showing a 19.2 month OS. Promising phase 2 datasets have been released for agents in development as part of a triplet combination regimen atezolizumab/bevacizumab.</w:t>
      </w:r>
    </w:p>
    <w:p>
      <w:pPr>
        <w:spacing w:after="0" w:line="183"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In the post-frontline setting, non-targeted approaches including multi-kinase inhibitors approved for the second and third lines have shown modest therapeutic benefit. Bayer’s Stivarga (regorafenib), Exilixis’ Cabometyx</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9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(cabozantinib) and Eli Lilly’s ramucirumab have been approved in this setting based on ORR ranging from 4-7%, PFS ranging from 2.5-5.2 months and OS ranging from 8.5-10.6 months. Use of sorafenib and lenvatinib, initially approved for treatment-naïve patients, is anticipated to rise in the second line, but randomized data is not available for these agents in this setting. Several FGFR4-selective inhibitors have been developed and achieved clinical proof of concept with ORR of 17%-21%, in FGF19+ patients. However, FGFR4-specific approaches have shown limited durability, potentially due to an FGFR3-mediated bypass mechanism as well as acquired drug resistance in some cases. We believe TYRA-430 has the potential to address the shortcomings of prior FGFR4-specific approaches as well as the overall unmet need in FGF19+ HCC, where no biomarker-driven, targeted therapy has been approved.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Solution, TYRA-430 in HCC</w:t>
      </w:r>
    </w:p>
    <w:p>
      <w:pPr>
        <w:spacing w:after="0" w:line="225"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TYRA-430 was selected for development based in part on its bias for FGFR4 and FGFR3 over the FGFR1 and FGFR2 isoforms specifically to address the aberrant FGF19 signaling pathway, while also potentially limiting side effects due to inhibition of FGFR1 and FGFR2. In addition to the activity toward FGFR3, TYRA-430 is further distinguished from the highly specific FGFR4 inhibitors by its relative resistance to clinically observed mutations at the gatekeeper (550) and cysteine (552) positions.</w:t>
      </w:r>
    </w:p>
    <w:p>
      <w:pPr>
        <w:spacing w:after="0" w:line="18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preclinical models, TYRA-430 demonstrated bias for FGFR4 and FGFR3 over FGFR1 and FGFR2 isoforms in Ba/F3 cells. Additionally, in a JHH7 FGF19+ HCC xenograft, TYRA-430 (28 mg/kg BID), demonstrated 99% tumor growth inhibition while roblitinib (FGFR4-specific inhibitor, 100 mg/kg BID) and lenvatinib (30 mg/kg QD) demonstrated 86% and 53% tumor growth inhibition,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Development plans for TYRA-430 in HCC</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August 2024, we announced that the FDA cleared our IND to proceed with a Phase 1 clinical trial of TYRA-430. SURF431 will be a Phase 1, multicenter, open-label, first-in-human study of TYRA-430 in advanced HCC and other solid tumors with activating FGF/FGFR pathway aberrations. We believe TYRA-430 has the potential to address a significant unmet need in HCC, where there are no approved biomarker-driven, targeted therapies. We expect to dose the first patient in this study in the second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Discovery Engine</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We continue to leverage the SNÅP platform in the discovery and development of additional, undisclosed preclinical programs. These efforts are focused in the field of FGFR biology as well as other targets that are important drivers for opportunities across precision oncology and genetically defined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While we believe that our technology, technical expertise, and drug development experience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and/or new therapies that may become available in the future.</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expertise in manufacturing, R&amp;D, pre-clinical activities and clinical trial conduct. Additionally, many of our competitors are commercial-stage entities with experience in obtaining regulatory approvals and reimbursement for marketed approved products.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larger and/or established companies. Additional mergers and acquisitions may result in even more resources being concentrated in our competitors.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more effective, have a more favorable safety profile, and are more convenient or less expensive than products that we may develop. Our competitors also may obtain FDA or other foreign regulatory approval(s) for their products more rapidly than us,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including duration of human response and breadth of coverage, safety and patient convenience.</w:t>
      </w:r>
    </w:p>
    <w:p>
      <w:pPr>
        <w:spacing w:after="0" w:line="183"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There are numerous companies developing or marketing treatments for cancer, including many major pharmaceutical and biotechnology companies. These treatments consist of small molecule drug products, biologics, cellular therapies, and traditional chemotherapy.</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For TYRA-300 in post-frontline mUC, approved competitors include Janssen Pharmaceutical’s Balversa (erdafitinib), chemotherapy agents and immunotherapy or Padcev for patients not exposed in the frontline. Therapies in development include Eli Lilly’s LOXO-435, an oral, FGFR3-specific inhibitor, as well as multiple next-generation Nectin4-targeted therapies.</w:t>
      </w:r>
    </w:p>
    <w:p>
      <w:pPr>
        <w:spacing w:after="0" w:line="17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TYRA-300 in IR NMIBC, no agents beyond intravesical BCG or chemotherapy have been approved. Urogen’s UGN-102, a hydrogel reformulation of mitomycin C, has a PDUFA date scheduled for June 2025. Additional agents in Phase 3 development include Janssen Pharmaceutical’s TAR-210, CG Oncology’s crestostimogene grenadenorepvec and Ferring’s nadofaragene firadenovec.</w:t>
      </w:r>
    </w:p>
    <w:p>
      <w:pPr>
        <w:spacing w:after="0" w:line="176"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For TYRA-300 in high risk NMIBC, beyond Intravesical BCG and chemotherapy instillations, Merck’s Keytruda, ImmunityBio’s Anktiva in combination with BCG and Ferring’s Adstiladrin are approved in BCG-unresponsive high risk NMIBC with CIS, with or without papillary tumors. Additional agents in Phase 3 development include Janssen Pharmaceutical’s TAR-200, CG Oncology’s crestostimogene grenadenorepvec and PD–(L)1 inhibitors including Pfizer’s sasanlimab.</w:t>
      </w:r>
    </w:p>
    <w:p>
      <w:pPr>
        <w:spacing w:after="0" w:line="180"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For TYRA-300 in ACH, BioMarin’s Voxzogo is approved for children of any age with open growth plates. Ascendis has disclosed an intent to file an NDA and MAA for TransCon CNP in 2025 and BridgeBio’s infigratinib is still in Phase 3 development. BioMartin is studying BMN-333, a long-acting CNP in Phase 1 development.</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For TYRA-300 in HCH, BioMarin’s vosoritide is in Phase 3 development, BridgeBio’s infigratinib has initiated a run-in for a Phase 2 study and Ascendis has disclosed plans to initiate a clinical study in 2025. BioMarin has also initiated a Phase 2 basket trial for vosoritide in children with Turner Syndrome, SHOX Deficiency and Noonan Syndrome without sufficient response to human growth hormone, in addition to a Phase 2 study for children with idiopathic short stature.</w:t>
      </w:r>
    </w:p>
    <w:p>
      <w:pPr>
        <w:spacing w:after="0" w:line="180"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For TYRA-200 in ICC, there are two pan-FGFR inhibitors available in the United States that are indicated for the treatment of adults with previously treated, unresectable locally advanced or metastatic cholangiocarcinoma with a FGFR2 fusion or other rearrangement: Incyte Corporation’s Pemazyre and Taiho Oncology’s Lytgobi. Additional inhibitors in development include Elevar’s Lirafugratinib, TransThera’s tinengotinib and Cogent’s CGT-4859.</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TYRA-430 in HCC, several multi-kinase inhibitors have been approved for the treatment of HCC, but there are currently no approved FGFR4-specific inhibitors approved. In the late line setting, approved, non-targeted treatment options include Bayer’s Stivarga, Exelixis’ Cabometyx, Eli Lilly’s Cyramza, Merck’s Keytruda and BMS’ Opdivo combined with Yervoy. There are a number of FGFR4 clinical stage programs, with most of the development focused in China, including CStone Pharmaceuticals and Blueprint Medicine’s BLU-554 (fisogatinib), Everest Medicine’s FGF401 and Abbisko Therapeutics’ ABSK-011.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strive to protect the intellectual property and proprietary technology that we consider important to our business through a variety of methods, including seeking and maintaining patents intended to cover our product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candidates and compositions, their methods of use and processes for their manufacture, and any other inventions that are important to our business. We rely on know-how and continuing technological innovation to develop and maintain our proprietary position. We also rely on trade secrets and know-how that may be important to the development of our business. We seek to obtain domestic and international patent protection and endeavor to promptly file patent applications for new commercially valuable inventions to expand our intellectual property portfolio.</w:t>
      </w:r>
    </w:p>
    <w:p>
      <w:pPr>
        <w:spacing w:after="0" w:line="18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We are building a patent portfolio and have substantial confidential know-how relating to our product candidates and SNÅP platform. As of March 15, 2025, our intellectual property portfolio consists of one granted U.S. patent, 14 pending U.S. provisional applications, 10 pending U.S. nonprovisional applications, 90 pending foreign patent applications, one granted foreign patent and 10 patent applications pursuant to the Patent Cooperation Treaty (PCT) all of which are solely owned by us. We do not license any material patent rights from any third party. Collectively, our patent rights relate to various aspects of our product candidates.</w:t>
      </w:r>
    </w:p>
    <w:p>
      <w:pPr>
        <w:spacing w:after="0" w:line="183" w:lineRule="exact"/>
        <w:rPr>
          <w:sz w:val="20"/>
          <w:szCs w:val="20"/>
          <w:color w:val="auto"/>
        </w:rPr>
      </w:pPr>
    </w:p>
    <w:p>
      <w:pPr>
        <w:ind w:right="480" w:firstLine="749"/>
        <w:spacing w:after="0" w:line="261"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product candidates and improvements to our SNÅP platform. To that end, we are prepared to file additional patent applications in any appropriate fields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w:t>
      </w:r>
    </w:p>
    <w:p>
      <w:pPr>
        <w:spacing w:after="0" w:line="180"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the section entitled “Risk Factors—Risks Related to Our Intellectual Property” for additional information on the risks associated with our intellectual property strategy and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Our FGFR3 Program</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With regard to our FGFR3 product candidates, as of March 15, 2025, we own 11 pending U.S. provisional applications, five pending U.S. nonprovisional applications, one granted U.S. patent, five pending PCT patent applications, 44 pending foreign applications and one granted foreign patent. These patent rights relate to the FGFR3 product candidates’ compositions of matter, formulations containing them, methods of manufacturing, and methods of treating diseases, using our FGFR3 product candidates. Specifically, we have one granted U.S. patent, one granted foreign patent and 30 pending foreign patent applications directed to the composition matter of our leading candidate in the FGFR3 program. We expect any patents issued from these applications to expire between 2040 and 2046 without accounting for any patent term adjustment or extension that may be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Our FGFR2 Program</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With regard to our FGFR2 program, as of March 15, 2025, we own two pending U.S. nonprovisional applications, one pending PCT patent application and 16 pending foreign applications. These patent rights relate to the FGFR2 program’s compositions of matter, formulations containing them, methods of manufacturing, and methods of treating diseases. Specifically, we have one pending U.S. nonprovisional and 15 pending foreign patent applications directed to the composition matter of our leading candidate in the FGFR2 program. We expect any patents issued from these applications to expire between 2040 and 2044 without accounting for any patent term extension that may be 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Other Programs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With regard to our other programs, including the FGFR4 program, as of March 15, 2025, we own three pending U.S. provisional patent application, three pending U.S. nonprovisional application, three pending PCT patent applications and 28 pending foreign applications. These patent rights relate to these other programs’ compositions of matter, formulations containing them, methods of manufacturing, and methods of treating diseases. We expect any patents issued from these applications to expire between 2042 and 2045 without accounting for any patent term extension that may be available.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Scope and Duration of Intellectual Property Protection</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most countries in which we file, the patent term is 20 years from the earliest date of filing of a non-provisional patent application. However, the term of United States patents may be extended for delays incurred due to compliance with the FDA requirements or by delays encountered during prosecution that are caused by the USPTO. For example, for drugs that are regulated by the FDA under the Hatch-Waxman Act, the FDA is permitted to extend the term of a patent that covers such drug for up to five years beyond the normal expiration date of the patent, provided that the extended patent term may not exceed fourteen years after the date of approval of the marketing application. In the future, if and when our product candidates receive FDA approval, we expect to apply for patent term extensions on any issued U.S. patents covering those product candidates. We intend to seek patent term extensions for our current and future issued patents in jurisdictions where these are available; however, there is no guarantee that the applicable authorities, including the USPTO and FDA, will agree with our assessment of whether such extensions should be granted, and even if granted, the length of such extensions. Our issued patent and any patents issuing from our pending patent applications are expected to expire on dates ranging from 2040 to 2046, without accounting for potentially available patent term extensions or patent term adjustments.</w:t>
      </w:r>
    </w:p>
    <w:p>
      <w:pPr>
        <w:spacing w:after="0" w:line="219"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6"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oncology therapy has emerged in the United States. The patent situation outside of the United States is even more uncertain. Changes in the patent laws and rules, either by legislation, judicial decisions, or regulatory interpretation in the United States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patents will be granted with respect to any of our pending patent applications or with respect to any patent applications filed by us in the future, nor can we be sure that any of our current or future patents will be commercially useful in protecting our product candidates and the methods used to manufacture them. Moreover, our current or future patents may not guarantee us the right to practice our technology in relation to the commercialization of our product candidates.</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area of patent and other intellectual property rights in biotechnology is an evolving one with many risks and uncertainties, and third parties may have blocking patents that could be used to prevent us from commercializing our product candidates and practicing our proprietary technology. Our current or future patents may be challenged, narrowed, circumvented or invalidated, which could limit our ability to stop competitors from marketing related product candidates or limit the length of the term of patent protection that we may have for our product candidates. In addition, the rights granted under our current or future issued patents may not provide us with protection or competitive advantages against competitors with similar technology. Furthermore, our competitors may independently develop similar technologies.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SNÅP platform and product candidates, please see the section entitled “Risk Factors—Risks Related to Our Intellectual Property.”</w:t>
      </w:r>
    </w:p>
    <w:p>
      <w:pPr>
        <w:spacing w:after="0" w:line="194"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We have filed applications for trademark registrations in connection with our product candidates in various jurisdictions, including the United States. We have filed for trademark protection of the TYRA and TYRA BIOSCIENCES marks with the United States Patent and Trademark Office and certain foreign patent and trademark organizations. We have registered trademarks in the United States and other jurisdictions.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19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 entitled “Risk Factors—Risks Related to 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manufacture of our product candidates undergoing preclinical testing, as well as for subsequent clinical testing and commercial manufacture if our product candidates receive marketing approval. We believe this strategy allows us to focus our expertise and resources on the development of our product candidates by eliminating the need for us to invest in our own manufacturing facilities, equipment and personnel.</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plan to put agreements in place with contract manufacturing organizations for the necessary quantities of active pharmaceutical ingredients (API) and drug product for each of our product candidates, on a project-by-project basis, based on our development needs.</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As we advance our product candidates through development, we will explore adding backup suppliers for the API and drug product for each of our product candidates to protect against any potential supply disruptions.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139" w:lineRule="exact"/>
        <w:rPr>
          <w:sz w:val="20"/>
          <w:szCs w:val="20"/>
          <w:color w:val="auto"/>
        </w:rPr>
      </w:pPr>
    </w:p>
    <w:p>
      <w:pPr>
        <w:ind w:left="1140" w:right="10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certain preclinical laboratory tests, animal studies and formulation studies in accordance with FDA’s GLP requirements and other applicable regulations;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184"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(GCPs) to establish the safety and efficacy of the proposed drug for its intended use;</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an NDA after completion of all pivotal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98"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(cGMP) or similar foreign requirements to assure that the facilities, methods and controls are adequate to preserve the drug’s identity, strength, quality and purity;</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audit of select clinical trial sites to assure compliance with GCP;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 to permit commercial marketing of the product for particular indications for use in the United States.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94"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a sponsor must submit an IND to the FDA. An IND is a request for allowance from the FDA to administer an investigational drug product to humans. The central focus of an IND submission is on the general investigational plan and the protocol(s) for clinical studies. The IND also includes results of animal and in vitro studies assessing the toxicology, PK, pharmacology, and 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allowance to begin a clinical trial.</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5" w:lineRule="exact"/>
        <w:rPr>
          <w:sz w:val="20"/>
          <w:szCs w:val="20"/>
          <w:color w:val="auto"/>
        </w:rPr>
      </w:pPr>
    </w:p>
    <w:p>
      <w:pPr>
        <w:ind w:left="1140" w:right="18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48" w:lineRule="exact"/>
        <w:rPr>
          <w:rFonts w:ascii="Times New Roman" w:cs="Times New Roman" w:eastAsia="Times New Roman" w:hAnsi="Times New Roman"/>
          <w:sz w:val="18"/>
          <w:szCs w:val="18"/>
          <w:color w:val="auto"/>
        </w:rPr>
      </w:pPr>
    </w:p>
    <w:p>
      <w:pPr>
        <w:ind w:left="1140" w:right="72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53" w:lineRule="exact"/>
        <w:rPr>
          <w:sz w:val="20"/>
          <w:szCs w:val="20"/>
          <w:color w:val="auto"/>
        </w:rPr>
      </w:pPr>
    </w:p>
    <w:p>
      <w:pPr>
        <w:ind w:left="1140" w:right="20" w:hanging="383"/>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some cases, the FDA may require, or sponsors may voluntarily pursue, additional clinical trials after a product is approved to gain more information about the product. These clinical trials, sometimes referred to as Phase 4 studies, may be used to gain additional experience from the treatment of patients in the intended therapeutic indication. In certain instances, the FDA may mandate the performance of Phase 4 clinical trials as a condition of approval of an NDA.</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or similar foreign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the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an NDA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This review typically takes twelve months from the date the NDA is submitted to the FDA because the FDA has approximately two months to make a “filing” decision after the application is submitted.</w:t>
      </w:r>
    </w:p>
    <w:p>
      <w:pPr>
        <w:spacing w:after="0" w:line="19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After the FDA evaluates an NDA and conducts any necessary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usually describes all of the deficiencies that the FDA has identified and may require additional clinical data, such as an additional clinical trial or other significant and time-consuming requirements related to clinical trials, nonclinical studies or manufacturing. When the FDA determines that the data supporting the application are inadequate to support approval, the FDA may issue the CRL without first conducting required inspections and/or reviewing proposed labeling.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post-market studies and surveillance to further assess and monitor the product’s safety and effectiveness after commercialization, and may limit further marketing of the product based on the results of these post-marketing studies.</w:t>
      </w:r>
    </w:p>
    <w:p>
      <w:pPr>
        <w:spacing w:after="0" w:line="19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76"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18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requires pre-approval of promotional materials as a condition of accelerated approval, which could adversely impact the timing of the commercial launch of the product.</w:t>
      </w:r>
    </w:p>
    <w:p>
      <w:pPr>
        <w:spacing w:after="0" w:line="194"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8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drug and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Priority Review Voucher Program</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2012, the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ind w:right="40"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diseases or conditions within the meaning of the Orphan Drug Act. Under the current statutory sunset provisions, as amended by the Continuing Appropriations and Extensions Act, 2025, the FDA may only award a voucher for an approved rare pediatric disease product application if the Sponsor has rare pediatric disease designation for the drug, and that designation was granted by December 20, 2024. After September 30, 2026, FDA may not award any Rare Pediatric Disease Priority Review Voucher.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NDA holders and product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43"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53" w:lineRule="exact"/>
        <w:rPr>
          <w:sz w:val="20"/>
          <w:szCs w:val="20"/>
          <w:color w:val="auto"/>
        </w:rPr>
      </w:pPr>
    </w:p>
    <w:p>
      <w:pPr>
        <w:ind w:left="1140" w:right="56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98"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Non-patent regulatory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containing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regulatory exclusivity or existing patent term if a sponsor conducts clinical trials in children in response to a written request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9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from the FDA and meets other conditions.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If safe and effective use of a drug depends on an in vitro diagnostic, then the FDA may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may will not approve the drug or new indication if the companion diagnostic device is not also approved or cleared for that indication. Approval or clearance of the companion diagnostic device will ensure that the device has been adequately evaluated and has adequate performance characteristics in the intended population. The review of in vitro companion diagnostics in conjunction with the review of our product candidates will, therefore, likely involve coordination of review by the FDA’s Center for Drug Evaluation and Research and the FDA’s Center for Devices and Radiological Health Office of In Vitro Diagnostics and Radiological Health.</w:t>
      </w:r>
    </w:p>
    <w:p>
      <w:pPr>
        <w:spacing w:after="0" w:line="1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Under the FDCA, in vitro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generally requires either FDA clearance of a 510(k) premarket notification, or approval of a premarket approval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While most Class I devices—devices that generally pose a low risk to users—are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or devices that have a new intended use, or use advanced technology that is not substantially equivalent to that of a legally marketed device, are automatically placed in Class III, requiring approval of a PMA unless down-classified in accordance with the “de novo” process, which is a route to market for novel medical devices that are low to moderate risk and are not substantially equivalent to a predicate device.</w:t>
      </w:r>
    </w:p>
    <w:p>
      <w:pPr>
        <w:spacing w:after="0" w:line="19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request down-classification of the device through the “de novo” process.</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PMA process is more demanding than the 510(k) premarket notification process, and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facilities for compliance with the QSR, which imposes elaborate testing, control, documentation and other quality assurance requirements.</w:t>
      </w:r>
    </w:p>
    <w:p>
      <w:pPr>
        <w:spacing w:after="0" w:line="22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post-approval requirements, conditions of approval or other regulatory standards are not maintained or problems are identified following initial marketing.</w:t>
      </w:r>
    </w:p>
    <w:p>
      <w:pPr>
        <w:spacing w:after="0" w:line="194"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Pharmaceutical companies like us are subject to additional healthcare regulation and enforcement by the federal government and by authorities in the states and foreign jurisdictions in which they conduct their business. Such regulation and enforcement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transparency laws and regulations with respect to drug pricing and payments and other transfers of value made by pharmaceutical manufacturers to physicians and other health care providers, such as the federal Physician Payments Sunshine Act.</w:t>
      </w:r>
    </w:p>
    <w:p>
      <w:pPr>
        <w:spacing w:after="0" w:line="187"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such as Medicare and Medicaid, and the curtailment or restructuring of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Coverage and Reimbursement</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 For products administered under the supervision of a physician, obtaining coverage and adequate reimbursement may be particularly difficult because of the higher prices often associated with such drugs.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19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18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pricing metrics to the government, including the Average Manufacturer Price (AMP) and Best Price under the Medicaid Drug Rebate Program, the Medicare Average Sales Price, the 340B Ceiling Price, and Non-Federal AMP reported to the Department of Veteran Affairs, and with respect to Medicaid, pay statutory rebates on utilization of manufacturers’ products by Medicaid beneficiaries. Compliance with these laws and regulations will require significant resources and may have a material adverse effect on our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ind w:right="70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referred to as the ACA, was passed, which substantially changed the way healthcare is financed by both governmental and private insurers, and significantly affected the pharmaceutical industry. Among other changes, the ACA increased the minimum level of Medicaid rebates payable by manufacturers of brand name drugs from 15.1% to 23.1%; required collection of rebates for drugs paid by Medicaid managed care organizations; required manufacturers to participate in a coverage gap discount program, which was replaced by a new manufacturer discount program on January 1, 2025 (as discussed below), in which manufacturers were required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the CMS to test innovative payment and service delivery models to lower Medicare and Medicaid spending, potentially including prescription drug spending.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and political challenges to certain aspects of the ACA. On June 17, 2021, the U.S. Supreme Court dismissed the most recent judicial challenge to the ACA brought by several states without specifically ruling on the constitutionality of the ACA.</w:t>
      </w:r>
    </w:p>
    <w:p>
      <w:pPr>
        <w:spacing w:after="0" w:line="162"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7"/>
          <w:szCs w:val="17"/>
          <w:color w:val="auto"/>
        </w:rPr>
        <w:t>In addition, other legislative changes have been adopted since the ACA was enacted. Most recently, in March 2021, Congress enacted the American Rescue Plan Act of 2021, which, among other things, eliminated the statutory cap on drug manufacturers’ Medicaid Drug Rebate Program rebate liability, effective January 1, 2024. Drug manufacturers’ Medicaid Drug Rebate Program rebate liability was previously capped at 100% of the average manufacturer price for a covered outpatient drug. Other changes included aggregate reductions to Medicare payments to providers, which went into effect on April 1, 2013 and, due to subsequent legislative amendments to the statute, will remain in effect into 2032, with the exception of a temporary suspension from May 1, 2020 through March 31, 2022, unless additional Congressional action is taken. On January 2, 2013, the American Taxpayer Relief Act of</w:t>
      </w:r>
    </w:p>
    <w:p>
      <w:pPr>
        <w:spacing w:after="0" w:line="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8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This has resulted in several Congressional inquiries and proposed and enacted federal and state regulations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(IRA) came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to implement many of these provisions through guidance, as opposed to regulation, for the initial years. CMS has published the negotiated prices for the initial ten drugs, which will first be effective in 2026, and has published the list of the subsequent 15 drugs that will be subject to negotiation. Each year thereafter, more Part B and Part D products will become subject to the HHS price negotiation program, although the program is currently subject to legal challenges. For that and other reasons, it is currently unclear how the IRA will be effectuated.</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8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 The implementation of cost containment measures or other healthcare reforms may prevent us from being able to generate revenue, attain profitability or commercialize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 commercial sales and distribution of our products. The foreign regulatory approval process includes all of the risks associated with FDA approval set forth above, as well as additional country-specific regulation.</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approval of a product by the comparable regulatory authorities of foreign countries before we can commence clinical trials or marketing of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9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Clinical Trials in the EU</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European Union (EU) are subject to significant regulatory controls.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CTR.</w:t>
      </w:r>
    </w:p>
    <w:p>
      <w:pPr>
        <w:spacing w:after="0" w:line="207"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(GMP). Other national and EU-wide regulatory requirements may also apply.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 in the EU</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 candidates can only be commercialized after obtaining a MA. To obtain regulatory approval of a product candidate under EU regulatory systems, we must submit a MA application (MAA). The process for doing this depends, among other things, on the nature of the medicinal product. There are two types of MAs:</w:t>
      </w:r>
    </w:p>
    <w:p>
      <w:pPr>
        <w:spacing w:after="0" w:line="72" w:lineRule="exact"/>
        <w:rPr>
          <w:sz w:val="20"/>
          <w:szCs w:val="20"/>
          <w:color w:val="auto"/>
        </w:rPr>
      </w:pPr>
    </w:p>
    <w:p>
      <w:pPr>
        <w:ind w:left="1140" w:right="40" w:hanging="383"/>
        <w:spacing w:after="0" w:line="254"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83" w:lineRule="exact"/>
        <w:rPr>
          <w:rFonts w:ascii="Times New Roman" w:cs="Times New Roman" w:eastAsia="Times New Roman" w:hAnsi="Times New Roman"/>
          <w:sz w:val="18"/>
          <w:szCs w:val="18"/>
          <w:color w:val="auto"/>
        </w:rPr>
      </w:pPr>
    </w:p>
    <w:p>
      <w:pPr>
        <w:ind w:left="1140" w:hanging="383"/>
        <w:spacing w:after="0" w:line="25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Under the above 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 in the EU</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the EU, new products authorized for marketing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Medicinal Products in the EU</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0"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An EU orphan medicinal product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Development</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medicinal products, a two year extension of the orphan market exclusivity is granted.</w:t>
      </w:r>
    </w:p>
    <w:p>
      <w:pPr>
        <w:spacing w:after="0" w:line="188"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 in the EU</w:t>
      </w:r>
    </w:p>
    <w:p>
      <w:pPr>
        <w:spacing w:after="0" w:line="227" w:lineRule="exact"/>
        <w:rPr>
          <w:sz w:val="20"/>
          <w:szCs w:val="20"/>
          <w:color w:val="auto"/>
        </w:rPr>
      </w:pPr>
    </w:p>
    <w:p>
      <w:pPr>
        <w:ind w:right="100" w:firstLine="749"/>
        <w:spacing w:after="0" w:line="284" w:lineRule="auto"/>
        <w:rPr>
          <w:sz w:val="20"/>
          <w:szCs w:val="20"/>
          <w:color w:val="auto"/>
        </w:rPr>
      </w:pPr>
      <w:r>
        <w:rPr>
          <w:rFonts w:ascii="Times New Roman" w:cs="Times New Roman" w:eastAsia="Times New Roman" w:hAnsi="Times New Roman"/>
          <w:sz w:val="18"/>
          <w:szCs w:val="18"/>
          <w:color w:val="auto"/>
        </w:rPr>
        <w:t xml:space="preserve">In the EU,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(IVD MDs), were regulated by the EU Directive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(Directive No. 98/79/EC, as amended) (IVDD), which regulated the placing on the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market, the European Conformity (CE) marking, the essential requirements, the conformity assessment procedures, the registration obligations for manufacturers and devices as well as the vigilance procedure. IVD MDs had to comply with the requirements provided for in the IVDD, and with further requirements implemented at national level (as the case may be).</w:t>
      </w:r>
    </w:p>
    <w:p>
      <w:pPr>
        <w:spacing w:after="0" w:line="176" w:lineRule="exact"/>
        <w:rPr>
          <w:sz w:val="20"/>
          <w:szCs w:val="20"/>
          <w:color w:val="auto"/>
        </w:rPr>
      </w:pPr>
    </w:p>
    <w:p>
      <w:pPr>
        <w:ind w:right="60" w:firstLine="749"/>
        <w:spacing w:after="0" w:line="270" w:lineRule="auto"/>
        <w:rPr>
          <w:sz w:val="20"/>
          <w:szCs w:val="20"/>
          <w:color w:val="auto"/>
        </w:rPr>
      </w:pPr>
      <w:r>
        <w:rPr>
          <w:rFonts w:ascii="Times New Roman" w:cs="Times New Roman" w:eastAsia="Times New Roman" w:hAnsi="Times New Roman"/>
          <w:sz w:val="17"/>
          <w:szCs w:val="17"/>
          <w:color w:val="auto"/>
        </w:rPr>
        <w:t>The regulation of companion diagnostics is subject to further requirements since Regulation (EU) No 2017/746 (IVDR) became applicable on May 26, 2022. Following subsequent legislative changes, European institutions adopted a “progressive” roll-out of the IVDR to prevent disruption in the supply of in vitro diagnostic medical devices. Therefore, the IVDR applies since May 26, 2022, but there is a tiered system extending the grace period for many devices (depending on their risk classification) before they have to be fully compliant with the regulation. 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MAA for the medicinal product has been submitted through the centralized procedure. For other substances, the notified body can seek the opinion from national competent authorities or the EMA.</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&amp; Security</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As of March 25, 2025, we had 60 full-time employees, including a total of 16 employees with M.D. or Ph.D. degrees. Of these full-time employees, 44 employees are engaged in research and development.</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consider our relationship with our employees to be good.</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plan participation, health, welfare and quality of life benefits, paid time off and personal leave, against our industry peers to ensure we remain competitive and attractive to potential new hires.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internet address is www.tyra.bio. Our investor relations website is located at https://tyrabio.investorroom.com. We make available free of charge on our investor relations website under “SEC Filings” our annual reports on Form 10-K, quarterly reports on Form 10-Q, current reports on Form 8-K, our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directors’ and officers’ Section 16 reports and any amendments to those reports as soon as reasonably practicable after filing or furnishing such materials to the SEC. They are also available for free on the SEC’s website at www.sec.gov.</w:t>
      </w:r>
    </w:p>
    <w:p>
      <w:pPr>
        <w:spacing w:after="0" w:line="162"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the other information contained in this Annual Report,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principal risks and uncertainties we face and then provide a full set of risk factors and discuss them in greater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Business</w:t>
      </w:r>
    </w:p>
    <w:p>
      <w:pPr>
        <w:spacing w:after="0" w:line="229" w:lineRule="exact"/>
        <w:rPr>
          <w:sz w:val="20"/>
          <w:szCs w:val="20"/>
          <w:color w:val="auto"/>
        </w:rPr>
      </w:pPr>
    </w:p>
    <w:p>
      <w:pPr>
        <w:jc w:val="both"/>
        <w:ind w:left="1140" w:right="420" w:hanging="383"/>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have a limited operating history, have not completed any clinical trials, and have no products approved for commercial sale, which may make it difficult for investors to evaluate our current business and likelihood of success and viability.</w:t>
      </w:r>
    </w:p>
    <w:p>
      <w:pPr>
        <w:spacing w:after="0" w:line="135"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in each period since our inception, and we expect to continue to incur significant net losses for the foreseeable future.</w:t>
      </w:r>
    </w:p>
    <w:p>
      <w:pPr>
        <w:spacing w:after="0" w:line="134"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our objectives relating to discovery, development and commercialization of our product candidates.</w:t>
      </w:r>
    </w:p>
    <w:p>
      <w:pPr>
        <w:spacing w:after="0" w:line="121" w:lineRule="exact"/>
        <w:rPr>
          <w:rFonts w:ascii="Times New Roman" w:cs="Times New Roman" w:eastAsia="Times New Roman" w:hAnsi="Times New Roman"/>
          <w:sz w:val="18"/>
          <w:szCs w:val="18"/>
          <w:color w:val="auto"/>
        </w:rPr>
      </w:pPr>
    </w:p>
    <w:p>
      <w:pPr>
        <w:ind w:left="1140" w:right="20" w:hanging="383"/>
        <w:spacing w:after="0" w:line="31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capital to achieve our goals, and a failure to obtain this necessary capital when needed on acceptable terms, or at all, could force us to delay, limit, reduce or terminate our development programs, commercialization efforts or other operations.</w:t>
      </w:r>
    </w:p>
    <w:p>
      <w:pPr>
        <w:spacing w:after="0" w:line="99" w:lineRule="exact"/>
        <w:rPr>
          <w:rFonts w:ascii="Times New Roman" w:cs="Times New Roman" w:eastAsia="Times New Roman" w:hAnsi="Times New Roman"/>
          <w:sz w:val="17"/>
          <w:szCs w:val="17"/>
          <w:color w:val="auto"/>
        </w:rPr>
      </w:pPr>
    </w:p>
    <w:p>
      <w:pPr>
        <w:ind w:left="1140" w:right="60" w:hanging="383"/>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with three product candidates in clinical development, and our other development programs in the preclinical or discovery stage. If we are unable to successfully develop, obtain marketing approval and ultimately commercialize product candidates, or experience significant delays in doing so, our business will be materially harmed.</w:t>
      </w:r>
    </w:p>
    <w:p>
      <w:pPr>
        <w:spacing w:after="0" w:line="148"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organization, we have never completed any clinical trials or submitted an application for marketing approval and may be unable to do so for any of our product candidates.</w:t>
      </w:r>
    </w:p>
    <w:p>
      <w:pPr>
        <w:spacing w:after="0" w:line="121" w:lineRule="exact"/>
        <w:rPr>
          <w:rFonts w:ascii="Times New Roman" w:cs="Times New Roman" w:eastAsia="Times New Roman" w:hAnsi="Times New Roman"/>
          <w:sz w:val="18"/>
          <w:szCs w:val="18"/>
          <w:color w:val="auto"/>
        </w:rPr>
      </w:pPr>
    </w:p>
    <w:p>
      <w:pPr>
        <w:jc w:val="both"/>
        <w:ind w:left="1140" w:right="360" w:hanging="383"/>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marketing approval on a timely basis, if at all.</w:t>
      </w:r>
    </w:p>
    <w:p>
      <w:pPr>
        <w:spacing w:after="0" w:line="135"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53" w:lineRule="exact"/>
        <w:rPr>
          <w:sz w:val="20"/>
          <w:szCs w:val="20"/>
          <w:color w:val="auto"/>
        </w:rPr>
      </w:pPr>
    </w:p>
    <w:p>
      <w:pPr>
        <w:ind w:left="1140" w:right="100" w:hanging="383"/>
        <w:spacing w:after="0" w:line="261"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52"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35" w:lineRule="exact"/>
        <w:rPr>
          <w:rFonts w:ascii="Times New Roman" w:cs="Times New Roman" w:eastAsia="Times New Roman" w:hAnsi="Times New Roman"/>
          <w:sz w:val="18"/>
          <w:szCs w:val="18"/>
          <w:color w:val="auto"/>
        </w:rPr>
      </w:pPr>
    </w:p>
    <w:p>
      <w:pPr>
        <w:ind w:left="1140" w:right="140" w:hanging="383"/>
        <w:spacing w:after="0" w:line="26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some of our preclinical studies.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35" w:lineRule="exact"/>
        <w:rPr>
          <w:rFonts w:ascii="Times New Roman" w:cs="Times New Roman" w:eastAsia="Times New Roman" w:hAnsi="Times New Roman"/>
          <w:sz w:val="18"/>
          <w:szCs w:val="18"/>
          <w:color w:val="auto"/>
        </w:rPr>
      </w:pPr>
    </w:p>
    <w:p>
      <w:pPr>
        <w:ind w:left="1140" w:right="540" w:hanging="383"/>
        <w:spacing w:after="0" w:line="26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48" w:lineRule="exact"/>
        <w:rPr>
          <w:rFonts w:ascii="Times New Roman" w:cs="Times New Roman" w:eastAsia="Times New Roman" w:hAnsi="Times New Roman"/>
          <w:sz w:val="18"/>
          <w:szCs w:val="18"/>
          <w:color w:val="auto"/>
        </w:rPr>
      </w:pPr>
    </w:p>
    <w:p>
      <w:pPr>
        <w:jc w:val="both"/>
        <w:ind w:left="1140" w:right="40" w:hanging="383"/>
        <w:spacing w:after="0" w:line="261"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39"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could be highly volatile, and purchasers of our common stock could incur substantial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have a limited operating history, have not completed any clinical trials, and have no products approved for commercial sale, which may make it difficult for investors to evaluate our current business and likelihood of success and viability.</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We are a biopharmaceutical company formed in 2018 with a limited operating history upon which you can evaluate our business and prospects. We have three product candidates in clinical development. Our other development programs are either in preclinical development or in the drug discovery stage. To date, we have focused primarily on organizing and staffing our company, business planning, raising capital, research and development activities including development of our proprietary SNÅP platform and identifying potential product candidates, establishing our intellectual property portfolio, conducting research and preclinical studies and clinical trials, and providing general and administrative support to these operations. Our approach to the discovery and development of product candidates based on our proprietary SNÅP platform is unproven, and we do not know whether we will be able to develop any product candidates that are successful in clinical development or products of commercial value.</w:t>
      </w:r>
    </w:p>
    <w:p>
      <w:pPr>
        <w:spacing w:after="0" w:line="19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As an organization, we have not yet completed any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we expect to continue to incur significant net losses for the foreseeable future.</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Our net losses were $86.5 million and $69.1 million for the years ended December 31, 2024 and 2023, respectively. As of December 31, 2024, we had an accumulated deficit of $251.3 million. Substantially all of our losses have resulted from expenses incurred in connection with our research and development programs and from general and administrative costs associated with our operations. TYRA-300, TYRA-200, TYRA-430 and any of our other product candidates will require substantial additional development time and resources before we are able to apply for, or receive, marketing approval and begin generating revenue from product sales. We expect to continue to incur losses for the foreseeable future, and we anticipate these losses will increase substantially as we continue our development of, and seek marketing approval for, and potentially commercialize any of our product candidates and as we seek to discover, develop and market additional potential product candidates.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our objectives relating to discovery, development and commercialization of our product candidates.</w:t>
      </w:r>
    </w:p>
    <w:p>
      <w:pPr>
        <w:spacing w:after="0" w:line="159"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To generate revenue and achieve profitability, we must succeed in developing and eventually commercializing product candidates that generate significant revenue. This will require us to be successful in a range of challenging activities, including identifying lead product candidates, completing preclinical studies and clinical trials of our product candidates, discovering additional product candidates, obtaining marketing approval for these product candidates and manufacturing, marketing and selling any products for which we may obtain marketing approval. We are only in the preliminary stages of many of these activities. We may never succeed in these activities and, even if we succeed in commercializing one or more of our product candidates, we may never generate revenues that are significant or large enough to achieve profitability. In addition, we have not yet demonstrated an ability to successfully overcome many of the risks and uncertainties frequently encountered by companies in new and rapidly evolving fields, particularly in the biopharmaceutical industry.</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Even if we obtain marketing approval for one or more of our product candidates and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or even continue our operations. A decline in the value of our company could also cause you to lose all or part of your investment.</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achieve our goals, and a failure to obtain this necessary capital when needed on acceptable terms, or at all, could force us to delay, limit, reduce or terminate our development programs, commercialization efforts or other operations.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We expect our expenses to increase in connection with our ongoing activities, particularly as we conduct our ongoing and planned clinical trials and preclinical studies for our product candidates and other development programs and seek marketing approval for our current product candidates and any future product candidates we may develop. If we obtain marketing approval for any of our product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product candidates. Furthermore, we expect to incur additional costs associated with operating as a public company. Accordingly, we will need to obtain substantial additional funding 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connection with our continuing operations. If we are unable to raise capital when needed or on attractive terms, we could be forced to delay, reduce or eliminate our research and development programs or any future commercialization efforts.</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cash equivalents and marketable securities will enable us to fund our operations through at least 2027.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liquidity or strategic considerations even if we believe we have sufficient funds for our current or future operating plans. For example, in October 2022, we entered into an ATM Sales Agreement (the Sales Agreement) with Virtu Americas LLC (the Agent), pursuant to which we may, from time to time, sell shares of our common stock having an aggregate offering price of up to $150 million in “at the market” offerings through or to the Agent, as sales agent or principal. However, there can be no assurance that the Agent will be successful in consummating future sales based on prevailing market conditions or in the quantities or at the prices that we deem appropriate. In addition, the Sales Agreement may be terminated by us or the Agent at any time upon specified notice to the other party, or by the Agent at any time in certain circumstances, including the occurrence of a material adverse change. Attempting to secure additional financing may divert our management from our day-to-day activities, which may adversely affect our ability to develop our product candidates.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w:t>
      </w:r>
    </w:p>
    <w:p>
      <w:pPr>
        <w:spacing w:after="0" w:line="185" w:lineRule="exact"/>
        <w:rPr>
          <w:sz w:val="20"/>
          <w:szCs w:val="20"/>
          <w:color w:val="auto"/>
        </w:rPr>
      </w:pPr>
    </w:p>
    <w:p>
      <w:pPr>
        <w:ind w:left="1140" w:right="22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discovery, preclinical studies and clinical trials of our product candidates which we are pursuing or may choose to pursue in the future;</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product candidates and commercial manufacturing if any product candidate is approved;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98"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compliance, and quality systems and hire additional personnel to satisfy our obligations as a public company, including enhanced internal controls over financial reporting;</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product candidate is approved for commercial sale;</w:t>
      </w:r>
    </w:p>
    <w:p>
      <w:pPr>
        <w:spacing w:after="0" w:line="198"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 including but not limited to clinical trial requirements for approval;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53"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Because we do not expect to generate commercial revenues, if any, from sales of products that we do not expect to be commercially available for many years, if at all, we will need to continue to rely on additional financing to achieve our business objectives. Adequate additional financing may not be available to us on acceptable terms, or at all, </w:t>
      </w:r>
      <w:r>
        <w:rPr>
          <w:rFonts w:ascii="Times New Roman" w:cs="Times New Roman" w:eastAsia="Times New Roman" w:hAnsi="Times New Roman"/>
          <w:sz w:val="18"/>
          <w:szCs w:val="18"/>
          <w:color w:val="231F20"/>
        </w:rPr>
        <w:t>including as a result of financial and credit market deterioration or instability, market-wide liquidity shortages,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geopolitical events or otherwise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w:t>
      </w:r>
      <w:r>
        <w:rPr>
          <w:rFonts w:ascii="Times New Roman" w:cs="Times New Roman" w:eastAsia="Times New Roman" w:hAnsi="Times New Roman"/>
          <w:sz w:val="18"/>
          <w:szCs w:val="18"/>
          <w:b w:val="1"/>
          <w:bCs w:val="1"/>
          <w:i w:val="1"/>
          <w:iCs w:val="1"/>
          <w:color w:val="231F20"/>
        </w:rPr>
        <w:t>portfolio of investments or bank deposits may be subject to market, interest and credit risk that may reduce their value and adversely affect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business, results of operations and financial condition.</w:t>
      </w:r>
    </w:p>
    <w:p>
      <w:pPr>
        <w:spacing w:after="0" w:line="15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value of our investments may decline due to increases in interest rates, downgrades of the bonds and other securities included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commercial money market account portfolio and instability in the global financial markets that reduces the liquidity of securities included in our portfolio. In addition, in the past, the closure of financial institutions and their placement into receivership with the Federal Deposit Insurance Corporation (FDIC) created bank-specific and broader financial institution liquidity risk and concerns. Future adverse developments with respect to specific financial institutions or the broader financial services industry may impair our ability to access capital needed to support near-term working capital needs, whether from our existing investment and deposit accounts and credit facilities or otherwise, and may lead to market-wide liquidity shortages and create additional market and economic uncertainty. Furthermore, possible recession and rising inflation concerns have adversely affected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the value of our investments may nevertheless decline, and our ability to fund our near-term and long-term working capital needs to support our business and clinical development plans may be adversely affected. In addition, any decline in available funding or access to our cash and liquidity resources could also result in breaches of our financial and/or contractual obligations or result in violations of federal or state wage and hour laws.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Marketing Approval of Our Product Candidates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with three product candidates in clinical development, and our other development programs in the preclinical or discovery stage. If we are unable to successfully develop, obtain marketing approval and ultimately commercialize product candidates, or experience significant delays in doing so, our business will be materially harmed.</w:t>
      </w:r>
    </w:p>
    <w:p>
      <w:pPr>
        <w:spacing w:after="0" w:line="17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in the early stages of our research and development efforts and all of our development programs are either in early clinical development or the preclinical or drug discovery stage. We have invested substantially all of our efforts to date in developing our proprietary SNÅP platform, developing TYRA-300, TYRA-200 and TYRA-430, identifying other potential product candidates and conducting preclinical studies. We are relatively early in our clinical trials of our product candidates and will need to progress our other development programs through additional preclinical studies to enable us to submit INDs with the FDA and receive allowance from the FDA to proceed with initiating their clinical development. Our ability to generate product revenues, which we do not expect will occur for many years, if ever, will depend on the successful development and eventual commercialization of our product candidates. The success of our product candidates will depend on several factors, including the following:</w:t>
      </w:r>
    </w:p>
    <w:p>
      <w:pPr>
        <w:spacing w:after="0" w:line="148" w:lineRule="exact"/>
        <w:rPr>
          <w:sz w:val="20"/>
          <w:szCs w:val="20"/>
          <w:color w:val="auto"/>
        </w:rPr>
      </w:pPr>
    </w:p>
    <w:p>
      <w:pPr>
        <w:ind w:left="1140" w:right="2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with favorable results, including those compliant with Good Laboratory Practice (GLP) such as toxicology studies, biodistribution studies and minimum effective dose studies in animals;</w:t>
      </w:r>
    </w:p>
    <w:p>
      <w:pPr>
        <w:spacing w:after="0" w:line="134"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of INDs or of similar regulatory submissions by comparable foreign regulatory authorities for the conduct of clinical trials of our product candidates and our proposed design of future clinical trials;</w:t>
      </w:r>
    </w:p>
    <w:p>
      <w:pPr>
        <w:spacing w:after="0" w:line="121"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identification of appropriate patients eligible to enroll, and enrollment of such patients, in clinical trials and completion of clinical trials with favorable results;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identification of new product candidates utilizing our SNÅP platform;</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our third-party manufacturers for, or establishing, commercial manufacturing capabilities;</w:t>
      </w:r>
    </w:p>
    <w:p>
      <w:pPr>
        <w:spacing w:after="0" w:line="184" w:lineRule="exact"/>
        <w:rPr>
          <w:rFonts w:ascii="Times New Roman" w:cs="Times New Roman" w:eastAsia="Times New Roman" w:hAnsi="Times New Roman"/>
          <w:sz w:val="18"/>
          <w:szCs w:val="18"/>
          <w:color w:val="auto"/>
        </w:rPr>
      </w:pPr>
    </w:p>
    <w:p>
      <w:pPr>
        <w:ind w:left="1140" w:right="6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new drug applications (NDAs), from the FDA and maintaining such approvals;</w:t>
      </w:r>
    </w:p>
    <w:p>
      <w:pPr>
        <w:spacing w:after="0" w:line="134"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or regulatory exclusivity for our product candidates;</w:t>
      </w:r>
    </w:p>
    <w:p>
      <w:pPr>
        <w:spacing w:after="0" w:line="184"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marketing approval, including acceptable results from any post-approval studies or clinical trials agreed to by us or required by the FDA; and</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commercialize our product candidates.</w:t>
      </w:r>
    </w:p>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FDA or comparable foreign regulatory authorities can refuse to accept INDs or similar regulatory submissions for many reasons, including negative or ambiguous results from our preclinical studies or disagreement with our interpretation of data from preclinical studies. If we are unable to develop, obtain marketing approval for,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approved, successfully commercialize our product candidates, we may not be able to generate sufficient revenue to continue our business.</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completed any clinical trials or submitted an application for marketing approval and may be unable to do so for any of our product candidates.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are early in our development efforts for our product candidates and we will need to successfully complete our ongoing and planned clinical trials and later-stage and pivotal clinical trials, in order to obtain marketing authorization from the FDA or comparable foreign regulatory authorities to market TYRA-300, TYRA-200, TYRA-430, as well as complete IND-enabling studies for our development programs in the preclinical or discovery stage. Carrying out clinical trials and the submission of a successful NDA is a complicated process. As an organization, while we have commenced clinical trials for certain of our product candidates, we have not previously completed any clinical trials, have limited experience as a company in preparing and submitting marketing applications and have not previously submitted an NDA or other comparable foreign regulatory submission for any product candidate. In addition, we have had limited interactions with the FDA and cannot be certain how many clinical trials of TYRA-300, TYRA-200, TYRA-430 or any other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ongoing or planned clinical trials, could prevent us from, or delay us in submitting NDAs for, and commercializing our product candidates.</w:t>
      </w:r>
    </w:p>
    <w:p>
      <w:pPr>
        <w:spacing w:after="0" w:line="186"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marketing approval on a timely basis, if at all.</w:t>
      </w:r>
    </w:p>
    <w:p>
      <w:pPr>
        <w:spacing w:after="0" w:line="17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delay or failure can occur at any time during the preclinical study or clinical trial process, including due to factors that are beyond our control. Further, we may not be able to meet expected timeframes for data readouts. Despite promising preclinical or clinical results, any biopharmaceutical company’s product candidate can unexpectedly fail at any stage of preclinical or clinical development, and regulators, such as the FDA or comparable foreign regulatory authorities, may not accept the results as demonstrating the product candidate’s safety and efficacy. The historical failure rate for product candidates in our industry is high.</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a product candidate may not predict the results of later clinical trials of the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we have conducted certain preclinical studies of our product candidates , we do not know whether our current product candidates or other potential product candidates will perform in current or future clinical trials as they have performed in these prior studies. The positive results we have observed for our product candidates in preclinical animal models may not be predictive of our current or future clinical trials in humans. In addition, while we reported interim results from our ongoing SURF301 trial, they are not necessarily indicative of final results or results from future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in our ongoing or planned trials, or in IND-enabling studies for any of our other product candidates, such results could delay and possibly prevent or limit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for our product candidates.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spacing w:after="0" w:line="19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For the foregoing reasons, we cannot be certain that our ongoing and planned preclinical studies and clinical trials will be successful. In addition, any safety concerns observed in any one of our clinical trials in our targeted indications could impair the development, marketing approval or commercial prospects of our product candidates in those and other indications, such as TYRA-300 for oncology and achondroplasia, which could have a material adverse effect on our business, financial condition and results of operations.</w:t>
      </w:r>
    </w:p>
    <w:p>
      <w:pPr>
        <w:spacing w:after="0" w:line="18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(CROs), may impact our developments plans.</w:t>
      </w:r>
    </w:p>
    <w:p>
      <w:pPr>
        <w:spacing w:after="0" w:line="18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oncology, our discovery and preclinical development activities are focused on the development of targeted therapeutics for patients with genomically defined cancers, which is a rapidly evolving area of science, and the approach we are taking to discover and develop drugs based on our SNÅP platform is novel and unproven and may never lead to approved products of commercial value.</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discovery and development of targeted therapeutics for patients with genomically defined cancers is an emerging field, and the scientific discoveries that form the basis for our efforts to discover and develop product candidates are relatively new. Although we believe, based on our preclinical work in oncology, that the genomic alterations targeted by our programs are oncogenic drivers, clinical results may not confirm this hypothesis or may only confirm it for certain alterations or certain tumor types. In addition, even if our approach is successful in showing clinical benefit for acquired resistance mutation-driven cancers for our TYRA-300, TYRA-200, 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TYRA-430 product candidates, we may never successfully identify additional oncogenic alterations for other receptor tyrosine kinases using our SNÅP platform, or succeed in identifying additional product candidates to address such alterations. Any product candidates we do discover and advance based on scientific approach may be later shown to have harmful side effects or may have other characteristics that may necessitate additional clinical testing, or make the product candidates unmarketable or unlikely to receive marketing approval. Therefore, we do not know if our approach of discovering and developing product candidates to treat patients with genomically defined cancers will be successful, and if our approach is unsuccessful, we may be forced to abandon our development efforts for a program or programs, which would have a material adverse effect on our business and could potentially cause us to cease operation.</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termination or suspension, of our clinical trials could result in increased costs to us, delay or limit our ability to generate revenue and adversely affect our commercial prospects.</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Before we can initiate clinical trials for our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filing required for regulatory allowance before proceeding with clinical development. The FDA or comparable foreign regulatory authorities may require us to conduct additional preclinical studies for any product candidate before it allows us to initiate clinical trials under any IND or similar regulatory filing, which may lead to delays and increase the costs of our preclinical development programs. Moreover, even if these trials begin, issues may arise that could cause regulatory authorities to suspend or terminate such clinical trials. Any such delays in the commencement or completion of our ongoing or planned clinical trials for TYRA-300, TYRA-200, TYRA-430 or any other product candidate, could significantly affect our product development timelines and development costs.</w:t>
      </w:r>
    </w:p>
    <w:p>
      <w:pPr>
        <w:spacing w:after="0" w:line="19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trials will begin on time or be completed on schedule, if at all. The commencement, data readouts and completion of clinical trials can be delayed for a number of reasons, including delays related to:</w:t>
      </w:r>
    </w:p>
    <w:p>
      <w:pPr>
        <w:spacing w:after="0" w:line="119" w:lineRule="exact"/>
        <w:rPr>
          <w:sz w:val="20"/>
          <w:szCs w:val="20"/>
          <w:color w:val="auto"/>
        </w:rPr>
      </w:pPr>
    </w:p>
    <w:p>
      <w:pPr>
        <w:ind w:left="1140" w:right="280" w:hanging="383"/>
        <w:spacing w:after="0" w:line="284"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in vitro data to support the initiation or continuation of clinical trials;</w:t>
      </w:r>
    </w:p>
    <w:p>
      <w:pPr>
        <w:spacing w:after="0" w:line="13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 or authorization to commence a trial or reaching a consensus with regulatory authorities on trial design;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84"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34"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reach an agreement with diagnostic companies for the development and use of liquid biopsy companion diagnostic tests in our clinical trials;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(IRBs) (or ethics committees);</w:t>
      </w:r>
    </w:p>
    <w:p>
      <w:pPr>
        <w:spacing w:after="0" w:line="184"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(or ethics committees) refusing to approve, suspending or terminating the trial at an investigational site, precluding enrollment of additional patients, or withdrawing their approval of the trial;</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4" w:name="page45"/>
    <w:bookmarkEnd w:id="44"/>
    <w:p>
      <w:pPr>
        <w:spacing w:after="0" w:line="153"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sufficient appropriately qualified investigators and other professionals to conduct the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candidates for use in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enroll or remain in our trials at the rate we expect, or failing to return for post-treatment follow-up;</w:t>
      </w:r>
    </w:p>
    <w:p>
      <w:pPr>
        <w:spacing w:after="0" w:line="198" w:lineRule="exact"/>
        <w:rPr>
          <w:rFonts w:ascii="Times New Roman" w:cs="Times New Roman" w:eastAsia="Times New Roman" w:hAnsi="Times New Roman"/>
          <w:sz w:val="18"/>
          <w:szCs w:val="18"/>
          <w:color w:val="auto"/>
        </w:rPr>
      </w:pPr>
    </w:p>
    <w:p>
      <w:pPr>
        <w:ind w:left="1140" w:right="72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alternative treatments for the indications for which we are developing our product candidates, or participating in competing clinical trials;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experiencing severe or unexpected drug-related adverse effects;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clinical trials of the same class of agents conducted by other companies;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84" w:lineRule="exact"/>
        <w:rPr>
          <w:rFonts w:ascii="Times New Roman" w:cs="Times New Roman" w:eastAsia="Times New Roman" w:hAnsi="Times New Roman"/>
          <w:sz w:val="18"/>
          <w:szCs w:val="18"/>
          <w:color w:val="auto"/>
        </w:rPr>
      </w:pPr>
    </w:p>
    <w:p>
      <w:pPr>
        <w:ind w:left="1140" w:right="140" w:hanging="383"/>
        <w:spacing w:after="0" w:line="261"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suspending or limiting manufacturing due to violations of cGMP, or other applicable requirements, including infections or cross-contaminations of product candidates in the manufacturing process, or the facility being subject to other enforcement by the FDA or comparable foreign regulatory authorities that result in temporary or permanent manufacturing shut downs or product supply limitations;</w:t>
      </w:r>
    </w:p>
    <w:p>
      <w:pPr>
        <w:spacing w:after="0" w:line="1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or being suspended or disqualified by the FDA or comparable foreign regulatory authorities, not performing our clinical trials on our anticipated schedule or consistent with the clinical trial protocol, GCPs, or other regulatory requirements;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198"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our trials are being conducted, by a Data Safety Monitoring Board for our trial or by the FDA or comparable foreign regulatory authorities. These authorities may impose such a suspension or termination due to a number of factors, including failure to conduct the clinical trial in accordance with regulatory requirements or our clinical protocols and to make the appropriate required records, inspection of the clinical trial operations or trial site by the FDA or comparable foreign regulatory authorities resulting in the imposition of a clinical hold, unforeseen safety issues or adverse side effects, failure to demonstrate a benefit from using a clinical trial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94"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investigators or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w:t>
      </w:r>
    </w:p>
    <w:p>
      <w:pPr>
        <w:spacing w:after="0" w:line="180" w:lineRule="exact"/>
        <w:rPr>
          <w:sz w:val="20"/>
          <w:szCs w:val="20"/>
          <w:color w:val="auto"/>
        </w:rPr>
      </w:pPr>
    </w:p>
    <w:p>
      <w:pPr>
        <w:jc w:val="both"/>
        <w:ind w:right="380" w:firstLine="749"/>
        <w:spacing w:after="0" w:line="261"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SNÅP platform is innovative and unproven, and we do not know whether we will be able to develop any product candidates that are successful in clinical development or products of commercial value.</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products based on our proprietary SNÅP platform, which is designed to efficiently identify and selectively target vulnerabilities in the mutant proteins that commonly eliminate or reduce the effectiveness of standard-of-care therapies. We have not yet succeeded and may not succeed in demonstrating efficacy and safety for any product candidates in clinical trials or in obtaining marketing approval thereafter. Our product candidates are in the early stages of development and we have not yet completed any clinical trials for any product candidate. Our SNÅP platform utilizes the rapid generation of precise molecular SNÅPshots to continually gain deeper insights into the structure of inhibitor binding sites and how commonly occurring resistance mutations lead to acquired drug resistance to existing therapies, which we believe aids in the prediction of amino acid residues most likely to cause resistance to specific existing therapies. This innovative process may never be successful in identifying additional product candidates with innovative structures that are able to inhibit the target while avoiding those specific residues. Further, because all of our product candidates and discovery programs are based on our SNÅP platform, adverse developments with respect to one of our programs may have a significant adverse impact on the actual or perceived likelihood of success and value of our other development programs.</w:t>
      </w:r>
    </w:p>
    <w:p>
      <w:pPr>
        <w:spacing w:after="0" w:line="19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the biotechnology and biopharmaceutical industries are characterized by rapidly advancing technologies. Our future success will depend in part on our ability to maintain a competitive position with our innovative approach to compound identification. If we fail to stay at the forefront of technological innovation in utilizing our SNÅP platform, we may be unable to compete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We may not be able to complete clinical trials for our product candidates if we are unable to identify and enroll a sufficient number of eligible patients to participate in these trials as required by the FDA or comparable foreign regulatory authorities. Patient enrollment for our clinical trials may be affected by many factors, including:</w:t>
      </w:r>
    </w:p>
    <w:p>
      <w:pPr>
        <w:spacing w:after="0" w:line="135"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condition under evaluation;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53"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not complete a clinical trial;</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 and</w:t>
      </w:r>
    </w:p>
    <w:p>
      <w:pPr>
        <w:spacing w:after="0" w:line="198"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w:t>
      </w:r>
    </w:p>
    <w:p>
      <w:pPr>
        <w:spacing w:after="0" w:line="17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will be required to identify and enroll a sufficient number of patients for each of our clinical trials.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We may not be able to initiate or continue clinical trials if we are unable to locate a sufficient number of eligible patients to participate in the clinical trials required by the FDA or comparable foreign regulatory authorities. In addition, the process of finding and diagnosing patients may prove costly.</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or the availability of other therapies, or we otherwise have difficulty enrolling a sufficient number of patients, the timeline for recruiting patients, conducting clinical trials and obtaining marketing approval of our product candidates may be delayed. Additionally, because our initial clinical trials will be in patients with relapsed/refractory cancer, these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patients for any of our clinical trials would result in significant delays or may require us to abandon one or more clinical trials altogether. In addition, we expect to rely on CROs and clinical trial sites to ensure proper and timely conduct of our clinical trials and, while we intend to enter into agreements governing their services, we will have limited influence over their actual performance.</w:t>
      </w:r>
    </w:p>
    <w:p>
      <w:pPr>
        <w:spacing w:after="0" w:line="194"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7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have not completed the evaluation of any of our product candidates in human clinical trials. It is impossible to predict when or if any product candidates we may develop will prove safe in humans. As is the case with biopharmaceuticals generally, and treatments for cancer and rare diseases in particular, it is likely that there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may be side effects and adverse events associated with the use of our product candidates.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marketing approval by the FDA or comparable foreign regulatory authorities. If adverse events or other side effects are observed in any of our clinical trials, we may have difficulty recruiting patients to our clinical trials, patients may drop out of our trials, or we may be required to abandon the trials or our development efforts of one or more product candidates altogether. Any of these occurrences may harm our business, financial condition and prospects significantly.</w:t>
      </w:r>
    </w:p>
    <w:p>
      <w:pPr>
        <w:spacing w:after="0" w:line="18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Any such undesirable side effects observed in one of our clinical trials in our targeted indications could impair the development, marketing approval or commercial prospects of our product candidates in those and other indications. We, the FDA or other applicable regulatory authorities, or an IRB, may suspend or terminate future clinical trials of a product candidate at any time for various reasons, including a belief that subjects in such trials are being exposed to unacceptable health risks or adverse side effects.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8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these product candidates becomes more widespread if they receive marketing approval, illnesses, injuries, discomforts and other adverse events that were observed in earlier trials, as well as conditions that did not occur or went undetected in previous trials, may be reported by patients. If such side effects become known later in development or upon approval, if any, such findings may harm our business, financial condition and prospects significantly.</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Patients treated with our products, if approved, may experience previously unreported adverse reactions, and it is possible that the FDA or comparable foreign regulatory authorities may ask for additional safety data as a condition of, or in connection with, our efforts to obtain approval of our product candidates. Even if the side effects do not preclude the product candidate from obtaining or maintaining marketing approval, undesirable side effects may inhibit market acceptance of the approved product due to its tolerability versus other therapies. If safety problems occur or are identified after our products, if any, are available for commercial sale and use, we may make the decision, or be required by regulatory authorities, to amend the labeling of our product candidates, recall our product candidates or even withdraw approval for an approved product.</w:t>
      </w:r>
    </w:p>
    <w:p>
      <w:pPr>
        <w:spacing w:after="0" w:line="18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121" w:lineRule="exact"/>
        <w:rPr>
          <w:sz w:val="20"/>
          <w:szCs w:val="20"/>
          <w:color w:val="auto"/>
        </w:rPr>
      </w:pPr>
    </w:p>
    <w:p>
      <w:pPr>
        <w:ind w:left="1140" w:right="82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ind w:left="1140" w:right="34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134"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conduct additional clinical trials or change the labeling of a product or be required to conduct additional post-marketing studies or surveillance;</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 and our reputation may suffer.</w:t>
      </w:r>
    </w:p>
    <w:p>
      <w:pPr>
        <w:spacing w:after="0" w:line="225"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In the United States, we are not permitted to market our product candidates until we receive marketing approval from the FDA. The process of obtaining marketing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marketing approval is never guaranteed. Neither we, nor any future collaborator, is permitted to market any of our product candidates in the United States until we receive marketing approval from the FDA.</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98"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any of our potential future collaborators’ clinical trials;</w:t>
      </w:r>
    </w:p>
    <w:p>
      <w:pPr>
        <w:spacing w:after="0" w:line="184"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authorities for marketing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3" w:lineRule="exact"/>
        <w:rPr>
          <w:sz w:val="20"/>
          <w:szCs w:val="20"/>
          <w:color w:val="auto"/>
        </w:rPr>
      </w:pPr>
    </w:p>
    <w:p>
      <w:pPr>
        <w:ind w:left="1140" w:right="44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134"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2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potential future collaborators may be unable to demonstrate that a product candidate is safe and effective, and that product candidate’s clinical and other benefits outweigh its safety risks;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an NDA or other submission or to obtain marketing approval in the United States or elsewhere, and such authorities may impose requirements for additional preclinical studies or clinical trials;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84"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require additional information, data, qualification, or validation of our manufacturing and testing processes as part of the chemistry, manufacturing, and controls information we submit as part of our application;</w:t>
      </w:r>
    </w:p>
    <w:p>
      <w:pPr>
        <w:spacing w:after="0" w:line="134" w:lineRule="exact"/>
        <w:rPr>
          <w:rFonts w:ascii="Times New Roman" w:cs="Times New Roman" w:eastAsia="Times New Roman" w:hAnsi="Times New Roman"/>
          <w:sz w:val="18"/>
          <w:szCs w:val="18"/>
          <w:color w:val="auto"/>
        </w:rPr>
      </w:pPr>
    </w:p>
    <w:p>
      <w:pPr>
        <w:ind w:left="1140" w:right="56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12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121"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such authorities may significantly change in a manner rendering our or any of our potential future collaborators’ clinical data insufficient for approval; or</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Any delays in the marketing approval of our product candidates may negatively impact our ability to successfully position the product candidate in the market or the product candidate may face additional competition from other products.</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With respect to foreign markets, marketing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or comparable foreign regulatory authorities in reviewing new drugs based on safety, efficacy or other regulatory considerations and may result in significant delays in obtaining marketing approvals. Any delay in obtaining, or inability to obtain, applicable marketing approvals would prevent us or any of our potential future collaborators from commercializing our product candidates.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diagnostics for biomarkers that enable patient selection, or experience significant delays in doing so, we may not be able to commercialize the product candidate and our ability to generate revenue will be materially impaired.</w:t>
      </w:r>
    </w:p>
    <w:p>
      <w:pPr>
        <w:spacing w:after="0" w:line="15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 key component of our strategy includes the use of companion diagnostics to guide patient selection of our product candidates. We do not have the ability to develop such tests on our own, and so we plan to rely on third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parties for the design, development and manufacture of companion diagnostic tests for any of our product candidates that may require such tests. If we enter into such collaborative agreements, we will be dependent on the sustained cooperation and effort of our future collaborators in developing and obtaining approval, certification or clearance for these companion diagnostics. To be successful in developing and commercializing product candidates in combination with these companion diagnostics, we and our future collaborators will need to address a number of scientific, technical, regulatory and logistical challenges.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generally required premarketing approval for companion diagnostic tests for use with cancer therapies. Various foreign regulatory authorities also regulate in vitro companion diagnostics as medical devices and, under those regulatory frameworks, will likely require the conduct of clinical trials to demonstrate the safety and effectiveness of these companion diagnostics, which we expect will require separate regulatory clearance or approval prior to commercialization.</w:t>
      </w:r>
    </w:p>
    <w:p>
      <w:pPr>
        <w:spacing w:after="0" w:line="18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approval, certification or clearance of a companion diagnostic as part of the therapeutic product’s labeling limits the use of the therapeutic product to only those patients who express certain biomarkers or the specific genomic alteration that the companion diagnostic was developed to detect. If the FDA or comparable foreign regulatory authorities require approval or clearance of a companion diagnostic for any of our product candidates, whether before or concurrently with marketing approval of the product candidate, we and/or our collaborators, may encounter difficulties in developing and obtaining approval, certification or clearance for these companion diagnostics. Any delay or failure by us or potential future collaborators to develop or obtain regulatory approval or clearance of a companion diagnostic could delay or prevent approval, certification or continued marketing of our related product candidates.</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Indeed, approval, certification or clearance of companion diagnostics may be subject to further legislative or regulatory reforms notably in the EU. On May 25, 2017, the new In Vitro Medical Devices Regulation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applicable on May 26, 2022. Following subsequent legislative changes, European institutions adopted a “progressive” roll-out of the IVDR to prevent disruption in the supply of in vitro diagnostic medical devices. Therefore, the IVDR applies since May 26, 2022, but there is a tiered system extending the grace period for many devices (depending on their risk classification) before they have to be fully compliant with the regulation.</w:t>
      </w:r>
    </w:p>
    <w:p>
      <w:pPr>
        <w:spacing w:after="0" w:line="194"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is subject to further requirements since the IVDR became applicable as it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European Medicine Agency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national competent authorities or the EMA. These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modifications may make it more difficult and costly for us to obtain regulatory clearances, approvals or certification for our companion diagnostics or to manufacture, market or distribute our products after clearance, approval or certification is obtained.</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in January 2024, the FDA announced its intention to initiate the process to reclassify most in vitro diagnostic tests (IVDs) that are currently Class III into Class II, including companion diagnostic IVDs. If such reclassification efforts occur, any companion diagnostics that are the subject of the down- classification may no longer require premarket approval, but rather may be marketed pursuant to the generally less burdensome 510(k) clearance process. However, there is no assurance that any companion diagnostic required for our pharmaceutical development programs will benefit from any reclassification, or that such reclassification, even if it does occur, will result in a shorter timeline to development or marketing of the companion diagnostic.</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may also be required to conduct additional studies to support a broader claim. Also, to the extent other approved diagnostics are able to broaden their labeling claims to include our approved drug products, we may be forced to abandon any partnered companion diagnostic development plans we undertake or we may not be able to compete effectively upon marketing approval, which could adversely impact our ability to generate revenue from the sale of our approved products and our business operations.</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certification or clearance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development programs and specific indications. As a result, we may forgo or delay pursuit of opportunities with other product candidates that could have had greater commercial potential. Our resource allocation decisions may cause us to fail to capitalize on viable potential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any of our product candidates, and we may be unable to maintain the benefits associated with orphan drug designation, including the potential for market exclusivity.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or biologics for relatively small patient populations as orphan drugs.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EU, the European Commission grants orphan designation after receiving the opinion of the EMA’s Committee for Orphan Medicinal Products. In the EU,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9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have received orphan drug designation from the FDA for TYRA-300 for the treatment of ACH, and we may seek additional orphan drug designations in the United States and/or the EU for TYRA-300 and our other product candidates in qualified patient populations. There can be no assurance that the FDA or European Commission will grant orphan designation for any indication for which we apply, or that we will be able to maintain such designation.</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to market the same product for the same disease or condition for seven years, except in limited circumstances, such as a showing of clinical superiority to the product with orphan drug exclusivity or where the manufacturer is unable to assure sufficient product quantity. 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The European exclusivity period can be reduced to six years, if, at the end of the fifth year a drug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19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drugs can be approved for the same disease or condition. Even after an orphan drug is approved, the FDA or comparable foreign regulatory authorities can subsequently approve the same drug for the same disease or condition if such regulatory authority concludes that the later drug is clinically superior because it is shown to be safer, more effective or makes a major contribution to patient care. Orphan drug exclusivity may also be lost if the FDA later determines that the initial request for designation was materially defective. In addition, orphan drug exclusivity does not prevent the FDA from approving competing drugs for the same or similar disease or condition containing a different active ingredient. In addition, if a subsequent drug 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approved for marketing for the same or a similar disease or condition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17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develop our product candidates, 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A Breakthrough Therapy is defined as a drug or biologic that is intended, alone or in combination with one or more other drugs or biologics,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An NDA for a Breakthrough Therapy-designated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or life-threatening condition and clinical or preclinical data demonstrate the potential to address unmet medical needs for this condition, the sponsor may apply for Fast Track Designation. The sponsor of a Fast Track product candidate has opportunities for more frequent interactions with the applicable FDA review team during product development and an NDA for a Fast Track product candidate may also be eligible for rolling review.</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for either of these designations, the FDA may later decide that the product candidate no longer meet the conditions for qualification.</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obtained a rare pediatric disease designation for TYRA-300 for the treatment of ACH, however, there is no guarantee that any FDA approval of TYRA-300 will result in issuance of a priority review voucher.</w:t>
      </w:r>
    </w:p>
    <w:p>
      <w:pPr>
        <w:spacing w:after="0" w:line="15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(RPD) that meets certain criteria may qualify for a voucher that can be redeemed to receive a priority review of a subsequent marketing application for a different product. The sponsor of a RPD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RPD drug for which the voucher was awarded is not marketed in the U.S. within one year following the date of approval.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We have obtained a RPD designation for TYRA-300 for the treatment of ACH, however, there is no guarantee that we will be able to obtain a priority review voucher, even if TYRA-300 is approved by the FDA for use in ACH patients. For example, the FDA may determine that an NDA, even if ultimately approved, does not meet the eligibility criteria for a priority review voucher, including for the following reasons:</w:t>
      </w:r>
    </w:p>
    <w:p>
      <w:pPr>
        <w:spacing w:after="0" w:line="176"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no longer meets the definition of a RPD;</w:t>
      </w:r>
    </w:p>
    <w:p>
      <w:pPr>
        <w:spacing w:after="0" w:line="225"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contains an active ingredient (including any ester or salt of the active ingredient) that has been previously approved in another marketing application;</w:t>
      </w:r>
    </w:p>
    <w:p>
      <w:pPr>
        <w:spacing w:after="0" w:line="161"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does not rely on clinical data derived from studies examining a pediatric population and dosages of the drug intended for that population; or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approved for a different adult indication than the RPD for which the product is designated</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Moreover, Congress included a sunset provision in the statute authorizing the RPD priority review voucher program. Under the current statutory sunset provisions, after September 30, 2024, the FDA may only award a voucher for an approved RPD product application if the sponsor has RPD designation for the product candidate, and that designation was granted by December 20, 2024. After September 30, 2026, FDA may not award any RPD priority review vouchers.</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continue to conduct, clinical trials for certain of our product candidates outside of the United States. However, the FDA and other foreign equivalents may not accept data from such trials, in which case our development plans will be delayed, which could materially harm our business.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have conducted, and may continue to conduct, one or more of our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 as the sole basis for marketing approval in the United States, the FDA will not approve the application on the basis of foreign data alone unless those data are applicable to the U.S. population and U.S.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review the clinical protocols for the trials, and therefore there is an additional potential risk that the FDA could determine that the trial design or protocol for a non-U.S. clinical trial was inadequate, which could require us to conduct additional clinical trials.</w:t>
      </w:r>
    </w:p>
    <w:p>
      <w:pPr>
        <w:spacing w:after="0" w:line="192"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In addition, such foreign trials would be subject to the applicable local laws of the foreign regulatory and legal requirements where the trials are conducted.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preclinical studies and clinical trials that we may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preclinical studies and clinical trials, such as the interim data we reported regarding the SURF301 trial in October 2024. These interim updates are based on a preliminary analysis of then-available data, and the results and related findings and conclusions are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87"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late, final or actual results, or if others, including regulatory authorities, disagree with the conclusions reached, our ability to obtain approval for, and commercialize, any of our product candidates may be harmed, which could harm our business, financial condition, results of operations and prospects.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9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 In December 2024, the FDA further issued draft guidance for industry regarding the accelerated approval of drugs and biologics, which among other things, set forth the FDA’s current expectations for accelerated approval endpoints and confirmatory trials as well as the process for withdrawing accelerated approval. The FDA may continue to develop guidance or otherwise change its policies with respect to the accelerated approval pathway that may make it more difficult to seek accelerated approval of any of our product candidates.</w:t>
      </w:r>
    </w:p>
    <w:p>
      <w:pPr>
        <w:spacing w:after="0" w:line="19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ability of the FDA and comparable foreign regulatory activities to review and approve new products can be affected by a variety of factors, including government budget and funding levels, statutory, regulatory and policy changes, the FDA’s and comparable foreign regulatory activities’ ability to hire and retain key personnel and accept the payment of user fees, and other events that may otherwise affect the FDA’s and comparable foreign regulatory activities’ ability to perform routine functions. Average review times at the FDA and comparable foreign regulatory activities have fluctuated in recent years as a result. In addition, government funding of other government agencies that fund research and development activities is subject to the political process, which is inherently fluid and unpredictable. Disruptions at the FDA and comparable foreign regulatory activities may also slow the time necessary for new drugs and biologics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w:t>
      </w:r>
    </w:p>
    <w:p>
      <w:pPr>
        <w:spacing w:after="0" w:line="188"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94"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Similarly, in the future we may introduce an alternative formulation of one or more of our product candidates during the course of our ongoing or planned clinical trials. Such changes carry the risk that they will not achieve these intended objectives. Any of these changes could cause our product candidates to perform differently and affect the results of ongoing, planned or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product candidates and jeopardize our ability to commercialize our product candidates, if approved, and generate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plan to rely, and expect to continue to rely, on third parties for the manufacture of our product candidates and related raw materials for preclinical and clinical development, as well as for commercial manufacture if any of our product candidates receive marketing approval. The facilities used by third-party manufacturers to manufacture our product candidates must be approved by the FDA or comparable foreign regulatory authorities for the manufacture of our product candidates pursuant to inspections that will be conducted after we submit an NDA to the FDA or any comparable filing to a foreign regulatory authority. We do not control the manufacturing process of, and are completely dependent on, third-party manufacturers for compliance with cGMP or similar foreign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marketing approval for their manufacturing facilities. In addition, we have no control over the ability of third-party manufacturers to maintain adequate quality control, quality assurance, qualified personnel, and accurate and complete recordkeeping. If the FDA or comparable foreign regulatory authorities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or the third-party manufacturers,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and in compliance with cGMP or similar foreign requirements (where applicable) could adversely affect our business in a number of ways, including:</w:t>
      </w:r>
    </w:p>
    <w:p>
      <w:pPr>
        <w:spacing w:after="0" w:line="121"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clinical trials of our product candidates under development;</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our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 and</w:t>
      </w:r>
    </w:p>
    <w:p>
      <w:pPr>
        <w:spacing w:after="0" w:line="198"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candidates or any other future product candidates.</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do not have any long-term commitments or supply agreements with our third party manufacturers. We may be unable to establish any agreements with third-party manufacturers or to do so on acceptable terms, which increases the risk of timely obtaining sufficient quantities of our product candidates or such quantifies at an acceptable cost. Even if we are able to establish agreements with third-party manufacturers, reliance on third-party manufacturers entails additional risks, including:</w:t>
      </w:r>
    </w:p>
    <w:p>
      <w:pPr>
        <w:spacing w:after="0" w:line="139"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and any products that receive marketing approval may compete with the product candidates and products of other companies for access to manufacturing facilities. There are a limited number of manufacturers that operate under cGMP and similar foreign regulations and that might be capable of manufacturing for us. This could lead to a delay in the manufacture of our product candidates or any products that receive marketing approval, and negatively impact the supply of such product candidates or products for clinical trials or commercialization.</w:t>
      </w:r>
    </w:p>
    <w:p>
      <w:pPr>
        <w:spacing w:after="0" w:line="18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176"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addition, we currently and may in the future rely on contract manufacturers in China. Such foreign contract manufacturers may be subject to U.S. legislation, sanctions, tariffs,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The BIOSECURE Act was passed by the House of Representatives in September 2024. If these bills or similar laws become law, they could have the potential to restrict the ability of U.S. biopharmaceutical companies like us to purchase services or products from certain Chinese biotechnology companies of concern without losing the ability to contract with, or otherwise receive funding from, the U.S. government.</w:t>
      </w:r>
    </w:p>
    <w:p>
      <w:pPr>
        <w:spacing w:after="0" w:line="192"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In addition, changes by the U.S. and foreign governments in trade policies including the imposition of higher tariffs on imports into the United States and other governmental regulations affecting trade between the United States and other countries where we, our contract manufacturers and/or our CROs conduct business, and any retaliatory actions by other governments, could increase costs, impact the supply of materials and adversely impact our business, financial condition and results of operations.</w:t>
      </w:r>
    </w:p>
    <w:p>
      <w:pPr>
        <w:spacing w:after="0" w:line="180" w:lineRule="exact"/>
        <w:rPr>
          <w:sz w:val="20"/>
          <w:szCs w:val="20"/>
          <w:color w:val="auto"/>
        </w:rPr>
      </w:pPr>
    </w:p>
    <w:p>
      <w:pPr>
        <w:jc w:val="both"/>
        <w:ind w:right="220" w:firstLine="74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confidential information, which increases the possibility that confidential information will be misappropriated or disclosed.</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Because we currently plan to rely on third parties to manufacture our product candidates and to perform quality testing, we must, at times, share our proprietary technology and confidential information with them. We seek to protect our proprietary technology, in part, by entering into confidentiality agreements, and, if applicable, material transfer agreements, collaborative research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confidential information and despite our efforts to protect our confidential information,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15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may seek to enter into collaborations, joint ventures, licenses and other similar arrangements for the development or commercialization of our product candidates, due to capital costs required to develop 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commercialize the product candidate or manufacturing constraints. We may not be successful in our efforts to establish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9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76"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8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some of our preclinical studies.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75"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some of our preclinical studies. Specifically, we have used and relied on, or intend to use and rely on, medical institutions, clinical investigators, CROs, contract development and manufacturing organizations, and consultants to conduct some of our preclinical studies and to conduct clinical trials in accordance with our clinical protocols and regulatory requirements. These CROs, investigators and other third parties play a significant role in the conduct and timing of these preclinical studies and clinical trials and subsequent collection and analysis of data. While we have and will have agreements governing the activities of our CROs, investigators and other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GLP and GCP requirements, which are regulations and guidelines enforced by the FDA or comparable foreign regulatory authorities for all of our product candidates in preclinical and clinical development. Regulatory authorities enforce these requirements through periodic inspections of trial sponsors, principal investigators, trial sites, and other third parties. If we or any of our CROs, trial sites or other third parties fail to comply with applicable GLP or GCP or other requirements, the clinical data generated in our clinical trials may be deemed unreliable, and the FDA or comparable foreign regulatory authorities may require us to perform additional preclinical studies or clinical trials before approving our marketing applications. In addition, our clinical trials must be conducted with products produced under cGMP regulations or similar foreign requirements. Our failure to comply with these regulations may require us to repeat clinical trials, which would delay the marketing approval process.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There is no guarantee that any of our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may also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spacing w:after="0" w:line="19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investigator or other third party contractor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Following potential approval of any our product candidates, the FDA may impose significant restrictions on a product’s indicated uses or marketing or impose ongoing requirements for potentially costly and time consuming post-approval studies, post-market surveillance or clinical trials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recordkeeping, and other activities relating to our products will be subject to extensive and ongoing regulatory requirements. These requirements include submissions of safety and other post-marketing information and reports, registration, as well as continued compliance with cGMP (and similar requirements outside the United States) and GCP requirements for any clinical trials that we conduct post- approval. Manufacturers of approved products and their facilities are subject to continual review and periodic, unannounced inspections by the FDA and other regulatory authorities for compliance with cGMP or similar foreign regulations and standards. Later discovery</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of previously unknown problems with our products, including additional adverse events or adverse events of unanticipated severity or frequency, or with our third-party manufacturers or manufacturing processes, or failure to comply with regulatory requirements, may result in, among other things:</w:t>
      </w:r>
    </w:p>
    <w:p>
      <w:pPr>
        <w:spacing w:after="0" w:line="121"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product recalls;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civil money penalties, warning letters, untitled letters or holds on clinical trials;</w:t>
      </w:r>
    </w:p>
    <w:p>
      <w:pPr>
        <w:spacing w:after="0" w:line="184"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62"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if any of our product candidates are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in their independent medical judgment, prescribe it to their patients in a manner that is inconsistent with the approved label. The FDA does not regulate the behavior of physicians in their choice of treatments but the FDA does restrict manufacturer’s communications on the subject of off-label use of their products. If we are found to have promoted such off-label uses, we may become subject to significant liability. The FDA, the Department of Justice, and other governmental authorities actively enforce the laws and regulations prohibiting the promotion of off-label uses, and a company that is found to have improperly promoted off-label uses may be subject to significant sanctions. For example, the federal government has levied large civil and criminal fines against companies for alleged improper promotion and has enjoined several companies from engaging in off-label promotion. The FDA has also requested that companies enter into corporate integrity agreements, consent decrees or permanent injunctions under which specified promotional conduct is changed or curtailed.</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0"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16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be subject to enforcement action and we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achieve or sustain profitability, which would adversely affect our business, prospects, financial condition and results of operations.</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5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may not be commercially successful. Even if any of our product candidates receive marketing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139"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compared to other more-established products;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 candidates are approved;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98"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121"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2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competitive drugs;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of our current or potential future collaborators’ sales and marketing strategies;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75"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any of our product candidates ultimately receives marketing approval, we must build a marketing and sales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8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7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Moreover, we are initially developing TYRA-300 for the treatment of mUC, pediatric ACH and NMIBC, TYRA-200 for FGFR2-driven ICC resistant to previous FGFR inhibitors and TYRA-430 for advanced HCC and other solid tumors with activating FGF/FGFR pathway aberrations. Some of these indications target a small patient population. In order for products that are designed to treat smaller patient populations to be commercially viable, the reimbursement for such products must be higher, on a relative basis, to account for the lack of volume. Accordingly, we will need to implement a coverage and reimbursement strategy for any approved product candidate with a smaller patient population that accounts for the smaller potential market size.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 or elsewhere will be available for any product that we may develop, and any reimbursement that may become available may be decreased or eliminated in the future.</w:t>
      </w:r>
    </w:p>
    <w:p>
      <w:pPr>
        <w:spacing w:after="0" w:line="19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frequently, in some cases at short notice, and we believe that changes in these rules and regulations are likely.</w:t>
      </w:r>
    </w:p>
    <w:p>
      <w:pPr>
        <w:spacing w:after="0" w:line="225"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once approved. In addition, in the event that we or third parties develop companion diagnostic tests for use with our product candidates, if approved, such companion diagnostic tests will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spacing w:after="0" w:line="19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once approved.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once approved, may be reduced compared with the United States and may be insufficient to generate commercially reasonable revenue and profits.</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once approved.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or product candidates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particular, there is intense competition in the precision oncology field. Our competitors include larger and better-funded pharmaceutical,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 stage companies may also prove to be significant competitors, particularly through collaborative arrangements with large and established companies.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product candidates. There are three currently marketed pan-FGFR inhibitors: Incyte Corporation’s Pemazyre (pemigatinib), Taiho’s Lytgobi (futibatinib) approved in FGFR2 gene rearrangements in cholangiocarcinoma, and Janssen Biotech, Inc.’s Balversa (erdafitinib), approved in specific FGFR3 gene alterations. There are a number of other isoform-specific FGFR inhibitors such as Elevar Therapeutics’ and Relay Therapeutics, Inc.’s lirafugratinib (RLY-4008), Cogent Biosciences’ CGT4859, TransThera’s tinengotinib and Lilly’s Loxo Oncology’s isoform-selective FGFR3 inhibitor compound, LOXO-435 (LOX-24350). There are currently no approved FGFR4 inhibitors, but there remain a number of FGFR4 programs in clinical development in China, including Abbisko’s ABSK011. BioMarin Pharmaceutical’s Voxzogo, a once daily injectable C-natriuretic peptide (CNP) analog is approved in the United States for children with ACH. There are a number of other experimental therapies in development for ACH, including Ascendis’ CNP pro-drug (TransCon CNP) and QED Therapeutics’ low dose pan-FGFR inhibitor (infigratinib).</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marketing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The total addressable market across all of our product candidates will ultimately depend upon, among other things, the diagnosis criteria included in the final label for each of our product candidates which receives marketing approval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results of</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We are not permitted to market or promote any of our product candidates before we receive marketing approval from applicable regulatory authorities in foreign markets, and we may never receive such marketing approvals for any of our product candidates. To obtain separate marketing approval in many other countries we must comply with numerous and varying regulatory requirements regarding safety and efficacy and governing, among other things, clinical trials, commercial sales, pricing and distribution of our product candidates. If we obtain marketing approval of our product candidates and ultimately commercialize our products in foreign markets, we would be subject to additional risks and uncertainties, including:</w:t>
      </w:r>
    </w:p>
    <w:p>
      <w:pPr>
        <w:spacing w:after="0" w:line="147"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or war in particular foreign economies and markets;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84"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98"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fluctuations may occur due to a variety of factors, many of which are outside of our control, including, but not limited to:</w:t>
      </w:r>
    </w:p>
    <w:p>
      <w:pPr>
        <w:spacing w:after="0" w:line="166" w:lineRule="exact"/>
        <w:rPr>
          <w:sz w:val="20"/>
          <w:szCs w:val="20"/>
          <w:color w:val="auto"/>
        </w:rPr>
      </w:pPr>
    </w:p>
    <w:p>
      <w:pPr>
        <w:ind w:left="1140" w:right="18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marketing approval and commercialization activities relating to our product candidates, which may change from time to time;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153" w:lineRule="exact"/>
        <w:rPr>
          <w:sz w:val="20"/>
          <w:szCs w:val="20"/>
          <w:color w:val="auto"/>
        </w:rPr>
      </w:pPr>
    </w:p>
    <w:p>
      <w:pPr>
        <w:ind w:left="1140" w:right="14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potential future drugs that compete with our products;</w:t>
      </w:r>
    </w:p>
    <w:p>
      <w:pPr>
        <w:spacing w:after="0" w:line="134"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third-party manufacturers;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84"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manage and motivate highly qualified management, clinical and scientific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San Diego County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continue to grow the size and capabilities of our organization, and we may experience difficulties in managing this growth.</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As of March 25, 2025, we had 60 full-time employees , including 44 employees engaged in research and development. In order to successfully implement our development and commercialization plans and strategies, we expect to need to continue to add significant additional managerial, operational, sales, marketing, financial and other personnel. Future growth will impose significant added responsibilities on members of management, including:</w:t>
      </w:r>
    </w:p>
    <w:p>
      <w:pPr>
        <w:spacing w:after="0" w:line="139" w:lineRule="exact"/>
        <w:rPr>
          <w:sz w:val="20"/>
          <w:szCs w:val="20"/>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retaining and motivating our current and additional employees;</w:t>
      </w:r>
    </w:p>
    <w:p>
      <w:pPr>
        <w:spacing w:after="0" w:line="198" w:lineRule="exact"/>
        <w:rPr>
          <w:rFonts w:ascii="Times New Roman" w:cs="Times New Roman" w:eastAsia="Times New Roman" w:hAnsi="Times New Roman"/>
          <w:sz w:val="18"/>
          <w:szCs w:val="18"/>
          <w:color w:val="auto"/>
        </w:rPr>
      </w:pPr>
    </w:p>
    <w:p>
      <w:pPr>
        <w:ind w:left="1140" w:right="120" w:hanging="383"/>
        <w:spacing w:after="0" w:line="312" w:lineRule="auto"/>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the preclinical, clinical, the FDA or comparable foreign regulatory authorities’ review process for product candidates, while complying with any contractual obligations to contractors and other third parties;</w:t>
      </w:r>
    </w:p>
    <w:p>
      <w:pPr>
        <w:spacing w:after="0" w:line="9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increasing operational and managerial complexity;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if approved, commercialize our product candidates and, accordingly, may not achieve our research, development and commercialization goals.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federal, state and foreign healthcare laws and regulations, which could increase compliance costs, and our failure to comply with these laws and regulations could harm our results of operations and financial condition.</w:t>
      </w:r>
    </w:p>
    <w:p>
      <w:pPr>
        <w:spacing w:after="0" w:line="15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 without limitation:</w:t>
      </w:r>
    </w:p>
    <w:p>
      <w:pPr>
        <w:spacing w:after="0" w:line="153" w:lineRule="exact"/>
        <w:rPr>
          <w:sz w:val="20"/>
          <w:szCs w:val="20"/>
          <w:color w:val="auto"/>
        </w:rPr>
      </w:pPr>
    </w:p>
    <w:p>
      <w:pPr>
        <w:ind w:left="1140" w:right="420" w:hanging="383"/>
        <w:spacing w:after="0" w:line="25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is a criminal law that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spacing w:after="0" w:line="146" w:lineRule="exact"/>
        <w:rPr>
          <w:rFonts w:ascii="Times New Roman" w:cs="Times New Roman" w:eastAsia="Times New Roman" w:hAnsi="Times New Roman"/>
          <w:sz w:val="18"/>
          <w:szCs w:val="18"/>
          <w:color w:val="auto"/>
        </w:rPr>
      </w:pPr>
    </w:p>
    <w:p>
      <w:pPr>
        <w:ind w:left="1140" w:right="200" w:hanging="383"/>
        <w:spacing w:after="0" w:line="261"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53" w:lineRule="exact"/>
        <w:rPr>
          <w:sz w:val="20"/>
          <w:szCs w:val="20"/>
          <w:color w:val="auto"/>
        </w:rPr>
      </w:pPr>
    </w:p>
    <w:p>
      <w:pPr>
        <w:jc w:val="both"/>
        <w:ind w:left="1140" w:right="180"/>
        <w:spacing w:after="0" w:line="266" w:lineRule="auto"/>
        <w:rPr>
          <w:sz w:val="20"/>
          <w:szCs w:val="20"/>
          <w:color w:val="auto"/>
        </w:rPr>
      </w:pPr>
      <w:r>
        <w:rPr>
          <w:rFonts w:ascii="Times New Roman" w:cs="Times New Roman" w:eastAsia="Times New Roman" w:hAnsi="Times New Roman"/>
          <w:sz w:val="18"/>
          <w:szCs w:val="18"/>
          <w:color w:val="auto"/>
        </w:rPr>
        <w:t>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49" w:lineRule="exact"/>
        <w:rPr>
          <w:sz w:val="20"/>
          <w:szCs w:val="20"/>
          <w:color w:val="auto"/>
        </w:rPr>
      </w:pPr>
    </w:p>
    <w:p>
      <w:pPr>
        <w:ind w:left="1140" w:right="120" w:hanging="383"/>
        <w:spacing w:after="0" w:line="25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2" w:lineRule="exact"/>
        <w:rPr>
          <w:rFonts w:ascii="Times New Roman" w:cs="Times New Roman" w:eastAsia="Times New Roman" w:hAnsi="Times New Roman"/>
          <w:sz w:val="18"/>
          <w:szCs w:val="18"/>
          <w:color w:val="auto"/>
        </w:rPr>
      </w:pPr>
    </w:p>
    <w:p>
      <w:pPr>
        <w:ind w:left="1140" w:right="40" w:hanging="383"/>
        <w:spacing w:after="0" w:line="274" w:lineRule="auto"/>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w:t>
      </w:r>
    </w:p>
    <w:p>
      <w:pPr>
        <w:spacing w:after="0" w:line="132" w:lineRule="exact"/>
        <w:rPr>
          <w:rFonts w:ascii="Times New Roman" w:cs="Times New Roman" w:eastAsia="Times New Roman" w:hAnsi="Times New Roman"/>
          <w:sz w:val="17"/>
          <w:szCs w:val="17"/>
          <w:color w:val="auto"/>
        </w:rPr>
      </w:pPr>
    </w:p>
    <w:p>
      <w:pPr>
        <w:ind w:left="1140" w:right="120" w:hanging="383"/>
        <w:spacing w:after="0" w:line="255"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biopharmaceutical and biotechnology companies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and biotechnology companies to report information on the pricing of certain drug products; and some state and local laws require the registration or pharmaceutical sales representatives.</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certain arrangements with physicians who receive stock or stock options as compensation for services provided to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our future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 We are subject to laws and regulations governing the privacy and security of sensitive information, including confidential business and health-related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information. Guidance on implementation and compliance practices are often updated or otherwise revised.</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as well as their covered subcontractors.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9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certain state laws and regulations govern the privacy, processing and security of health-related and other personal information in certain circumstances, some of which are more stringent than HIPAA and many of which differ from each other in significant ways and may not have the same effect, thus complicating compliance efforts. By way of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0"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6"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7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5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the ACA, was enacted in the United States. Among the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spacing w:after="0" w:line="19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created a new Medicare Part D coverage gap discount program, which was replaced by a new manufacturer discount program on January 1, 2025 (as discussed below); established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On August 2, 2011, the Budget Control Act of 2011 was signed into law, which, among other things, resulted in reductions to Medicare payments to providers, which went into effect on April 1, 2013 and, due to subsequent legislative amendments to the statute, will remain in effect into 2032,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In March 2021, Congress enacted the American Rescue Plan Act of 2021, which, among other things, eliminated the statutory cap on drug manufacturers’ Medicaid Drug Rebate Program rebate liability, effective January 1, 2024. Drug manufacturers’ Medicaid Drug Rebate Program rebate liability was previously capped at 100% of the average manufacturer price for a covered outpatient drug.</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On August 16, 2022, the Inflation Reduction Act of 2022 (IRA) was passed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On August 15, 2024, HHS announced the agreed-upon prices for the first ten drugs that are subject to price negotiations, which take effect in January 2026. HHS will select up to fifteen additional products covered under Part D for negotiation in 2025. Each year thereafter, more Part B and Part D products will become subject to the HHS price negotiation program, although the program is currently subject to legal challenges. For that and other reasons, it is currently unclear how the IRA will be effectuated.</w:t>
      </w:r>
    </w:p>
    <w:p>
      <w:pPr>
        <w:spacing w:after="0" w:line="19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and any of our third-party suppliers and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marketing approvals could be suspended.</w:t>
      </w:r>
    </w:p>
    <w:p>
      <w:pPr>
        <w:spacing w:after="0" w:line="1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administering or selling products that may be approved in the future. Claims could also be asserted under state consumer protection acts.</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35" w:lineRule="exact"/>
        <w:rPr>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if approved;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our management’s time and our resources;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currently hold $10 million of product liability insurance coverage. We may need to increase our insurance coverage as we initiate additional clinical trials or if we commence commercialization of our product candidates, if ever.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including product liability insurance. Some of the policies we currently maintain include property, general liability, employment benefits liability, business automobile workers’ compensation,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any of our potential future collaborators will be required to report to regulatory authorities if any of our product candidates or approved products in clinical trials cause or contribute to certain adverse medical events, and any failure to do so would result in sanctions that would materially harm our business.</w:t>
      </w:r>
    </w:p>
    <w:p>
      <w:pPr>
        <w:spacing w:after="0" w:line="175"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FDA or comparable foreign regulatory authorities would require that we and potential future collaborators report certain information about adverse medical events relating to any product that is approved or product candidate in clinical trials.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comparable foreign regulatory authority could take action, including criminal prosecution, the imposition of civil monetary penalties, seizure of our products or delay in approval or clearance of future products.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CROs, other contractors or consultants or potential future collaborators, may fail or suffer security breaches, which could result in a material disruption of our product development programs, harm our reputation, significant fines, penalties and liability and loss of customers or sales.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collect, store, transmit and otherwise process large amounts of confidential information including, without limitation, intellectual property, proprietary business information, preclinical and clinical trial data, health-related information and personal information (collectively, Confidential Information). Despite the implementation of security measures, our information technology systems (including infrastructure) and those of our current and any future CROs and other contractors, consultants and collaborators are vulnerable to attack, damage or interruption from computer viruses and malware (e.g. ransomware), malicious code, cybersecurity threats (such as denial-of-service attacks, cyberattacks or cyber-intrusions over the Internet, hacking, phishing and other social engineering attacks), misconfigurations, “bugs” or other vulnerabilities, fraud, sophisticated nation-state and nation-state-supported actors, unauthorized access or use,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 or physical facilities in order to gain access to our data.</w:t>
      </w:r>
    </w:p>
    <w:p>
      <w:pPr>
        <w:spacing w:after="0" w:line="192"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or our third party service provider’s operations or result in the unauthorized disclosure of or access to Confidential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governmental authorities, supervisory bodies,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7" w:name="page78"/>
    <w:bookmarkEnd w:id="77"/>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media and other parties of security breaches involving particular personally identifiable information, which could result from breaches experienced by us or by our vendors, contractors, or organizations with which we have formed strategic relationships. Also, due to the continued hybrid working environment, many of our employees are working remotely. As a result, we may have increased cyber security and data security risks, due to increased use of home wi-fi networks and virtual private networks, as well as increased disbursement of physical machines. While we implement information technology controls to reduce the risk of a cyber security or data security breach, there is no guarantee that these measures will be adequate to safeguard all systems, especially with an increased number of employees working remotely.</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security breach or other incident, whether real or perceived, could impact our reputation, impact the integrity of our data,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marketing approval efforts and significantly increase our costs to recover or reproduce the data. We also rely on third parties to manufacture our product candidates, and similar events relating to their computer systems could also have a material adverse effect on our business. To the extent that any real or perceived disruption or security breach affects our systems (or those of our third-party collaborators, service providers, contractors or consultants) or were to result in a loss of or accidental, unlawful or unauthorized access to, use of, release of, or other processing of Confidential Information, or damage to, our data or applications, or inappropriate disclosure of Confidential Information, we could incur liability, the further development and commercialization of our product candidates could be delayed, and we could be subject to significant incident response, system restoration or remediation and future compliance costs, as well as significant fines, penalties or liabilities for any noncompliance to certain privacy and security laws. We maintain cyber liability insurance; however, this insurance may not be sufficient to cover the financial, legal, business or reputational losses that may result from an interruption or breach of our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operate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product seizure, equitable remedies, including disgorgement, injunctive relief and/or other sanctions against us, and remediation of any such findings could have an adverse effect on our business operations.</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 consuming. An adverse outcome resulting from any such proceeding, investigations or enforcement actions could result in significant damages awards, fines, penalties, exclusion from the federal healthcare programs, healthcare or regulatory debarment, injunctive relief, product recalls, reputational damage and modifications of our business practices, which could have a material adverse effect on our business and results of operations.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laws that require the recording and reporting of true, complete and accurate information to such authorities, (ii) manufacturing standards, including cGMP requirements or similar foreign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consequences or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including changes related to the U.S. and foreign governments in tariffs and trade policies affecting trade between the United States and other countries. The financial markets and the global economy may also be adversely affected by the current or anticipated impact of military conflict, terrorism or other geopolitical events. Sanctions imposed by the United States and other countries in response to such conflicts may also adversely impact the financial markets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global economy, and any economic countermeasures by affected countries and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changes in tariffs and trade policies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w:t>
      </w:r>
    </w:p>
    <w:p>
      <w:pPr>
        <w:spacing w:after="0" w:line="22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The likelihood of specific changes in tax law being enacted or implemented is unclear. We are currently unable to predict whether such changes will occur. If such changes are enacted or implemented, we are currently unable to predict the ultimate impact on our business. We urge our investors to consult with their legal and tax advisors with respect to any changes in tax law and the potential tax consequences of investing in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To the extent that we continue to generate net operating losses (NOLs), such NOLs will carry forward and, subject to limitations, offset future taxable income, if any, until such unused NOL carryforwards expire (if subject to expiration). At December 31, 2024, we had U.S. federal and state NOL carryforwards of approximately $80.5 million and $52.2 million, respectively.</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U.S. federal NOLs generated in periods after December 31, 2017 may be carried forward indefinitely but may only be used to offset 80% of our taxable income in years beginning after December 31, 2020.</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NOL carryforwards and other tax attributes are subject to review and possible adjustment by the U.S. Internal Revenue Service and state tax authorities. Under Section 382 of the U.S. Internal Revenue Code of 1986, as amended (the Code), our U.S. federal NOL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our initial public offering (IPO) or any other offerings. Similar rules may apply under state tax laws. We have not yet determined the amount of the cumulative change in our ownership resulting from our IPO or other transactions, or any resulting limitations on our ability to utilize our NOL carryforwards and other tax</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attributes.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80" w:lineRule="exact"/>
        <w:rPr>
          <w:sz w:val="20"/>
          <w:szCs w:val="20"/>
          <w:color w:val="auto"/>
        </w:rPr>
      </w:pPr>
    </w:p>
    <w:p>
      <w:pPr>
        <w:ind w:firstLine="749"/>
        <w:spacing w:after="0" w:line="277"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maintain patent protection in the United States and other countries with respect to our product candidates and other proprietary technologies we may develop as well as our ability to operate without infringing upon the proprietary rights of others. We seek to protect our proprietary position, in part, by filing patent applications in the United States and abroad relating to our product candidates and other proprietary technologies we may develop. If we are unable to obtain or maintain patent protection with respect to our product candidates and other proprietary technologies we may develop, our business, financial condition, results of operations and prospects could be materially harmed.</w:t>
      </w:r>
    </w:p>
    <w:p>
      <w:pPr>
        <w:spacing w:after="0" w:line="16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We cannot predict whether the patent applications we are currently pursuing will issue as patents in any particular jurisdiction or whether the claims of any of our issued patents will provide sufficient protection against competitors or other third parties.</w:t>
      </w:r>
    </w:p>
    <w:p>
      <w:pPr>
        <w:spacing w:after="0" w:line="18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CROs,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pending patent applications, or that we were the first to file for patent protection of such inventions.</w:t>
      </w:r>
    </w:p>
    <w:p>
      <w:pPr>
        <w:spacing w:after="0" w:line="19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and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product candidates and other proprietary technologies we may develop or which effectively prevent others from commercializing competitive technologies and products.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line="194"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patent is granted. Even if they issue, our pending patent applications may not issue in a form that will provide us with any meaningful protection, prevent competitors or other third parties from competing with us or otherwise provide us with any competitive advantage, and patents issuing from our patent applications may be challenged, narrowed, circumvented or invalidated by third parties. Consequently, we do not know whether our product candidates and other proprietary technology will be protectable or remain protected by valid and enforceable patents. Our competitors or other third parties may be able to circumvent our existing patent or patents issuing from our patent applications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94"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become involved in opposition, derivation, revocation, reexamination, post- 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Substantive examination is just beginning on our pending patent applications, which makes it difficult to forecast the extent of any future patent right.</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U.S. pending patent applications or corresponding international patent applications, or patent applications in certain foreign territories, will be considered patentable by the USPTO. Patent claims are subject to revision during prosecution and pending patent applications cannot be enforced against third parties practicing the technology claimed in such applications unless, and until, patents issue from such applications, and then only to the extent the issued claims cover the third party’s technology. There can be no assurance that our patent applications will result in patents being issued or that issued patents will afford sufficient protection against competitors with similar technology. For example, examiners at a patent office may uncover prior art of which we were not previously aware, and if this cited prior art encompasses our claimed inventions, it may restrict patentability or prevent allowance of any pending patent claims. Furthermore, the patent prosecution process is expensive, time-consuming, and often a multi-year process. We and any future licensors may not be able to file and prosecute all necessary or desirable patent applications at a reasonable cost or in a timely manner or in all jurisdictions where protection may be commercially advantageous. Therefore, we cannot be certain that we will own any issued patents or develop a patent portfolio, which could have a material adverse effect on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and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intellectual property and proprietary rights generally. In India, unlike the United States, there is no link between regulatory approval for a drug and its patent status.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U.S. and other jurisdictions.</w:t>
      </w:r>
    </w:p>
    <w:p>
      <w:pPr>
        <w:spacing w:after="0" w:line="18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future issued patents or those of any future licensors. For example, the United States and foreign government actions related to Russia’s war with Ukraine may limit or prevent filing, prosecution, and maintenance of patent applications in Russia. Government actions may also prevent maintenance of issued patents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92"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83"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right="240" w:firstLine="749"/>
        <w:spacing w:after="0" w:line="261"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will automatically fall under the jurisdiction of the UPC. The UPC provides our competitors with a new forum to centrally revoke our European patents, and allows for the possibility of a</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1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7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Since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and other proprietary technologies we may develop or (ii) invent any of the inventions claimed in our patent applications.</w:t>
      </w:r>
    </w:p>
    <w:p>
      <w:pPr>
        <w:spacing w:after="0" w:line="17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9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For example, the scope of patentable subject matter under 35 U.S.C. § 101 has evolved significantly over the past several years as the Court of Appeals for the Federal Circuit and the Supreme Court issued various opinions, and the USPTO modified its guidance for practitioners on multiple occasions.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ability to protect and enforce our intellectual property in the future.</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relating to our product candidates and other proprietary technologies we may develop could be found invalid or unenforceable if challenged in court or before administrative bodies in the United States or abroad.</w:t>
      </w:r>
    </w:p>
    <w:p>
      <w:pPr>
        <w:spacing w:after="0" w:line="15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If we initiated legal proceedings against a third party to enforce a patent relating to our product candidates and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patents in such a way that they no longer cover our product candidates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and other proprietary technologies we may develop. Such a loss of patent protection would have a material adverse impact on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and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 we may develop, one or more of our patents or patents issuing from our U.S. patent applications may be eligible for limited patent term extension under the Drug Price Competition and Patent Term Restoration Action of</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any clinical trials, the period of time during which we could market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our product candidates and other proprietary technologies we may develop, we also rely on trade secrets and confidentiality agreements to protect our unpatented know-how, technology, and other proprietary information and to maintain our competitive position. With respect to our development programs, we consider trade secrets and know-how to be one of our important sources of intellectual property, including our extensive knowledge of crystallography structure-based drug design.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CROs,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Even if we are successful in defending against such claims, litigation could result in substantial costs and be a distraction to our management and other employees.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Any of the foregoing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product candidate we may develop through acquisitions and in-licenses.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currently solely own intellectual property covering our product candidates.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product candidates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biopharmaceutical or biotechnology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may prevent or delay the development and commercialization of our product candidates and other proprietary technologies we may develop.</w:t>
      </w:r>
    </w:p>
    <w:p>
      <w:pPr>
        <w:spacing w:after="0" w:line="15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biopharmaceutical and biotechnology industries, as well as administrative proceedings for challenging patents, including derivation and reexamination proceedings before the USPTO or oppositions and other comparable proceedings in foreign jurisdictions. As discussed above, as a result of the America Invests Act, procedures including inter partes review and post-grant review have been implemented. The America Invents Act adds uncertainty to the possibility of challenge to our patents in the future.</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are commercializing or plan to commercialize our product candidates and in which we are developing other proprietary technologies. As the biopharmaceutical and biotechnology industries expand and more patents are issued, the risk increases that our product candidates and commercializing activities may give rise to claims of infringement of the patent rights of others. We cannot assure you that our product candidates and other proprietary technologies we may develop will not infringe existing or future patents owned by third parties. We may not be aware of patents that have already been issued and that a third party, for example,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monitor third-party patents in the relevant pharmaceutical markets. In addition, because patent applications can take many years to issue and may be confidential for 18 months or more after filing, there may be currently pending patent applications that may later result in issued patents that we may infringe.</w:t>
      </w:r>
    </w:p>
    <w:p>
      <w:pPr>
        <w:spacing w:after="0" w:line="19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76"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product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product candidate and commercialize our future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9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8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5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Third parties, such as a competitor, may infringe, misappropriate, or otherwise violate our current or future issued patents and other intellectual property rights. In a patent infringement proceeding, a court may decide that a patent owned by us is invalid or unenforceable or may refuse to stop the other party from using the invention at issue on the grounds that the patent does not cover the technology in question or that the other party’s use of our patented technology falls under the safe harbor to patent infringement under 35 U.S.C. § 271(e)(1). In addition, our patent rights may become involved in inventorship, priority or validity disputes. To counter or defend against such claims can be expensive and time 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addition, the uncertainties associated with litigation could compromise our ability to raise the funds necessary to continue any clinical trials, continue our internal research programs, in-license needed technology or other product candidates, or enter into development partnerships that would help us bring our product candidates to market. In such cases, we may decide that the more prudent course of action is to simply monitor the situation or initiate or seek some other non-litigious action or solution.</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declared generic or determined to be infringing on other marks. During trademark registration proceedings, we may receive rejections of our applications by the USPTO or in other foreign jurisdictions. Although we are given an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0" w:name="page91"/>
    <w:bookmarkEnd w:id="90"/>
    <w:p>
      <w:pPr>
        <w:spacing w:after="0" w:line="19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1" w:lineRule="exact"/>
        <w:rPr>
          <w:sz w:val="20"/>
          <w:szCs w:val="20"/>
          <w:color w:val="auto"/>
        </w:rPr>
      </w:pPr>
    </w:p>
    <w:p>
      <w:pPr>
        <w:ind w:left="1140" w:right="24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 or utilize similar technology but that are not covered by the claims of the patents that we may license or may own;</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current or future patents;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our inventions;</w:t>
      </w:r>
    </w:p>
    <w:p>
      <w:pPr>
        <w:spacing w:after="0" w:line="184"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patent applications will not lead to issued patents;</w:t>
      </w:r>
    </w:p>
    <w:p>
      <w:pPr>
        <w:spacing w:after="0" w:line="184"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issuing from our current or future patent applications may be held invalid or unenforceable, including as a result of legal challenges by our competitors or other third parties;</w:t>
      </w:r>
    </w:p>
    <w:p>
      <w:pPr>
        <w:spacing w:after="0" w:line="12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53" w:lineRule="exact"/>
        <w:rPr>
          <w:sz w:val="20"/>
          <w:szCs w:val="20"/>
          <w:color w:val="auto"/>
        </w:rPr>
      </w:pPr>
    </w:p>
    <w:p>
      <w:pPr>
        <w:ind w:left="1140" w:right="10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proprietary component and process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obtain marketing authorization of companion diagnostic test or tests for use with our product candidates, any of which could require us to obtain rights to use intellectual property held by third parties. For example, we are working with diagnostic companies to develop and utilize liquid biopsy companion diagnostic tests to aid in identifying appropriate patients in our SURF301 Phase 1/2 clinical trial, and we will need to engage additional diagnostic partners across all our oncology programs to identify appropriate patients for study inclusion.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6"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Additionally, we might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2" w:name="page93"/>
    <w:bookmarkEnd w:id="9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22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139" w:lineRule="exact"/>
        <w:rPr>
          <w:sz w:val="20"/>
          <w:szCs w:val="20"/>
          <w:color w:val="auto"/>
        </w:rPr>
      </w:pPr>
    </w:p>
    <w:p>
      <w:pPr>
        <w:ind w:left="1140" w:right="18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preclinical studies and clinical trials, and the results of trials of our competitors or those of other companies in our market sector;</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future clinical trials;</w:t>
      </w:r>
    </w:p>
    <w:p>
      <w:pPr>
        <w:spacing w:after="0" w:line="184"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of our product candidates, or limitations to specific label indications or patient populations for its use, or changes or delays in the regulatory review process;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develop, acquire or license additional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regarding our competitors;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insiders and stockholders;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184"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events or factors, many of which are beyond our control, such as the wars between Russia and Ukraine and Israel and Hamas, inflation and interest rate changes and financial institution instability;</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93" w:name="page94"/>
    <w:bookmarkEnd w:id="93"/>
    <w:p>
      <w:pPr>
        <w:spacing w:after="0" w:line="153"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w:t>
      </w:r>
    </w:p>
    <w:p>
      <w:pPr>
        <w:spacing w:after="0" w:line="225"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maintained.</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can provide no assurance that we will be able to maintain an active trading market for our common stock. If an active market for our common stock is not sustained, it may be difficult for you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control or influence all matters submitted to stockholders for approval.</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greater than 5% stockholders, in the aggregate, own a majority of our outstanding common stock. Furthermore, many of our current directors were appointed by our principal stockholders. As a result, such persons or their appointees to our board of directors,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by our executive officers, directors and principal stockholders in the public market or the perception that these sales might occur could significantly reduce the market price of our common stock and impair our ability to raise adequate capital through the sale of additional equity securities.</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addition, certain of our existing stockholders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in Rule 144 under the Securities Act. Also, in connection with the private placement of our common stock in February 2024, we filed a registration statement for the resale by certain holders of our common stock and pre-funded warrants. Any sales of securities by these stockholders could have a material adverse effect on the trading price of our common stock.</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 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47" w:lineRule="exact"/>
        <w:rPr>
          <w:sz w:val="20"/>
          <w:szCs w:val="20"/>
          <w:color w:val="auto"/>
        </w:rPr>
      </w:pPr>
    </w:p>
    <w:p>
      <w:pPr>
        <w:ind w:left="1140" w:hanging="383"/>
        <w:spacing w:after="0" w:line="312" w:lineRule="auto"/>
        <w:tabs>
          <w:tab w:leader="none" w:pos="11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12" w:lineRule="exact"/>
        <w:rPr>
          <w:rFonts w:ascii="Times New Roman" w:cs="Times New Roman" w:eastAsia="Times New Roman" w:hAnsi="Times New Roman"/>
          <w:sz w:val="17"/>
          <w:szCs w:val="17"/>
          <w:color w:val="auto"/>
        </w:rPr>
      </w:pPr>
    </w:p>
    <w:p>
      <w:pPr>
        <w:ind w:left="1140" w:right="40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w:t>
      </w:r>
    </w:p>
    <w:p>
      <w:pPr>
        <w:spacing w:after="0" w:line="121" w:lineRule="exact"/>
        <w:rPr>
          <w:rFonts w:ascii="Times New Roman" w:cs="Times New Roman" w:eastAsia="Times New Roman" w:hAnsi="Times New Roman"/>
          <w:sz w:val="18"/>
          <w:szCs w:val="18"/>
          <w:color w:val="auto"/>
        </w:rPr>
      </w:pPr>
    </w:p>
    <w:p>
      <w:pPr>
        <w:ind w:left="1140" w:right="340" w:hanging="383"/>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98"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8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and “pay versus performance” disclosure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our legal and financial compliance costs and made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7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Any violations of the laws and regulations described above may result in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6" w:name="page97"/>
    <w:bookmarkEnd w:id="96"/>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substantial civil and criminal fines and penalties, imprisonment, the loss of export or import privileges, debarment, tax reassessments, breach of contract and fraud litigation, reputational harm and other consequences.</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Carlsbad,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arising from pandemic and epidemic diseases.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Future pandemics or other public health epidemics have the potential to present substantial public health and economic challenges and affect our employees, patients, physicians and other healthcare providers, communities and business operations, as well as the U.S. and global economies and financial markets. A pandemic or epidemic poses the risk that we or our employees, contractors, including our CROs, suppliers, collaborators and other partners may be prevented from conducting business activities for an indefinite period of time, including due to spread of the disease within these groups or due to shutdowns that may be requested or mandated by governmental authorities. While it is not possible at this time to estimate the impact on our business of pandemic or epidemic disease outbreaks, such outbreaks could: disrupt the supply chain and the manufacture or shipment of drug substances and finished drug products for our product candidates for use in our research, preclinical studies and clinical trials, delay, limit or prevent our employees and CROs from continuing research and development activities; impede our clinical trial initiation and recruitment and the ability of patients to continue in clinical trials, including the risk that participants enrolled in our clinical trials will contract the pandemic or epidemic disease in question, while the clinical trial is ongoing, which could impact the results of the clinical trial, including by increasing the number of observed adverse events; and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Future pandemics or epidemics could also potentially affect the business of the FDA or comparable foreign regulatory authorities, which could result in delays in meetings related to planned or ongoing clinical trials. Any future pandemic or epidemic disease outbreak may have an adverse impact on global economic conditions which could have an adverse effect on our business and financial condition, including impairing our ability to raise capital when needed. The extent to which any future pandemic or epidemic disease could impact our results will depend on future developments that are highly uncertain and cannot be predicted.</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5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independent registered public accounting firm are unable to conclude that our internal control over financial reporting is effective, investors may lose confidence in our financial reporting and the trading price of our common stock may decline.</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35" w:lineRule="exact"/>
        <w:rPr>
          <w:sz w:val="20"/>
          <w:szCs w:val="20"/>
          <w:color w:val="auto"/>
        </w:rPr>
      </w:pPr>
    </w:p>
    <w:p>
      <w:pPr>
        <w:ind w:left="1140" w:right="120" w:hanging="383"/>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8" w:name="page99"/>
    <w:bookmarkEnd w:id="98"/>
    <w:p>
      <w:pPr>
        <w:spacing w:after="0" w:line="153" w:lineRule="exact"/>
        <w:rPr>
          <w:sz w:val="20"/>
          <w:szCs w:val="20"/>
          <w:color w:val="auto"/>
        </w:rPr>
      </w:pPr>
    </w:p>
    <w:p>
      <w:pPr>
        <w:jc w:val="both"/>
        <w:ind w:left="1140" w:right="240" w:hanging="383"/>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48"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remove a director for cause, and the prohibition on removal of directors without cause;</w:t>
      </w:r>
    </w:p>
    <w:p>
      <w:pPr>
        <w:spacing w:after="0" w:line="121" w:lineRule="exact"/>
        <w:rPr>
          <w:rFonts w:ascii="Times New Roman" w:cs="Times New Roman" w:eastAsia="Times New Roman" w:hAnsi="Times New Roman"/>
          <w:sz w:val="18"/>
          <w:szCs w:val="18"/>
          <w:color w:val="auto"/>
        </w:rPr>
      </w:pPr>
    </w:p>
    <w:p>
      <w:pPr>
        <w:jc w:val="both"/>
        <w:ind w:left="1140" w:right="20" w:hanging="383"/>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98"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21"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21"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134"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21" w:lineRule="exact"/>
        <w:rPr>
          <w:rFonts w:ascii="Times New Roman" w:cs="Times New Roman" w:eastAsia="Times New Roman" w:hAnsi="Times New Roman"/>
          <w:sz w:val="18"/>
          <w:szCs w:val="18"/>
          <w:color w:val="auto"/>
        </w:rPr>
      </w:pPr>
    </w:p>
    <w:p>
      <w:pPr>
        <w:ind w:left="1140" w:right="260" w:hanging="383"/>
        <w:spacing w:after="0" w:line="266"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and biotechnology companies have experienced significant stock price volatility in recent years. If we face such litigation, it could result in substantial costs and a diversion of our management’s attention and resources, which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We implement reasonable administrative, technical and procedural safeguards to manage cybersecurity risks, including enforcing single sign-on or multi-factor authentication where supported or appropriate. We engage third-party cybersecurity experts to assess the security of our network. In addition, we engage a third-party to perform internal audits of our IT General Controls (ITGCs).</w:t>
      </w:r>
    </w:p>
    <w:p>
      <w:pPr>
        <w:spacing w:after="0" w:line="180"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 This does not imply that we meet any particular technical standards,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1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specifications, or requirements, only that we use the NIST CSF as a guide to help us identify, assess, and manage cybersecurity risks relevant to our business.</w:t>
      </w:r>
    </w:p>
    <w:p>
      <w:pPr>
        <w:spacing w:after="0" w:line="162" w:lineRule="exact"/>
        <w:rPr>
          <w:sz w:val="20"/>
          <w:szCs w:val="20"/>
          <w:color w:val="auto"/>
        </w:rPr>
      </w:pPr>
    </w:p>
    <w:p>
      <w:pPr>
        <w:jc w:val="both"/>
        <w:ind w:right="640" w:firstLine="74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designed to be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225"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225"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(i) our cybersecurity risk assessment processes, (ii) our security controls, and (iii) our response to cybersecurity incidents;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 suppliers, and vendors that have access to our critical systems and information.</w:t>
      </w:r>
    </w:p>
    <w:p>
      <w:pPr>
        <w:spacing w:after="0" w:line="162" w:lineRule="exact"/>
        <w:rPr>
          <w:sz w:val="20"/>
          <w:szCs w:val="20"/>
          <w:color w:val="auto"/>
        </w:rPr>
      </w:pPr>
    </w:p>
    <w:p>
      <w:pPr>
        <w:ind w:right="340" w:firstLine="749"/>
        <w:spacing w:after="0" w:line="289"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where it deems appropriate, regarding any cybersecurity incidents it considers to be significant or potentially significant.</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Committee reports to the full board of directors regarding its activities, including those related to cybersecurity. The full board of directors may also receive briefings from management on our cyber risk management program. Board members may receive presentations on cybersecurity topics from our Chief Financial Officer (CFO), internal security staff or external experts as part of the board of director's continuing education on topics that impact public companies. Our IT Senior Director, is primarily responsible for assessing and managing our material risks from cybersecurity threats. Our IT Senior Director has primary responsibility for our overall cybersecurity risk management program, and our IT Senior Director supervises our retained external cybersecurity consultants. Our IT Senior Director has over 25 years of IT and cybersecurity experience.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IT Senior Director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in Carlsbad, California, where we lease approximately 13,065 square feet of laboratory and office space. Our headquarters consist of approximately 4,734 square feet of original space (the Original Space) and 8,331 square feet of space in an adjacent building (the Expansion Space). The lease for the Expansion Space commenced in November 2023. The lease for the Original Space and Expansion Space will end 120 months after the commencement date (November 2023) of the Expansion Space lease, subject to certain renewal options granted to us. We believe that our existing and planned expansion facilities are adequate for our current needs and that suitable additional or alternative space will be available in the future on commercially reasonable terms, if required.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additional information, see Note 10, Leases, to the financial statements included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6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76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“TYRA”.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As of March 25, 2025, there were approximately 33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Item 12 of Part III of this Annual Report for information about our equity compensation plans which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2024, we estimate that we have used all of the net proceeds from our IPO to fund the preclinical and clinical development of our product candidates, the hiring of additional personnel, the costs of operating as a public company, and other general corporate purposes. There were no material changes in the planned use of proceeds from that described in the final prospectus filed with the SEC pursuant to Rule 424(b)(4) under the Securities Act on September 15,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 and Affiliated Purchasers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included elsewhere in this Annual Report on Form 10-K. This discussion contains forward-looking statements that involve risks and uncertainties, including those described in the section entitled “Forward Looking Statements and Market Data.” Our actual results and the timing of selected events could differ materially from those discussed below. Factors that could cause or contribute to such differences include, but are not limited to, those identified below and those set forth under the section entitled “Risk Factors” or in other parts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next-generation precision medicines for large opportunities in targeted oncology and genetically defined conditions, with an initial focus on Fibroblast Growth Factor Receptor (FGFR) biology.</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in-house precision medicine platform, SNÅP, enables rapid and precise drug design through iterative molecular SNÅPshots that help us design and predict which product candidates may demonstrate the highest potency, selectivity and tolerability in the clinic. We have initially leveraged our SNÅP approach to develop TYRA-300, TYRA-200 and TYRA-430: three clinical-stage, novel small molecules designed to overcome the toxicity and resistance liabilities of first generation pan-FGFR inhibitors.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FGFR3 Programs - TYRA-300 for Bladder Cancer and Skeletal Conditions</w:t>
      </w:r>
    </w:p>
    <w:p>
      <w:pPr>
        <w:spacing w:after="0" w:line="227"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Mutations in the protein receptor FGFR3 are a key driver in two indications with large market opportunities: bladder cancer and skeletal conditions. In bladder cancer, uncontrolled activation of FGFR3 on the cell surface stimulates cellular proliferation. In skeletal conditions, increased activity of FGFR3 expressed in growth plate chondrocytes (cartilage cells) results in excessive limitation of long bone growth.</w:t>
      </w:r>
    </w:p>
    <w:p>
      <w:pPr>
        <w:spacing w:after="0" w:line="176"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Our lead program, TYRA-300, was designed to be more selective for FGFR3 over FGFR1, FGFR2, and FGFR4 to minimize off-target side effects, providing potential clinical advantages over less selective first-generation compounds and potentially addressing key unmet needs across both bladder cancer and skeletal conditions.</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TYRA-300 is to be evaluated in three Phase 2 studies: SURF301, for the treatment of metastatic urothelial carcinoma (mUC); SURF302, for the treatment of non-muscle invasive bladder cancer (NMIBC); and BEACH301, for the treatment of pediatric achondroplasia (ACH).</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SURF301 for mUC: This ongoing study is an international, multi-center, open label Phase 1/2 clinical trial that was designed to determine the optimal and maximum tolerated doses (MTD), and the recommended Phase 2 dose (RP2D) of TYRA-300, as well as to evaluate the preliminary antitumor activity of TYRA-300. In late October 2024, we reported interim data that in patients with FGFR3+ mUC who received doses ≥ 90 mg once daily (QD), 6 out of 11 (54.5%) patients achieved a confirmed partial response. Preliminary data, as of the August 15, 2024 data cutoff, suggested TYRA-300 was generally well-tolerated, with infrequent FGFR2- and FGFR1-associated toxicities. Dose optimization is ongoing in this study.</w:t>
      </w:r>
    </w:p>
    <w:p>
      <w:pPr>
        <w:spacing w:after="0" w:line="183"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SURF302 for NMIBC: This study is an open-label Phase 2 clinical trial evaluating the efficacy and safety of TYRA-300 at lower doses (50 and 60mg QD) in participants with FGFR3-altered low-grade, intermediate risk (IR) NMIBC. We expect to dose the first patient in this study in the second quarter of 2025.</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BEACH301 for ACH: This study is an open-label, Phase 2 dose-escalation/dose-expansion trial evaluating TYRA-300 at lower doses (0.125,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 0.375, 0.50 mg/kg) in children ages 3 to 10 with ACH with open growth plates. Prior to initiation of the first two cohorts, the study will enroll a safety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sentinel cohort of up to 3 treatment-naïve participants per dose level in children ages 5 to 10. We expect to dose the first child in this study in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FGFR2 Program - TYRA-200 for Intrahepatic Cholangiocarcinoma</w:t>
      </w:r>
    </w:p>
    <w:p>
      <w:pPr>
        <w:spacing w:after="0" w:line="227"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FGFR2 is a protein receptor present on the cell surface that promotes cellular proliferation and transformation upon binding of fibroblast growth factor. Activating gene alterations of FGFR2 have been implicated in the tumorigenesis of multiple solid tumor types, with pan-FGFR inhibitors approved for intrahepatic cholangiocarcinoma (ICC).</w:t>
      </w:r>
    </w:p>
    <w:p>
      <w:pPr>
        <w:spacing w:after="0" w:line="176"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TYRA-200 is an FGFR1/2/3 inhibitor designed to be active against nearly all of the clinically identified acquired resistant mutations that arise during treatment with pan-FGFR inhibitors, which we believe is necessary to address the problem of disease progression due to polyclonal resistance. TYRA-200 is currently being evaluated in a multi-center, open label Phase 1 clinical study, SURF201 that is designed to evaluate the safety, tolerability, and pharmacokinetics (PK) of TYRA-200, determine the optimal dose for further development and the MTD and RP2D, and evaluate preliminary antitumor activity, with a focus on achieving proof-of-concept in a cohort of FGFR2-driven ICC resistant to previous FGFR inhibitors.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FGF19+ Program - TYRA-430 for Hepatocellular Carcinoma</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FGF19 is a post-prandial enterohepatic hormone that signals through FGFR4 and its associated co-receptor Klotho Beta (KLB) to exert its normal cellular functions. In certain cancers, FGF19 is aberrantly expressed due to focal chromosomal amplifications or epigenetic mechanisms, promoting tumor cells to become dependent on the FGFR4/KLB/FGF19 oncogenic axis. Recent insights into FGF/FGFR signaling in HCC have indicated an important bypass mechanism in FGFR3, which shares the Klotho Beta coreceptor.</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TYRA-430 was designed to be biased for FGFR4 and FGFR3 over the FGFR1 and FGFR2 isoforms specifically to address the FGF19 signaling pathway, while also potentially limiting side effects due to inhibition of FGFR1 and FGFR2, as well as to address acquired resistance mutations that have limited the efficacy of previous FGFR4-specific inhibitors. TYRA-430 will be initially studied in SURF431, a global Phase 1 multicenter, open-label, study in advanced HCC and other solid tumors with activating FGF/FGFR pathway aberrations (SURF431). We expect to dose the first patient in this study in the second quarter of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Overview</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the issuance of Simple Agreements for Future Equity and the issuance of common stock and pre-funded common stock warrants through a private placement. Our net losses for the years ended December 31, 2024 and 2023 were $86.5 million and $69.1 million, respectively. As of December 31, 2024, we had an accumulated deficit of $251.3 million. As of December 31, 2024, we had cash, cash equivalents, and marketable securities of $341.4 million.</w:t>
      </w:r>
    </w:p>
    <w:p>
      <w:pPr>
        <w:spacing w:after="0" w:line="18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83" w:lineRule="exact"/>
        <w:rPr>
          <w:sz w:val="20"/>
          <w:szCs w:val="20"/>
          <w:color w:val="auto"/>
        </w:rPr>
      </w:pPr>
    </w:p>
    <w:p>
      <w:pPr>
        <w:ind w:right="440" w:firstLine="749"/>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cash equivalents and marketable securities as of December 31, 2024 will be sufficient to fund our operating expenses and capital expenditures through at least 2027. We have never generated any revenue and do not expect to generate any revenue from product sales unless and until we successfully complete the development of and obtain regulatory approval for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which will not be for several years, if ever. In addition, if we obtain regulatory approval for any of our product candidates, we expect to incur significant commercialization expenses related to product sales, marketing, manufacturing and distribution. Accordingly, until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including:</w:t>
      </w:r>
    </w:p>
    <w:p>
      <w:pPr>
        <w:spacing w:after="0" w:line="184" w:lineRule="exact"/>
        <w:rPr>
          <w:rFonts w:ascii="Times New Roman" w:cs="Times New Roman" w:eastAsia="Times New Roman" w:hAnsi="Times New Roman"/>
          <w:sz w:val="18"/>
          <w:szCs w:val="18"/>
          <w:color w:val="auto"/>
        </w:rPr>
      </w:pPr>
    </w:p>
    <w:p>
      <w:pPr>
        <w:ind w:left="1540" w:right="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spacing w:after="0" w:line="148" w:lineRule="exact"/>
        <w:rPr>
          <w:rFonts w:ascii="Times New Roman" w:cs="Times New Roman" w:eastAsia="Times New Roman" w:hAnsi="Times New Roman"/>
          <w:sz w:val="18"/>
          <w:szCs w:val="18"/>
          <w:color w:val="auto"/>
        </w:rPr>
      </w:pPr>
    </w:p>
    <w:p>
      <w:pPr>
        <w:ind w:left="1540" w:right="8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oexpenses incurred in connection with the discovery and preclinical development of our product candidates, including under agreements with third parties, such as consultants and CROs;</w:t>
      </w:r>
    </w:p>
    <w:p>
      <w:pPr>
        <w:spacing w:after="0" w:line="12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costs associated with consultants for chemistry, manufacturing and controls (CMC) development, and other services;</w:t>
      </w:r>
    </w:p>
    <w:p>
      <w:pPr>
        <w:spacing w:after="0" w:line="184" w:lineRule="exact"/>
        <w:rPr>
          <w:rFonts w:ascii="Times New Roman" w:cs="Times New Roman" w:eastAsia="Times New Roman" w:hAnsi="Times New Roman"/>
          <w:sz w:val="18"/>
          <w:szCs w:val="18"/>
          <w:color w:val="auto"/>
        </w:rPr>
      </w:pPr>
    </w:p>
    <w:p>
      <w:pPr>
        <w:ind w:left="1540" w:right="6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cost of manufacturing compounds for use in our preclinical studies, including under agreements with third parties, such as consultants and third-party manufacturers; and</w:t>
      </w:r>
    </w:p>
    <w:p>
      <w:pPr>
        <w:spacing w:after="0" w:line="134"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costs related to compliance with drug development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w:t>
      </w:r>
    </w:p>
    <w:p>
      <w:pPr>
        <w:spacing w:after="0" w:line="184"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oemployee-related expenses, including salaries, related benefits, travel and share-based compensation expenses for employees engaged in research and development functions;</w:t>
      </w:r>
    </w:p>
    <w:p>
      <w:pPr>
        <w:spacing w:after="0" w:line="12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costs of laboratory supplies and acquiring, developing and manufacturing preclinical study materials; and</w:t>
      </w:r>
    </w:p>
    <w:p>
      <w:pPr>
        <w:spacing w:after="0" w:line="198" w:lineRule="exact"/>
        <w:rPr>
          <w:rFonts w:ascii="Times New Roman" w:cs="Times New Roman" w:eastAsia="Times New Roman" w:hAnsi="Times New Roman"/>
          <w:sz w:val="18"/>
          <w:szCs w:val="18"/>
          <w:color w:val="auto"/>
        </w:rPr>
      </w:pPr>
    </w:p>
    <w:p>
      <w:pPr>
        <w:ind w:left="1540" w:right="6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ofacilities, depreciation and other indirect expenses, which include allocated expenses for rent and maintenance of facilities and supplies.</w:t>
      </w:r>
    </w:p>
    <w:p>
      <w:pPr>
        <w:spacing w:after="0" w:line="16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program-specific basis. However, we do not track internal costs on a program-specific basis because these costs primarily relate to compensation, early research and consumable costs, which are deployed across multiple programs under development.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research and development expenses may vary significantly based on a wide variety of factors, such as:</w:t>
      </w:r>
    </w:p>
    <w:p>
      <w:pPr>
        <w:spacing w:after="0" w:line="185" w:lineRule="exact"/>
        <w:rPr>
          <w:sz w:val="20"/>
          <w:szCs w:val="20"/>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discovery and preclinical development activities and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each of our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appropriate patients eligible for our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personnel;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such as the war and other conflicts in Ukraine and the Middle East;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3" w:lineRule="exact"/>
        <w:rPr>
          <w:sz w:val="20"/>
          <w:szCs w:val="20"/>
          <w:color w:val="auto"/>
        </w:rPr>
      </w:pPr>
    </w:p>
    <w:p>
      <w:pPr>
        <w:ind w:left="1140" w:right="38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the financial markets, the global economy, the supply chain and our expenses due to pandemic or epidemic diseases, geopolitical instability, inflation, interest rates and other factors; and</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w:t>
      </w:r>
    </w:p>
    <w:p>
      <w:pPr>
        <w:spacing w:after="0" w:line="225"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employee salaries, bonuses, benefits, and stock-based compensation charges for personnel in executive, finance and other administrative functions. Other significant general and administrative expenses include legal fees relating to intellectual property and corporate matters, allocated facility-related costs, professional fees for accounting, tax, business development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additional personnel, audit, legal, regulatory and tax-related services associated with maintaining compliance with exchange listing and the Securities and Exchange Commission (SEC) requirements, director and officer insurance costs, and investor and public relations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income consist primarily of interest income from cash, cash equivalents and marketable securities and accretion income from marketable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3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62,518</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79,945</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(104,177 )</w:t>
            </w:r>
          </w:p>
        </w:tc>
        <w:tc>
          <w:tcPr>
            <w:tcW w:w="7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(79,945 )</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(24,232 )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(86,481 )</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(69,134 )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(17,347 )</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-882015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-882015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-316865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-316865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track most external development costs by development program. We do not allocate internal costs, such as personnel-related expenses, stock-based compensation expense, facility, supplies and certain external consultant costs, to individual development programs.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development program for the periods indicated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1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 by program</w:t>
            </w:r>
          </w:p>
        </w:tc>
        <w:tc>
          <w:tcPr>
            <w:tcW w:w="10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TYRA-300</w:t>
            </w:r>
            <w:r>
              <w:rPr>
                <w:rFonts w:ascii="Times New Roman" w:cs="Times New Roman" w:eastAsia="Times New Roman" w:hAnsi="Times New Roman"/>
                <w:sz w:val="24"/>
                <w:szCs w:val="24"/>
                <w:color w:val="auto"/>
                <w:vertAlign w:val="superscript"/>
              </w:rPr>
              <w:t>ACH</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3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TYRA-300</w:t>
            </w:r>
            <w:r>
              <w:rPr>
                <w:rFonts w:ascii="Times New Roman" w:cs="Times New Roman" w:eastAsia="Times New Roman" w:hAnsi="Times New Roman"/>
                <w:sz w:val="24"/>
                <w:szCs w:val="24"/>
                <w:color w:val="auto"/>
                <w:vertAlign w:val="superscript"/>
              </w:rPr>
              <w:t>mUC</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(1,294 )</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TYRA-430</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TYRA-200</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FGFR discovery</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costs</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Facilities and other costs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62,518</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$80.1 million and $62.5 million for the years ended December 31, 2024 and 2023, respectively. The overall increase of $17.6 million was driven by:</w:t>
      </w:r>
    </w:p>
    <w:p>
      <w:pPr>
        <w:spacing w:after="0" w:line="54" w:lineRule="exact"/>
        <w:rPr>
          <w:sz w:val="20"/>
          <w:szCs w:val="20"/>
          <w:color w:val="auto"/>
        </w:rPr>
      </w:pPr>
    </w:p>
    <w:p>
      <w:pPr>
        <w:ind w:left="1020" w:right="6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increase in clinical costs driven by progression of SURF301 and SURF201 clinical trials and start-up activities related to BEACH301, SURF302 and SURF431 study launches;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decrease in preclinical costs due to a decrease in early drug discovery and toxicology costs as various programs moved into clinical development;</w:t>
      </w:r>
    </w:p>
    <w:p>
      <w:pPr>
        <w:spacing w:after="0" w:line="6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decrease in CMC costs for most programs in the clinical stage, except for TYRA-300</w:t>
      </w:r>
      <w:r>
        <w:rPr>
          <w:rFonts w:ascii="Times New Roman" w:cs="Times New Roman" w:eastAsia="Times New Roman" w:hAnsi="Times New Roman"/>
          <w:sz w:val="24"/>
          <w:szCs w:val="24"/>
          <w:color w:val="auto"/>
          <w:vertAlign w:val="superscript"/>
        </w:rPr>
        <w:t>ACH</w:t>
      </w:r>
      <w:r>
        <w:rPr>
          <w:rFonts w:ascii="Times New Roman" w:cs="Times New Roman" w:eastAsia="Times New Roman" w:hAnsi="Times New Roman"/>
          <w:sz w:val="18"/>
          <w:szCs w:val="18"/>
          <w:color w:val="auto"/>
        </w:rPr>
        <w:t xml:space="preserve"> and certain preclinical programs;</w:t>
      </w:r>
    </w:p>
    <w:p>
      <w:pPr>
        <w:spacing w:after="0" w:line="68"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million increase in compensation and other personnel expenses, including an increase in stock-based compensation costs of $6.0 million, driven by headcount growth;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increase in facilities and other operating costs due to our continuing expansion efforts.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$24.1 million and $17.4 million for the years ended December 31, 2024 and 2023, respectively. The increase of $6.7 million was driven by:</w:t>
      </w:r>
    </w:p>
    <w:p>
      <w:pPr>
        <w:spacing w:after="0" w:line="54" w:lineRule="exact"/>
        <w:rPr>
          <w:sz w:val="20"/>
          <w:szCs w:val="20"/>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increase in compensation and other personnel expenses, including an increase in stock-based compensation costs of $3.3 million, driven by headcount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increase in professional services, legal and other public company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increase in facilities and other operating costs to support growing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Other income was $17.7 million and $10.8 million for the years ended December 31, 2024 and 2023, respectively. The increase of $6.9 million was primarily related to an increase in our cash, cash equivalents and marketable securities balances due to proceeds received from our private placement completed in February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On September 17, 2021, we completed our IPO and issued 12,420,000 shares of common stock for net proceeds of approximately $181.2 million. Prior to our IPO, we funded our operations primarily through private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placements of our convertible preferred stock with net proceeds of $157.2 million, excluding issuance costs of $0.4 million.</w:t>
      </w:r>
    </w:p>
    <w:p>
      <w:pPr>
        <w:spacing w:after="0" w:line="225"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On February 6, 2024, we completed a private placement and issued 9,286,023 shares of our common stock and pre-funded warrants to purchase an aggregate of 6,087,230 shares of our common stock (the 2024 Private Placement) for net proceeds of approximately $199.6 million, excluding issuance costs of $0.4 million.</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Sales Agreement. As of December 31, 2024, we have not sold any shares under the Sales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40" w:type="dxa"/>
            <w:vAlign w:val="bottom"/>
          </w:tcPr>
          <w:p>
            <w:pPr>
              <w:spacing w:after="0"/>
              <w:rPr>
                <w:sz w:val="12"/>
                <w:szCs w:val="12"/>
                <w:color w:val="auto"/>
              </w:rPr>
            </w:pPr>
          </w:p>
        </w:tc>
        <w:tc>
          <w:tcPr>
            <w:tcW w:w="142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20" w:type="dxa"/>
            <w:vAlign w:val="bottom"/>
            <w:shd w:val="clear" w:color="auto" w:fill="CFF0FC"/>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(69,774 )</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(50,139 )</w:t>
            </w: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(98,403 )</w:t>
            </w:r>
          </w:p>
        </w:tc>
        <w:tc>
          <w:tcPr>
            <w:tcW w:w="8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(144,605 )</w:t>
            </w:r>
          </w:p>
        </w:tc>
      </w:tr>
      <w:tr>
        <w:trPr>
          <w:trHeight w:val="216"/>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202,137</w:t>
            </w:r>
          </w:p>
        </w:tc>
        <w:tc>
          <w:tcPr>
            <w:tcW w:w="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increase (decrease) for the period</w:t>
            </w:r>
          </w:p>
        </w:tc>
        <w:tc>
          <w:tcPr>
            <w:tcW w:w="1420" w:type="dxa"/>
            <w:vAlign w:val="bottom"/>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34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(193,207 )</w:t>
            </w:r>
          </w:p>
        </w:tc>
      </w:tr>
      <w:tr>
        <w:trPr>
          <w:trHeight w:val="20"/>
        </w:trPr>
        <w:tc>
          <w:tcPr>
            <w:tcW w:w="6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$69.8 million, consisting primarily of our net loss of $86.5 million, adjusted for $17.4 million of non-cash charges primarily related to stock-based compensation expense and accretion on marketable securities, partially offset by $0.7 million for net changes in operating assets and liabilities.</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$50.1 million, consisting primarily of our net loss of $69.1 million, adjusted for $12.6 million of non-cash charges primarily related to stock-based compensation expense and accretion on marketable securities and $6.4 million for net changes in operating assets and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$98.4 million, consisting of $263.6 million for purchases of marketable securities available-for-sale and $0.7 million for purchases of property and equipment, offset by $165.9 for maturities of marketable securities available-for-sale.</w:t>
      </w:r>
    </w:p>
    <w:p>
      <w:pPr>
        <w:spacing w:after="0" w:line="176"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$144.6 million, consisting of $143.8 million for purchases of marketable securities available-for-sale and $0.8 million for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$202.1 million, consisting primarily of proceeds from the issuance of common stock and pre-funded warrants from the 2024 Private Placement of $200 million, offset by issuance costs of $0.4 million, and proceeds from the issuance of common stock under benefit plans of $2.5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$1.5 million, related to proceeds from the issuance of common stock under benefit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Our material cash requirements consist of expected operating expenses to conduct our clinical trials and other research and development activities, facility and operating lease obligations.</w:t>
      </w:r>
    </w:p>
    <w:p>
      <w:pPr>
        <w:spacing w:after="0" w:line="162"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including with respect to TYRA-300, TYRA-300 ACH, TYRA-430 and TYRA-200 and other research programs, business planning, establishing and maintaining our intellectual property portfolio, hiring personnel, raising capital, and providing general and administrative support for these operations.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December 31, 2024 will be sufficient to meet our anticipated operating expenses and capital expenditures through at least 2027.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ind w:left="1140" w:right="300" w:hanging="383"/>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48"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current or future product candidates, including commercial scale manufacturing if any product candidate is approved;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current or future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98"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21"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personnel, as well as retaining personnel;</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current or future product candidate is approved;</w:t>
      </w:r>
    </w:p>
    <w:p>
      <w:pPr>
        <w:spacing w:after="0" w:line="198"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184"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issues with any of the above, including that the risk of each may be exacerbated by any future pandemics or epidemic diseases, potential geopolitical instability and war, inflation or rising interest rates.</w:t>
      </w:r>
    </w:p>
    <w:p>
      <w:pPr>
        <w:spacing w:after="0" w:line="162"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equity offerings, debt financings or other capital sources, including</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1" w:name="page112"/>
    <w:bookmarkEnd w:id="111"/>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94"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We lease our corporate office and laboratory space in Carlsbad, California. As of December 31, 2024, total future aggregate operating lease commitments were $8.7 million, with approximately $0.9 million due in 2025, and the remaining due in periods from 2026 through 2033. These obligations are further described in Note 10 to our audited financial statements.</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and purchase orders in the normal course of business with vendors for the provision of goods and services. These agreements may include certain provisions for termination, with notice, which typically consist of payments for services provided or expenses incurred through the date of cancellation. We believe that our non-cancelable obligations under these agreements are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(GAAP). The preparation of these financial statements requires us to make estimates and judgments that affect the reported amounts of assets, liabilities, revenue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8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1 to our financial statements included elsewhere in this filing, we believe the following accounting policies and estimates to be most critical to the preparation of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in the period incurred.</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clinical research organizations, clinical manufacturing organizations, clinical sites and other vendors and consultants. Payments for these activities are based on the terms of the individual agreements, which may differ from the pattern of costs incurred, and payments made in advance of or after the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the progress of the services, including the phase or completion of events, invoices received and contracted costs. The Company holds discussions with applicable personnel and outside service providers as to the progress of clinical trials, or the services completed. Significant judgments and estimates may be made in determining the prepaid or accrued balances at the end of any reporting period. Actual results could differ from the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2" w:name="page113"/>
    <w:bookmarkEnd w:id="112"/>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Company’s estimates. Nonrefundable advance payments for goods and services, including fees for process development, are deferred and recognized as expenses in the period that the related goods are consumed or services are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1 to our financial statements appearing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60" w:firstLine="749"/>
        <w:spacing w:after="0" w:line="276"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as amended (JOBS Act). We will remain an emerging growth company until the earliest to occur of: (i) the last day of the fiscal year in which we have more than $1.235 billion in annual revenue;</w:t>
      </w:r>
    </w:p>
    <w:p>
      <w:pPr>
        <w:spacing w:after="0" w:line="1" w:lineRule="exact"/>
        <w:rPr>
          <w:sz w:val="20"/>
          <w:szCs w:val="20"/>
          <w:color w:val="auto"/>
        </w:rPr>
      </w:pPr>
    </w:p>
    <w:p>
      <w:pPr>
        <w:ind w:left="280" w:hanging="272"/>
        <w:spacing w:after="0"/>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 (iii) the date on which we have</w:t>
      </w:r>
    </w:p>
    <w:p>
      <w:pPr>
        <w:spacing w:after="0" w:line="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more than $1.0 billion in non-convertible debt securities during the prior three-year period; and (iv) December 31, 2026. As a result of this status, we have taken advantage of reduced reporting requirements in this Annual Report on Form 10-K and may elect to take advantage of other reduced reporting requirements in our future filings with the SEC. In particular, in this Annual Report on Form 10-K, we have provided only two years of audited financial statements and have not included all of the executive compensation-related information that would be required if we were not an emerging growth company.</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if either (i) the market value of our stock held by non-affiliates is less than $250 million measured on the last business day of our second fiscal quarter or (ii) our annual revenue was less than $100 million during the most recently completed fiscal year and the market value of our stock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exposed to market risk based on changes in interest rates. Our cash, cash equivalents and marketable securities were $341.4 million as of December 31, 2024 and consisted of cash, money market funds and securities issued by the U.S. government and its agencies. Due to the short-term nature of these instruments, we believe that we do not have any material exposure to changes in the fair value of our portfolio. However, declines in interest rates would reduce future interest income and cash flow. A hypothetical 10% relative change in interest rates during the periods presented would not have had a material impact on our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expenses are generally denominated in U.S. dollars. However, we have entered into a limited number of contracts with vendors for research and development services that are denominated in foreign currencies. We are subject to foreign currency transaction gains or losses on our contracts denominated in foreign currencies. As of December 31, 2024, foreign currency transaction gains and losses have not been material to our financial statements, and we have not had a formal hedging program with respect to foreign currency. A hypothetical 10% increase or decrease in exchange rates during any of the periods presented would not have had a material impact on our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financial results during the periods presented.</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4" w:name="page115"/>
    <w:bookmarkEnd w:id="11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860" w:type="dxa"/>
            <w:vAlign w:val="bottom"/>
          </w:tcPr>
          <w:p>
            <w:pPr>
              <w:spacing w:after="0"/>
              <w:rPr>
                <w:sz w:val="20"/>
                <w:szCs w:val="20"/>
                <w:color w:val="auto"/>
              </w:rPr>
            </w:pPr>
          </w:p>
        </w:tc>
      </w:tr>
      <w:tr>
        <w:trPr>
          <w:trHeight w:val="418"/>
        </w:trPr>
        <w:tc>
          <w:tcPr>
            <w:tcW w:w="20" w:type="dxa"/>
            <w:vAlign w:val="bottom"/>
            <w:tcBorders>
              <w:bottom w:val="single" w:sz="8" w:color="0000EE"/>
            </w:tcBorders>
          </w:tcPr>
          <w:p>
            <w:pPr>
              <w:spacing w:after="0"/>
              <w:rPr>
                <w:sz w:val="24"/>
                <w:szCs w:val="24"/>
                <w:color w:val="auto"/>
              </w:rPr>
            </w:pPr>
          </w:p>
        </w:tc>
        <w:tc>
          <w:tcPr>
            <w:tcW w:w="5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42)</w:t>
            </w:r>
          </w:p>
        </w:tc>
        <w:tc>
          <w:tcPr>
            <w:tcW w:w="10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196"/>
        </w:trPr>
        <w:tc>
          <w:tcPr>
            <w:tcW w:w="20" w:type="dxa"/>
            <w:vAlign w:val="bottom"/>
            <w:tcBorders>
              <w:bottom w:val="single" w:sz="8" w:color="0000EE"/>
            </w:tcBorders>
          </w:tcPr>
          <w:p>
            <w:pPr>
              <w:spacing w:after="0"/>
              <w:rPr>
                <w:sz w:val="17"/>
                <w:szCs w:val="17"/>
                <w:color w:val="auto"/>
              </w:rPr>
            </w:pPr>
          </w:p>
        </w:tc>
        <w:tc>
          <w:tcPr>
            <w:tcW w:w="1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Balance Sheets</w:t>
            </w:r>
          </w:p>
        </w:tc>
        <w:tc>
          <w:tcPr>
            <w:tcW w:w="4260" w:type="dxa"/>
            <w:vAlign w:val="bottom"/>
            <w:gridSpan w:val="7"/>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20" w:type="dxa"/>
            <w:vAlign w:val="bottom"/>
          </w:tcPr>
          <w:p>
            <w:pPr>
              <w:spacing w:after="0"/>
              <w:rPr>
                <w:sz w:val="17"/>
                <w:szCs w:val="17"/>
                <w:color w:val="auto"/>
              </w:rPr>
            </w:pPr>
          </w:p>
        </w:tc>
        <w:tc>
          <w:tcPr>
            <w:tcW w:w="53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20" w:type="dxa"/>
            <w:vAlign w:val="bottom"/>
            <w:tcBorders>
              <w:top w:val="single" w:sz="8" w:color="0000EE"/>
              <w:bottom w:val="single" w:sz="8" w:color="0000EE"/>
            </w:tcBorders>
          </w:tcPr>
          <w:p>
            <w:pPr>
              <w:spacing w:after="0"/>
              <w:rPr>
                <w:sz w:val="17"/>
                <w:szCs w:val="17"/>
                <w:color w:val="auto"/>
              </w:rPr>
            </w:pPr>
          </w:p>
        </w:tc>
        <w:tc>
          <w:tcPr>
            <w:tcW w:w="25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Stockholders’ Equity</w:t>
            </w:r>
          </w:p>
        </w:tc>
        <w:tc>
          <w:tcPr>
            <w:tcW w:w="1120" w:type="dxa"/>
            <w:vAlign w:val="bottom"/>
            <w:tcBorders>
              <w:top w:val="single" w:sz="8" w:color="0000FF"/>
            </w:tcBorders>
          </w:tcPr>
          <w:p>
            <w:pPr>
              <w:spacing w:after="0"/>
              <w:rPr>
                <w:sz w:val="17"/>
                <w:szCs w:val="17"/>
                <w:color w:val="auto"/>
              </w:rPr>
            </w:pPr>
          </w:p>
        </w:tc>
        <w:tc>
          <w:tcPr>
            <w:tcW w:w="1680" w:type="dxa"/>
            <w:vAlign w:val="bottom"/>
            <w:gridSpan w:val="2"/>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196"/>
        </w:trPr>
        <w:tc>
          <w:tcPr>
            <w:tcW w:w="20" w:type="dxa"/>
            <w:vAlign w:val="bottom"/>
            <w:tcBorders>
              <w:bottom w:val="single" w:sz="8" w:color="0000EE"/>
            </w:tcBorders>
          </w:tcPr>
          <w:p>
            <w:pPr>
              <w:spacing w:after="0"/>
              <w:rPr>
                <w:sz w:val="17"/>
                <w:szCs w:val="17"/>
                <w:color w:val="auto"/>
              </w:rPr>
            </w:pPr>
          </w:p>
        </w:tc>
        <w:tc>
          <w:tcPr>
            <w:tcW w:w="18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w:t>
            </w:r>
          </w:p>
        </w:tc>
        <w:tc>
          <w:tcPr>
            <w:tcW w:w="20" w:type="dxa"/>
            <w:vAlign w:val="bottom"/>
            <w:tcBorders>
              <w:bottom w:val="single" w:sz="8" w:color="0000EE"/>
            </w:tcBorders>
          </w:tcPr>
          <w:p>
            <w:pPr>
              <w:spacing w:after="0"/>
              <w:rPr>
                <w:sz w:val="17"/>
                <w:szCs w:val="17"/>
                <w:color w:val="auto"/>
              </w:rPr>
            </w:pPr>
          </w:p>
        </w:tc>
        <w:tc>
          <w:tcPr>
            <w:tcW w:w="3460" w:type="dxa"/>
            <w:vAlign w:val="bottom"/>
            <w:gridSpan w:val="5"/>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196"/>
        </w:trPr>
        <w:tc>
          <w:tcPr>
            <w:tcW w:w="20" w:type="dxa"/>
            <w:vAlign w:val="bottom"/>
          </w:tcPr>
          <w:p>
            <w:pPr>
              <w:spacing w:after="0"/>
              <w:rPr>
                <w:sz w:val="17"/>
                <w:szCs w:val="17"/>
                <w:color w:val="auto"/>
              </w:rPr>
            </w:pPr>
          </w:p>
        </w:tc>
        <w:tc>
          <w:tcPr>
            <w:tcW w:w="53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5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885"/>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114</w:t>
            </w: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Tyra Biosciences,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Tyra Biosciences, Inc. (the Company) as of December 31, 2024 and 2023, the related statements of operations and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3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58,006</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249,475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145,463</w:t>
            </w:r>
          </w:p>
        </w:tc>
        <w:tc>
          <w:tcPr>
            <w:tcW w:w="10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211,671</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Pr>
          <w:p>
            <w:pPr>
              <w:spacing w:after="0"/>
              <w:rPr>
                <w:sz w:val="18"/>
                <w:szCs w:val="18"/>
                <w:color w:val="auto"/>
              </w:rPr>
            </w:pPr>
          </w:p>
        </w:tc>
      </w:tr>
      <w:tr>
        <w:trPr>
          <w:trHeight w:val="249"/>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363,558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tcPr>
          <w:p>
            <w:pPr>
              <w:spacing w:after="0"/>
              <w:rPr>
                <w:sz w:val="18"/>
                <w:szCs w:val="18"/>
                <w:color w:val="auto"/>
              </w:rPr>
            </w:pPr>
          </w:p>
        </w:tc>
      </w:tr>
      <w:tr>
        <w:trPr>
          <w:trHeight w:val="210"/>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50,000,000 shares</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authorized at December 31, 2024 and December 31, 2023;</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 shares issued and outstanding at December 31, 2024 and</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December 31, 2024 and December 31, 2023; 50,754,262 and</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43,099,055 shares issued at December 31, 2024 and</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respectively, and 50,749,945 and</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43,024,634 shares outstanding at December 31, 2024 and</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593,687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368,707</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(251,311 )</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(164,830 )</w:t>
            </w:r>
          </w:p>
        </w:tc>
      </w:tr>
      <w:tr>
        <w:trPr>
          <w:trHeight w:val="210"/>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343,151</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204,262</w:t>
            </w:r>
          </w:p>
        </w:tc>
        <w:tc>
          <w:tcPr>
            <w:tcW w:w="100" w:type="dxa"/>
            <w:vAlign w:val="bottom"/>
            <w:tcBorders>
              <w:top w:val="single" w:sz="8" w:color="CFF0FC"/>
            </w:tcBorders>
          </w:tcPr>
          <w:p>
            <w:pPr>
              <w:spacing w:after="0"/>
              <w:rPr>
                <w:sz w:val="18"/>
                <w:szCs w:val="18"/>
                <w:color w:val="auto"/>
              </w:rPr>
            </w:pPr>
          </w:p>
        </w:tc>
      </w:tr>
      <w:tr>
        <w:trPr>
          <w:trHeight w:val="250"/>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363,558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-4491355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-3651250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-3634105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-2519680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-316865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5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3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3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(104,177 )</w:t>
            </w:r>
          </w:p>
        </w:tc>
        <w:tc>
          <w:tcPr>
            <w:tcW w:w="4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(79,945 )</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3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(86,481 )</w:t>
            </w:r>
          </w:p>
        </w:tc>
        <w:tc>
          <w:tcPr>
            <w:tcW w:w="4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(69,134 )</w:t>
            </w:r>
          </w:p>
        </w:tc>
        <w:tc>
          <w:tcPr>
            <w:tcW w:w="0" w:type="dxa"/>
            <w:vAlign w:val="bottom"/>
          </w:tcPr>
          <w:p>
            <w:pPr>
              <w:spacing w:after="0"/>
              <w:rPr>
                <w:sz w:val="1"/>
                <w:szCs w:val="1"/>
                <w:color w:val="auto"/>
              </w:rPr>
            </w:pPr>
          </w:p>
        </w:tc>
      </w:tr>
      <w:tr>
        <w:trPr>
          <w:trHeight w:val="191"/>
        </w:trPr>
        <w:tc>
          <w:tcPr>
            <w:tcW w:w="682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Unrealized gain on marketable securities</w:t>
            </w:r>
          </w:p>
        </w:tc>
        <w:tc>
          <w:tcPr>
            <w:tcW w:w="1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tcBorders>
              <w:top w:val="single" w:sz="8" w:color="CFF0FC"/>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available-for-sale, net</w:t>
            </w:r>
          </w:p>
        </w:tc>
        <w:tc>
          <w:tcPr>
            <w:tcW w:w="1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60" w:type="dxa"/>
            <w:vAlign w:val="bottom"/>
            <w:shd w:val="clear" w:color="auto" w:fill="CFF0FC"/>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(86,092 )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(68,753 )</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160" w:type="dxa"/>
            <w:vAlign w:val="bottom"/>
          </w:tcPr>
          <w:p>
            <w:pPr>
              <w:jc w:val="right"/>
              <w:ind w:right="9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(1.51 )</w:t>
            </w:r>
          </w:p>
        </w:tc>
        <w:tc>
          <w:tcPr>
            <w:tcW w:w="4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198"/>
        </w:trPr>
        <w:tc>
          <w:tcPr>
            <w:tcW w:w="68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used to compute net loss</w:t>
            </w:r>
          </w:p>
        </w:tc>
        <w:tc>
          <w:tcPr>
            <w:tcW w:w="1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57,217,746</w:t>
            </w: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42,704,876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-1713865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-1148080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-856615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-436245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-419735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50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42,353,550</w:t>
            </w: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(95,696 )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benefit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464,596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shares of common</w:t>
            </w: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 subject to repurchase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206,488</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securities available-for-sale, net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(69,134 )</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(69,134 )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43,024,634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368,707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(164,830 )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2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net of</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$0.2 million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9,286,023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pre-funded warrants,</w:t>
            </w: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under</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Private Placement, net of</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costs of $0.2 million</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pre-funded warrant exercise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Exchange of common stock for</w:t>
            </w: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pre-funded warrants</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(3,000,000 )</w:t>
            </w: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664,184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shares of common</w:t>
            </w: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 subject to repurchase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70,104</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securities available-for-sale, net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(86,481 )</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(86,481 )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50,749,945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593,687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(251,311 )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-3196590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-3196590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-3196590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-3196590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-3196590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(86,481 )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(69,134 )</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on marketable securities, net</w:t>
            </w:r>
          </w:p>
        </w:tc>
        <w:tc>
          <w:tcPr>
            <w:tcW w:w="36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(5,884 )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(169 )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(2,823 )</w:t>
            </w: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(744 )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(69,774 )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(50,139 )</w:t>
            </w:r>
          </w:p>
        </w:tc>
      </w:tr>
      <w:tr>
        <w:trPr>
          <w:trHeight w:val="209"/>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(263,624 )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(143,835 )</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(664 )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(770 )</w:t>
            </w:r>
          </w:p>
        </w:tc>
      </w:tr>
      <w:tr>
        <w:trPr>
          <w:trHeight w:val="20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(98,403</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issuances of common stock under benefit plans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from Private Placement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issuance costs for common stock and pre-funded warrants from Private Placement</w:t>
            </w:r>
          </w:p>
        </w:tc>
        <w:tc>
          <w:tcPr>
            <w:tcW w:w="36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(420 )</w:t>
            </w:r>
          </w:p>
        </w:tc>
        <w:tc>
          <w:tcPr>
            <w:tcW w:w="3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202,137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increase (decrease) for the period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(193,207 )</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59,006</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776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 to the</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4"/>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sheet</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58,006</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59,006</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6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Vesting of options early exercised subject to repurchase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-3402330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-2858135</wp:posOffset>
            </wp:positionV>
            <wp:extent cx="9398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-2858135</wp:posOffset>
            </wp:positionV>
            <wp:extent cx="9398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-1996440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-1713865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-993775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its accelerated small molecule drug discovery engine to develop therapies in targeted oncology and genetically defined conditions.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It has incurred losses and negative cash flows from operations since commencement of its operations. The Company had an accumulated deficit of $251.3 million and cash, cash equivalents and marketable securities of $341.4 million as of December 31, 2024. From its inception through December 31, 2024, the Company has financed its operations primarily through the sale of common stock, private placements of its convertible preferred stock, and the issuance of common stock and pre-funded common stock warrants through a private placement.</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Management believes that it has sufficient working capital on hand to fund operations through at least the next twelve months from the date of issuance of these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generally accepted accounting principles in the United States (GAAP). Any reference in these notes to applicable guidance is meant to refer to GAAP as found in the Accounting Standards Codification (ASC) and Accounting Standards Updates (ASU) promulgated by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Estimates and assumptions made in the accompanying financial statements include, but are not limited to, the valuation of share-based awards, the valuation of deferred tax assets and income tax uncertainties, accruals for research and development activities, and incremental borrowing rate (IBR) for right-of-use (ROU) assets. The Company bases its estimates on historical experience and on various other assumptions that are believed to be reasonable. Actual results may differ from those estimates or assumptions.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1" w:name="page122"/>
    <w:bookmarkEnd w:id="1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a significant concentration of credit risk consist of cash,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nature of the instruments held in the depository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Cash equivalents primarily represent funds invested in readily available money market accounts. As of December 31, 2024, the Company had cash and cash equivalents balances deposited at major financial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or accreted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sales of these investments to fund current operations, as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Company regularly reviews its portfolio for declines in fair value. For investments in an unrealized loss position, the Company assesses whether the decline is based on credit losses or other factor. As part of this assessment, the Company considers the cause of the impairment, the creditworthiness of the security issuers, current market conditions, the number of securities in an unrealized loss position, the severity of the losses, whether it will be required or will intend to sell the investment before recovery of its amortized cost basis. If fair value decline is determined to be due to a credit-related factor, the amortized cost basis is written down to fair value through net loss. If fair value decline is not due to credit-related factors, a loss is recorded in other comprehensive income or loss. The Company recognizes an allowance for credit losses up to the amount of the unrealized loss when appropriate.</w:t>
      </w:r>
    </w:p>
    <w:p>
      <w:pPr>
        <w:spacing w:after="0" w:line="18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We do not measure an allowance for credit losses for accrued interest receivables. For the purposes of identifying and measuring an impairment, accrued interest is excluded from both the fair value and amortized costs basis of the investment. Uncollectible accrued interest receivables associated with an impaired marketable security are reversed against interest income in a timely manner upon identification of the impairment.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98" w:lineRule="exact"/>
        <w:rPr>
          <w:sz w:val="20"/>
          <w:szCs w:val="20"/>
          <w:color w:val="auto"/>
        </w:rPr>
      </w:pPr>
    </w:p>
    <w:p>
      <w:pPr>
        <w:ind w:left="760" w:right="640"/>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—Quoted prices for similar assets and liabilities in active markets, quoted prices in markets that are not active, or inputs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either directly or indirectly, for substantially the full term of the asset or liability.</w:t>
      </w:r>
    </w:p>
    <w:p>
      <w:pPr>
        <w:spacing w:after="0" w:line="1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supported by little or no market activity).</w:t>
      </w:r>
    </w:p>
    <w:p>
      <w:pPr>
        <w:spacing w:after="0" w:line="9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Money market funds are highly liquid investments and are classified as Level 1. The pricing information for these assets is readily available and can be independently validated as of the measurement date. Available-for-sale debt securities, including U.S. Treasury securities and U.S. Agency bonds are classified as Level 2. These securities are valued using fair value from third-party pricing services, which may use observable inputs based on real-time trade data for similar assets, broker/dealer quotes, bids and/or offers and other observable inputs. The Company validates valuations obtained from third-party pricing services by understanding the models used and obtaining market values from independent 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Restricted cash is comprised of cash that is restricted as to its withdrawal or use under the terms of certain contractual agreements. Restricted cash as of December 31, 2024 and 2023 was $1.0 million, which consisted of collateral for letters of credit related to the Company’s operating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and depreciated using the straight-line method over the estimated useful lives of the assets (generally three to seven years, or the remaining term of the 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undiscounted-cash-flow basis, an impairment is recognized to the extent that the carrying value exceeds its fair value. The Company did not recognize impairment losses for the years ended December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in the period incurred.</w:t>
      </w:r>
    </w:p>
    <w:p>
      <w:pPr>
        <w:spacing w:after="0" w:line="17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clinical research organizations, clinical manufacturing organizations, clinical sites and other vendors and consultants. Payments for these activities are based on the terms of the individual agreements, which may differ from the pattern of costs incurred, and payments made in advance of or after the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The Company holds discussions with applicable personnel and outside service providers as to the progress of clinical trials, or the services completed. Significant judgments and estimates may be made in determining the prepaid or accrued balances at the end of any reporting period. Actual results could differ from the Company’s estimates. Nonrefundable advance payments for goods and services, including fees for process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are deferred and recognized as expenses in the period that the related goods are consumed or services are performed.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office and lab space. 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ROU asset upon commencement of the lease using the implicit rate or a discount rate based on a credit-adjusted secured borrowing rate commensurate with the term of the lease. The Company evaluates leases at their inception to determine if they are to be accounted for as an operating lease or a finance lease.</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Operating lease assets represent a right to use an underlying asset for the lease term and operating lease liabilities represent an obligation to make lease payments arising from the lease. Operating lease liabilities with a term greater than one year and their corresponding ROU assets are recognized on the balance sheet at the commencement date of the lease based on the present value of lease payments over the expected lease term. The Company excludes short-term leases, if any, having initial terms of 12 months or less at lease commencement as an accounting policy election.</w:t>
      </w:r>
    </w:p>
    <w:p>
      <w:pPr>
        <w:spacing w:after="0" w:line="180" w:lineRule="exact"/>
        <w:rPr>
          <w:sz w:val="20"/>
          <w:szCs w:val="20"/>
          <w:color w:val="auto"/>
        </w:rPr>
      </w:pPr>
    </w:p>
    <w:p>
      <w:pPr>
        <w:jc w:val="both"/>
        <w:ind w:right="40" w:firstLine="749"/>
        <w:spacing w:after="0" w:line="272" w:lineRule="auto"/>
        <w:rPr>
          <w:sz w:val="20"/>
          <w:szCs w:val="20"/>
          <w:color w:val="auto"/>
        </w:rPr>
      </w:pPr>
      <w:r>
        <w:rPr>
          <w:rFonts w:ascii="Times New Roman" w:cs="Times New Roman" w:eastAsia="Times New Roman" w:hAnsi="Times New Roman"/>
          <w:sz w:val="17"/>
          <w:szCs w:val="17"/>
          <w:color w:val="auto"/>
        </w:rPr>
        <w:t>Certain adjustments to the ROU assets may be required for items such as payments made at or before the commencement date, initial direct costs paid or lease incentives received. As the Company’s leases do not typically provide an implicit rate, the Company utilizes the appropriate IBR, determined as the rate of interest that the Company would have to pay to borrow on a collateralized basis over a similar term and in a similar economic environment.</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In measuring the ROU assets and lease liabilities, the Company has elected to combine lease and non-lease components.</w:t>
      </w:r>
    </w:p>
    <w:p>
      <w:pPr>
        <w:spacing w:after="0" w:line="18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Operating ROU assets are reflected in right-of-use assets in the accompanying balance sheets. Operating lease liabilities are reflected in lease liabilities, current and noncurrent in the accompanying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Common stock warrants are classified as either a liability or equity, based on an assessment of specific terms and applicable authoritative guidance in ASC 480, Distinguishing Liabilities from Equity (ASC 480) and ASC 815, Derivatives and Hedging (ASC 815). The Company considers whether the warrants are freestanding financial instruments, whether they meet the definition of a liability pursuant to ASC 480, and whether they meet all of the requirements for equity classification under ASC 815. This assessment is performed at the time of warrant issuance and re-assessed as of each subsequent quarterly balance sheet date, while the warrants are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officer, director and non-employee equity awards, estimated in accordance with the applicable accounting guidance, and, for those awards subject only to service conditions, recognized on a straight-line basis over the vesting period. The vesting period generally approximates the expected service period of the awards. The Company recognizes stock-based compensation expense for awards with performance conditions when it is probable that the condition will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met, and the award will vest. If the achievement of performance conditions is no longer deemed probable, previously recognized compensation cost is reversed. For awards with performance and service conditions, the Company begins recording share-based compensation when achieving the performance criteria is probable and recognizes the costs using the accelerated attribution method. The Company recognizes forfeitures as they occur.</w:t>
      </w:r>
    </w:p>
    <w:p>
      <w:pPr>
        <w:spacing w:after="0" w:line="20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fair value of stock options is estimated using a Black-Scholes valuation model on the date of grant. This method requires certain assumptions to be used as inputs, such as the fair value of the underlying common stock, expected term of the option before exercise, expected volatility of the Company’s common stock, risk-free interest rate and expected dividend.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estimated based on the average historical volatilities of common stock of comparable publicly traded companies and the Company's own volatility. The comparable companies are chosen based on their size and stage in the life cycle.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8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183"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maintained valuation allowances against its deferred tax assets as the Company concluded it had not met the “more likely than not” to be realized threshold. Changes in the valuation allowance when they are recognized in the provision for income taxes may result in a change in the estimated annual effective tax rate.</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unrecognized tax benefits within income tax expense. Any accrued interest and penalties are included within the related tax liability. As of December 31, 2024, the Company had no accrued interest or penalties.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 or loss. Other comprehensive income (loss) refers to gains or losses that are recorded as an element of stockholders’ equity but are excluded from net loss. The Company’s other comprehensive income (loss) consists of unrealized gains and losses on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unvested common stock, unvested common stock upon early exercise of stock options, outstanding stock options under the Company’s equity incentive plan, and estimated shares purchasable under the employee stock purchase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Transactions between related parties are considered to be related party transactions even though they may not be given accounting recognition. FASB ASC 850, Related Party Disclosures (ASC 850) requires that transactions with related parties that would make a difference in decision making shall be disclosed so that users of the financial statements can evaluate their significance.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Implementation Costs</w:t>
      </w:r>
    </w:p>
    <w:p>
      <w:pPr>
        <w:spacing w:after="0" w:line="2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implementation costs incurred under a cloud computing arrangement that is a service contract. Costs incurred during the application development stage related to the implementation of the hosting arrangement are capitalized and included within prepaid and other current assets, and other long-term assets on the accompanying balance sheets. Amortization of capitalized implementation costs is recognized on a straight-line basis over the term of the associated hosting arrangement when it is ready for its intended use. Costs related to preliminary project activities and post-implementation activities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20" w:firstLine="749"/>
        <w:spacing w:after="0" w:line="277" w:lineRule="auto"/>
        <w:rPr>
          <w:sz w:val="20"/>
          <w:szCs w:val="20"/>
          <w:color w:val="auto"/>
        </w:rPr>
      </w:pPr>
      <w:r>
        <w:rPr>
          <w:rFonts w:ascii="Times New Roman" w:cs="Times New Roman" w:eastAsia="Times New Roman" w:hAnsi="Times New Roman"/>
          <w:sz w:val="17"/>
          <w:szCs w:val="17"/>
          <w:color w:val="auto"/>
        </w:rPr>
        <w:t>On August 5, 2020, the FASB issued ASU 2020-06, “Debt - Debt With Conversion and Other Options (Subtopic 470-20) and Derivatives and Hedging - Contracts in Entity’s Own Equity (Subtopic 815-40)”, which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For smaller reporting companies, this ASU is effective for fiscal years beginning after December 15, 2023. The Company adopted this standard effective January 1, 2024, which did not have a material impact on the Company's financial statements.</w:t>
      </w:r>
    </w:p>
    <w:p>
      <w:pPr>
        <w:spacing w:after="0" w:line="168"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updates reportable segment disclosure requirements, primarily through enhanced disclosures about significant segment expenses. ASU 2023-07 is effective for all entities for fiscal years beginning after December 15, 2023, and for interim periods within fiscal years beginning after December 15,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2024. Public entities with a single reportable segment are required to apply the disclosure requirements in ASU-2023-07, as well as all existing segments disclosures as required by ASC 280. The Company adopted this standard effective January 1, 2024 and retrospectively to all prior periods. The adoption impacted the disclosures and did not impact the financial statements. See Note 13,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disclosures related to the adoption of ASU 2023-07.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Accounting Pronouncements Not Yet Adopted</w:t>
      </w:r>
    </w:p>
    <w:p>
      <w:pPr>
        <w:spacing w:after="0" w:line="229" w:lineRule="exact"/>
        <w:rPr>
          <w:sz w:val="20"/>
          <w:szCs w:val="20"/>
          <w:color w:val="auto"/>
        </w:rPr>
      </w:pPr>
    </w:p>
    <w:p>
      <w:pPr>
        <w:ind w:right="80" w:firstLine="749"/>
        <w:spacing w:after="0" w:line="277"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ASU 2024-03 requires public entities to disclose specified information about certain costs and expenses on an interim and annual basis and is effective for annual reporting periods beginning after December 15, 2026 and interim periods beginning after December 15, 2027, with early adoption permitted. The new standard is expected to be applied prospectively, but retrospective application is permitted. The Company is currently evaluating the impact of ASU 2024-03 on the financial statements and related disclosures.</w:t>
      </w:r>
    </w:p>
    <w:p>
      <w:pPr>
        <w:spacing w:after="0" w:line="16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ASU 2023-09 on its financial statements and related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show the Company’s cash, cash equivalents, marketable securities, and restricted cash measured at fair value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0"/>
                <w:szCs w:val="10"/>
                <w:color w:val="auto"/>
              </w:rPr>
            </w:pPr>
          </w:p>
        </w:tc>
        <w:tc>
          <w:tcPr>
            <w:tcW w:w="1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0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5"/>
                <w:szCs w:val="5"/>
                <w:color w:val="auto"/>
              </w:rPr>
            </w:pPr>
          </w:p>
        </w:tc>
        <w:tc>
          <w:tcPr>
            <w:tcW w:w="162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 (Level</w:t>
            </w:r>
          </w:p>
        </w:tc>
        <w:tc>
          <w:tcPr>
            <w:tcW w:w="10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09"/>
        </w:trPr>
        <w:tc>
          <w:tcPr>
            <w:tcW w:w="4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3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126,495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126,495</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249,475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249,475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342,441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249,475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-316865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-316865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0"/>
                <w:szCs w:val="10"/>
                <w:color w:val="auto"/>
              </w:rPr>
            </w:pPr>
          </w:p>
        </w:tc>
        <w:tc>
          <w:tcPr>
            <w:tcW w:w="1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0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5"/>
                <w:szCs w:val="5"/>
                <w:color w:val="auto"/>
              </w:rPr>
            </w:pPr>
          </w:p>
        </w:tc>
        <w:tc>
          <w:tcPr>
            <w:tcW w:w="162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 (Level</w:t>
            </w:r>
          </w:p>
        </w:tc>
        <w:tc>
          <w:tcPr>
            <w:tcW w:w="10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09"/>
        </w:trPr>
        <w:tc>
          <w:tcPr>
            <w:tcW w:w="4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58,006</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95,599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145,463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145,463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204,469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59,006</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145,463</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marketable securities (see below and Note 2) accounted for as available-for-sale securities (in thousands, except years):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220" w:type="dxa"/>
            <w:vAlign w:val="bottom"/>
          </w:tcPr>
          <w:p>
            <w:pPr>
              <w:spacing w:after="0"/>
              <w:rPr>
                <w:sz w:val="10"/>
                <w:szCs w:val="10"/>
                <w:color w:val="auto"/>
              </w:rPr>
            </w:pPr>
          </w:p>
        </w:tc>
        <w:tc>
          <w:tcPr>
            <w:tcW w:w="14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0"/>
                <w:szCs w:val="10"/>
                <w:color w:val="auto"/>
              </w:rPr>
            </w:pPr>
          </w:p>
        </w:tc>
        <w:tc>
          <w:tcPr>
            <w:tcW w:w="1420" w:type="dxa"/>
            <w:vAlign w:val="bottom"/>
            <w:gridSpan w:val="4"/>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20" w:type="dxa"/>
            <w:vAlign w:val="bottom"/>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one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 than one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6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220" w:type="dxa"/>
            <w:vAlign w:val="bottom"/>
          </w:tcPr>
          <w:p>
            <w:pPr>
              <w:spacing w:after="0"/>
              <w:rPr>
                <w:sz w:val="10"/>
                <w:szCs w:val="10"/>
                <w:color w:val="auto"/>
              </w:rPr>
            </w:pPr>
          </w:p>
        </w:tc>
        <w:tc>
          <w:tcPr>
            <w:tcW w:w="14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0"/>
                <w:szCs w:val="10"/>
                <w:color w:val="auto"/>
              </w:rPr>
            </w:pPr>
          </w:p>
        </w:tc>
        <w:tc>
          <w:tcPr>
            <w:tcW w:w="1420" w:type="dxa"/>
            <w:vAlign w:val="bottom"/>
            <w:gridSpan w:val="4"/>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 than one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one</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2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-2399665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-2382520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-2399665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-2382520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-2399665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-2382520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-1216660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-1216660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-1216660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fair values and gross unrealized losses for those available-for-sale securities that were in an unrealized loss position, aggregated by category and the length of time that the securities have been in a continuous loss position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2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7"/>
                <w:szCs w:val="17"/>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3"/>
        </w:trPr>
        <w:tc>
          <w:tcPr>
            <w:tcW w:w="2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76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2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25,924</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25,924</w:t>
            </w:r>
          </w:p>
        </w:tc>
        <w:tc>
          <w:tcPr>
            <w:tcW w:w="76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15"/>
        </w:trPr>
        <w:tc>
          <w:tcPr>
            <w:tcW w:w="2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2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7"/>
                <w:szCs w:val="17"/>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3"/>
        </w:trPr>
        <w:tc>
          <w:tcPr>
            <w:tcW w:w="2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28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U.S. government agency securities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00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76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26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26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7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-1053465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-1036320</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-1053465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-1036320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-1053465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-1036320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-1053465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-1036320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-1053465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-1036320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-170815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there were six available-for-sale securities with an estimated fair value of $25.9 million in gross unrealized loss positions for less than 12 months. As of December 31, 2024, unrealized losses on available-for-sale securities are not attributed to credit risk. The Company believes that an allowance for credit losses is unnecessary because the unrealized loss is due to market factors and interest rate fluctuations. Additionally, the Company does not intend to sell the securities nor is it more likely than not that the Company will be required to sell the securities before recovery of their amortized cost basis.</w:t>
      </w:r>
    </w:p>
    <w:p>
      <w:pPr>
        <w:spacing w:after="0" w:line="183"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marketable securities excludes $2.0 million and $0.7 million of accrued interest receivable as of December 31, 2024 and 2023, respectively. Accrued interest receivable is included in prepaid expenses and other current assets on the Company's balance sheets. We have not written off any accrued interest receivables for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(1,281 )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(807 )</w:t>
            </w: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recognized $0.5 million and $0.4 million in depreciation expense for the years ended December 31,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18"/>
                <w:szCs w:val="18"/>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other general and administrative fees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r>
      <w:tr>
        <w:trPr>
          <w:trHeight w:val="250"/>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shd w:val="clear" w:color="auto" w:fill="CFF0FC"/>
          </w:tcPr>
          <w:p>
            <w:pPr>
              <w:spacing w:after="0"/>
              <w:rPr>
                <w:sz w:val="21"/>
                <w:szCs w:val="21"/>
                <w:color w:val="auto"/>
              </w:rPr>
            </w:pPr>
          </w:p>
        </w:tc>
      </w:tr>
      <w:tr>
        <w:trPr>
          <w:trHeight w:val="439"/>
        </w:trPr>
        <w:tc>
          <w:tcPr>
            <w:tcW w:w="77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Common stock reserved for future issuance consisted of the following:</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7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granted and outstanding</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10,462,129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8,276,442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the 2021</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Incentive Award Plan</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3,051,588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7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the</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1,491,195</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1,129,399</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8,382,187</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23,387,099</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13,083,154</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-2193925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-2176780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October 3, 2022, the Company entered into an ATM Sales Agreement (the Sales Agreement) with Virtu Americas LLC (the Agent), under which the Company may, from time to time, sell shares of its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As of December 31, 2024, no shares of common stock were issued and sold pursuant to the Sales Agreement since inception.</w:t>
      </w:r>
    </w:p>
    <w:p>
      <w:pPr>
        <w:spacing w:after="0" w:line="183"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On February 1, 2024, the Company entered into a securities purchase agreement for a private placement of 9,286,023 shares of the Company's common stock at a price of $13.01 per share (the 2024 Private Placement). The 2024 Private Placement also included pre-funded warrants (the 2024 Pre-Funded Warrants) to purchase an aggregate of 6,087,230 shares of common stock at a purchase price of $13.009 per pre-funded warrant. Each pre-funded warrant has an exercise price of $0.001 per share of common stock, is immediately exercisable on the date of issuance and will not expire. The 2024 Private Placement closed on February 6, 2024 and the Company received gross proceeds of approximately $200 million, before deducting offering expenses of $0.4 million. On March 19, 2024, the Company filed a registration statement on Form S-3 with the SEC registering the resale of the shares of common stock issued, or underlying the pre-funded warrants issued, in the 2024 Private Placement. The 2024 Pre-funded Warrants did not meet the characteristics of a liability or a derivative and are classified within stockholders' equity.</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RA Capital Healthcare Fund, L.P. (RA Capital) is considered a related party to the Company because Jake Simson, Ph.D. is a member of the Company's board of directors and a partner at RA Capital. In connection with the 2024 Private Placement, the Company issued 3,180,155 shares of common stock and pre-funded warrants to purchase 1,538,457 shares of the Company's common stock to RA Capital, resulting in aggregate gross proceeds of approximately $61.4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Boxer Capital, LLC (Boxer Capital) was considered a related party to the Company because, at the time of the 2024 Private Placement closing, Siddarth Subramony, Ph.D., was a member of the Company's board of directors and a managing director of Boxer Capital. Dr. Subramony subsequently resigned from the Company's board of directors on October 24, 2024. In connection with the 2024 Private Placement, the Company issued 63,412 shares of common stock and pre-funded warrants to purchase 705,280 shares of the Company's common stock to Boxer Capital, resulting in aggregate gross proceeds of approximately $10.0 million. During the year ended December 31, 2024, Boxer Capital exercised 705,043 of 2024 Pre-Funded Warrants in cashless transactions, which resulted in 705,000 shares of common stock being issued to Boxer Capital. There were no other 2024 Pre-Funded Warrant exercises during the period.</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Nextech VI Oncology SCSP is considered a related party to the Company because Melissa McCracken, Ph.D., is a member of the Company's board of directors and a principal at Nextech Invest Ltd. (an affiliate of Nextech VI Oncology SCSP). In connection with the 2024 Private Placement, the Company issued 1,537,279 shares of common stock to Nextech VI Oncology SCSP, resulting in aggregate gross proceeds of approximately $20.0 million.</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October 18, 2024, the Company entered into an exchange agreement with Boxer Capital and RA Capital, the Company's stockholders and related parties to the Company at the time of the exchange. Pursuant to the exchange agreement (i) Boxer Capital agreed to exchange 2,000,000 shares of the Company’s common stock for one or more pre-funded warrants to acquire an aggregate of 2,000,000 shares of common stock and (ii) RA Capital agreed to exchange 1,000,000 shares of common stock for one or more pre-funded warrants to acquire an aggregate of 1,000,000 shares of common stock (each of such pre-funded warrants an Exchange Warrant and collectively the Exchange Warrants, and such exchanges of common stock for Exchange Warrants collectively the Exchange). Each Exchange Warrant has an exercise price of $0.001 per share of common stock, is immediately exercisable on the date of issuance and will not expire. No cash was exchanged related to the transaction. The Exchange closed on October 22, 2024. The Exchange Warrants did not meet the characteristics of a liability or a derivative and are classified within stockholders' equity. During the year ended December 31, 2024, there were no exercises of the Exchange Warrants.</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2024, a total of 8,382,187 pre-funded warrants remained available for exercise, including 3,000,000 Exchange Warrants and 5,382,187 2024 Pre-Funded Warrants. In February 2025, Boxer Capital exercised its remaining 2024 Pre-Funded Warrants and Exchange Warrants (see Note 14 - Subsequent Events). Following Boxer Capital's exercises, a total of 6,381,950 pre-funded warrants remained available for exercise, including 1,000,000 Exchange Warrants and 5,381,950 2024 Pre-Funded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Incentive Plans and Stock-Based Compensation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September 2021, the Company's Board of Directors adopted, and its stockholders approved, the 2021 Incentive Award Plan (the 2021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adoption of the 2021 Plan, the Company restricted the grant of future equity awards under the 2020 Equity Incentive Plan (the 2020 Plan).</w:t>
      </w:r>
    </w:p>
    <w:p>
      <w:pPr>
        <w:spacing w:after="0" w:line="2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2021 Plan provides for the grants of stock options and other equity-based awards to employees, non-employee directors, and consultants of the Company. Shares that expire, terminate or are cancelled under the 2020 Plan are added back to the 2021 Plan share reserve.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The Company issues new shares of common stock upon exercise of options. As of December 31, 2024, 3,051,588 shares were available for future grant under the 2021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4"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year ended December 31, 2024 was as follows (in thousands, except share and per share data and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8,276,442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3,070,898</w:t>
            </w: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(594,990 )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(290,221 )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10,462,129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5,042,930</w:t>
            </w:r>
          </w:p>
        </w:tc>
        <w:tc>
          <w:tcPr>
            <w:tcW w:w="22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4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10,462,129</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13.43</w:t>
            </w:r>
          </w:p>
        </w:tc>
        <w:tc>
          <w:tcPr>
            <w:tcW w:w="14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33,798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-350520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-334010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In September 2021, the Company’s Board of Directors adopted, and its stockholders approved, the 2021 Employee Stock Purchase Plan (ESPP).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As of December 31, 2024, there were 1,491,195 shares available for future purchase under the ESPP.</w:t>
      </w:r>
    </w:p>
    <w:p>
      <w:pPr>
        <w:spacing w:after="0" w:line="183"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of $0.3 million and $0.5 million for the years ended December 31, 2024 and 2023, respectively, related to the ESPP. As of December 31, 2024, the remaining unrecognized compensation expense related to the ESPP was $0.4 million, and is expected to be recognized as expense over a weighted-average period of approximately 1.5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40" w:type="dxa"/>
            <w:vAlign w:val="bottom"/>
            <w:gridSpan w:val="3"/>
          </w:tcPr>
          <w:p>
            <w:pPr>
              <w:jc w:val="center"/>
              <w:ind w:right="159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7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center"/>
              <w:ind w:right="15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jc w:val="center"/>
              <w:ind w:right="3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740" w:type="dxa"/>
            <w:vAlign w:val="bottom"/>
            <w:gridSpan w:val="3"/>
          </w:tcPr>
          <w:p>
            <w:pPr>
              <w:jc w:val="center"/>
              <w:ind w:left="56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- 4.6%</w:t>
            </w: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3.5 - 4.7%</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5.3 - 6.1</w:t>
            </w:r>
          </w:p>
        </w:tc>
        <w:tc>
          <w:tcPr>
            <w:tcW w:w="2740" w:type="dxa"/>
            <w:vAlign w:val="bottom"/>
            <w:gridSpan w:val="3"/>
          </w:tcPr>
          <w:p>
            <w:pPr>
              <w:jc w:val="center"/>
              <w:ind w:left="581"/>
              <w:spacing w:after="0"/>
              <w:rPr>
                <w:sz w:val="20"/>
                <w:szCs w:val="20"/>
                <w:color w:val="auto"/>
              </w:rPr>
            </w:pPr>
            <w:r>
              <w:rPr>
                <w:rFonts w:ascii="Times New Roman" w:cs="Times New Roman" w:eastAsia="Times New Roman" w:hAnsi="Times New Roman"/>
                <w:sz w:val="18"/>
                <w:szCs w:val="18"/>
                <w:color w:val="auto"/>
                <w:w w:val="99"/>
              </w:rPr>
              <w:t>5.2 - 6.1</w:t>
            </w:r>
          </w:p>
        </w:tc>
      </w:tr>
      <w:tr>
        <w:trPr>
          <w:trHeight w:val="21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- 98.7%</w:t>
            </w:r>
          </w:p>
        </w:tc>
        <w:tc>
          <w:tcPr>
            <w:tcW w:w="2740" w:type="dxa"/>
            <w:vAlign w:val="bottom"/>
            <w:gridSpan w:val="3"/>
            <w:shd w:val="clear" w:color="auto" w:fill="CFF0FC"/>
          </w:tcPr>
          <w:p>
            <w:pPr>
              <w:jc w:val="center"/>
              <w:ind w:left="561"/>
              <w:spacing w:after="0"/>
              <w:rPr>
                <w:sz w:val="20"/>
                <w:szCs w:val="20"/>
                <w:color w:val="auto"/>
              </w:rPr>
            </w:pPr>
            <w:r>
              <w:rPr>
                <w:rFonts w:ascii="Times New Roman" w:cs="Times New Roman" w:eastAsia="Times New Roman" w:hAnsi="Times New Roman"/>
                <w:sz w:val="18"/>
                <w:szCs w:val="18"/>
                <w:color w:val="auto"/>
              </w:rPr>
              <w:t>86.2 - 92.3 %</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tcPr>
          <w:p>
            <w:pPr>
              <w:spacing w:after="0"/>
              <w:rPr>
                <w:sz w:val="20"/>
                <w:szCs w:val="20"/>
                <w:color w:val="auto"/>
              </w:rPr>
            </w:pPr>
          </w:p>
        </w:tc>
        <w:tc>
          <w:tcPr>
            <w:tcW w:w="740" w:type="dxa"/>
            <w:vAlign w:val="bottom"/>
          </w:tcPr>
          <w:p>
            <w:pPr>
              <w:jc w:val="center"/>
              <w:ind w:right="355"/>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has been reported in the statements of operations and comprehensive loss as follows (in thousands):</w:t>
      </w:r>
    </w:p>
    <w:p>
      <w:pPr>
        <w:spacing w:after="0" w:line="15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4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0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8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8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8"/>
                <w:szCs w:val="18"/>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8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8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shd w:val="clear" w:color="auto" w:fill="CFF0FC"/>
          </w:tcPr>
          <w:p>
            <w:pPr>
              <w:spacing w:after="0"/>
              <w:rPr>
                <w:sz w:val="21"/>
                <w:szCs w:val="21"/>
                <w:color w:val="auto"/>
              </w:rPr>
            </w:pPr>
          </w:p>
        </w:tc>
      </w:tr>
      <w:tr>
        <w:trPr>
          <w:trHeight w:val="844"/>
        </w:trPr>
        <w:tc>
          <w:tcPr>
            <w:tcW w:w="4040" w:type="dxa"/>
            <w:vAlign w:val="bottom"/>
            <w:tcBorders>
              <w:top w:val="single" w:sz="8" w:color="CFF0FC"/>
            </w:tcBorders>
          </w:tcPr>
          <w:p>
            <w:pPr>
              <w:spacing w:after="0"/>
              <w:rPr>
                <w:sz w:val="24"/>
                <w:szCs w:val="24"/>
                <w:color w:val="auto"/>
              </w:rPr>
            </w:pPr>
          </w:p>
        </w:tc>
        <w:tc>
          <w:tcPr>
            <w:tcW w:w="2480" w:type="dxa"/>
            <w:vAlign w:val="bottom"/>
            <w:tcBorders>
              <w:top w:val="single" w:sz="8" w:color="CFF0FC"/>
            </w:tcBorders>
          </w:tcPr>
          <w:p>
            <w:pPr>
              <w:jc w:val="right"/>
              <w:ind w:right="670"/>
              <w:spacing w:after="0"/>
              <w:rPr>
                <w:sz w:val="20"/>
                <w:szCs w:val="20"/>
                <w:color w:val="auto"/>
              </w:rPr>
            </w:pPr>
            <w:r>
              <w:rPr>
                <w:rFonts w:ascii="Times New Roman" w:cs="Times New Roman" w:eastAsia="Times New Roman" w:hAnsi="Times New Roman"/>
                <w:sz w:val="18"/>
                <w:szCs w:val="18"/>
                <w:color w:val="auto"/>
              </w:rPr>
              <w:t>131</w:t>
            </w:r>
          </w:p>
        </w:tc>
        <w:tc>
          <w:tcPr>
            <w:tcW w:w="1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-1070610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-1053465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4"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years ended December 31, 2024 and 2023 was $15.95 and $9.96 per share, respectively.</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entered into a transition agreement (the Transition Agreement) with its Chief Medical Officer. The Transition Agreement included accelerated vesting of 50% of unvested stock options and modified the original award terms to extend the exercise period of vested options from three months to two years from the separation date. As a result, the Company recognized an additional stock-based compensation expense of $2.0 million recorded within research and development expenses.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2024 and 2023, forfeitures resulting in the reversal of compensation expenses were immaterial.</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the unrecognized compensation cost related to options was $65.1 million, and is expected to be recognized as expense over a weighted-average period of approximately 2.5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19"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(86,481 )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(69,134 )</w:t>
            </w: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57,250,061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42,882,832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weighted-average unvested restricted common stock subject to repurchase</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(2,393 )</w:t>
            </w:r>
          </w:p>
        </w:tc>
        <w:tc>
          <w:tcPr>
            <w:tcW w:w="0" w:type="dxa"/>
            <w:vAlign w:val="bottom"/>
          </w:tcPr>
          <w:p>
            <w:pPr>
              <w:spacing w:after="0"/>
              <w:rPr>
                <w:sz w:val="1"/>
                <w:szCs w:val="1"/>
                <w:color w:val="auto"/>
              </w:rPr>
            </w:pPr>
          </w:p>
        </w:tc>
      </w:tr>
      <w:tr>
        <w:trPr>
          <w:trHeight w:val="198"/>
        </w:trPr>
        <w:tc>
          <w:tcPr>
            <w:tcW w:w="776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Less: weighted-average unvested common stock issued upon early exercise of common stock</w:t>
            </w:r>
          </w:p>
        </w:tc>
        <w:tc>
          <w:tcPr>
            <w:tcW w:w="36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(32,315 )</w:t>
            </w:r>
          </w:p>
        </w:tc>
        <w:tc>
          <w:tcPr>
            <w:tcW w:w="360" w:type="dxa"/>
            <w:vAlign w:val="bottom"/>
          </w:tcPr>
          <w:p>
            <w:pPr>
              <w:spacing w:after="0"/>
              <w:rPr>
                <w:sz w:val="17"/>
                <w:szCs w:val="17"/>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(175,563 )</w:t>
            </w:r>
          </w:p>
        </w:tc>
        <w:tc>
          <w:tcPr>
            <w:tcW w:w="0" w:type="dxa"/>
            <w:vAlign w:val="bottom"/>
          </w:tcPr>
          <w:p>
            <w:pPr>
              <w:spacing w:after="0"/>
              <w:rPr>
                <w:sz w:val="1"/>
                <w:szCs w:val="1"/>
                <w:color w:val="auto"/>
              </w:rPr>
            </w:pPr>
          </w:p>
        </w:tc>
      </w:tr>
      <w:tr>
        <w:trPr>
          <w:trHeight w:val="221"/>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w:t>
            </w:r>
          </w:p>
        </w:tc>
        <w:tc>
          <w:tcPr>
            <w:tcW w:w="3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common share, basic and diluted</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57,217,746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42,704,876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-173990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-156845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Included in the weighted-average shares of common stock outstanding, both basic and diluted for the year ended December 31, 2024 are weighted shares of common stock issuable upon the exercise of the 2024 Pre-Funded Warrants and the Exchange Warrants (described in Note 6). The 2024 Pre-Funded Warrants and the Exchange Warrants are exercisable at any time for nominal consideration, and therefore, these shares are considered outstanding for the purpose of calculating basic and diluted net loss per share.</w:t>
      </w:r>
    </w:p>
    <w:p>
      <w:pPr>
        <w:spacing w:after="0" w:line="180"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their inclusion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3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0" w:type="dxa"/>
            <w:vAlign w:val="bottom"/>
            <w:tcBorders>
              <w:bottom w:val="single" w:sz="8" w:color="auto"/>
            </w:tcBorders>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common stock upon early exercise of stock options</w:t>
            </w:r>
          </w:p>
        </w:tc>
        <w:tc>
          <w:tcPr>
            <w:tcW w:w="4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10,462,129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shares purchasable under the ESPP</w:t>
            </w:r>
          </w:p>
        </w:tc>
        <w:tc>
          <w:tcPr>
            <w:tcW w:w="27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10,480,726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74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132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9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between the provision for income taxes and income taxes computed using the U.S. federal statutory corporate tax rate for the years ended December 31, 2024 and 2023 is as follows (in thousands):</w:t>
      </w:r>
    </w:p>
    <w:p>
      <w:pPr>
        <w:spacing w:after="0" w:line="15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-3175</wp:posOffset>
            </wp:positionV>
            <wp:extent cx="21774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tax benefit at statutory rate</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(18,161 )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(14,518 )</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9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 and other</w:t>
            </w:r>
          </w:p>
        </w:tc>
        <w:tc>
          <w:tcPr>
            <w:tcW w:w="9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credits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(4,363 )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(3,345 )</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12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60" w:firstLine="74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as of December 31, 2024 and 2023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compensation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(63,267 )</w:t>
            </w:r>
          </w:p>
        </w:tc>
        <w:tc>
          <w:tcPr>
            <w:tcW w:w="5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(40,920 )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(256 )</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(1,283 )</w:t>
            </w:r>
          </w:p>
        </w:tc>
        <w:tc>
          <w:tcPr>
            <w:tcW w:w="5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(1,377 )</w:t>
            </w: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(1,539 )</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(1,643 )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 / (liabilities)</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assets are realizable, the valuation allowance will be reduced. The Company has recorded a full valuation allowance of $63.3 million as of December 31, 2024 as management cannot conclude that it is more likely than not that certain deferred tax assets will be realized primarily due to the history of losses from inception. The Company increased its valuation allowance by approximately $22.3 million during the year ended December 31, 2024.</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federal and state tax loss carry forwards of approximately $80.5 million and $52.2 million, respectively. As a result of the Tax Cuts and Jobs Act of 2017, for U.S. income tax purposes, net operating losses generated after December 31, 2017 can be carried forward indefinitely, but are limited to 80% utilization against future taxable income each year. Of the amount of federal and state net operating loss carryforwards, $80.5 million and $1.9 million, respectively, can be carried forward indefinitely. Unless previously utilized, certain state net operating losses will begin to expire in 2038.</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spacing w:after="0" w:line="194"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accordance with the 2017 Tax Cuts and Jobs Act, research and experimental (R&amp;E) expenses under Internal Revenue Code (IRC) Section 174 are required to be capitalized beginning in 2022. R&amp;E expenses are required to be amortized over a period of five years for domestic expenses and 15 years for foreign expenses. The Company has capitalized R&amp;E expenses in its current tax provision pursuant to the IRC Section 174.</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has federal and California research and development tax credits of $11.6 million and $3.0 million, respectively. The federal research and development tax credits begin to expire in 2038 unless previously utilized. The California research and development tax credits carry forward indefinitely.</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Pursuant to the IRC Sections 382 and 383, annual use of the Company’s net operating loss (NOL) and research and development credit carryforwards may be limited in the event a cumulative change in ownership of more than 50% occurs within a three-year period. The Company has not completed an ownership change analysis pursuant to IRC Section 382. If ownership changes have occurred or occurs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w:t>
      </w:r>
    </w:p>
    <w:p>
      <w:pPr>
        <w:spacing w:after="0" w:line="183"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Uncertain tax positions are evaluated based upon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Company recognizes a tax benefit from an uncertain tax position when it is more likely than not that the position will be sustained upon examination by tax authorities.</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to the Company’s gross unrecognized tax benefits for the years ended December 31, 2024 and 2023, respectively (in thousands):</w:t>
      </w:r>
    </w:p>
    <w:p>
      <w:pPr>
        <w:spacing w:after="0" w:line="15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85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related to current year positions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related to prior year positions</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Due to the existence of the valuation allowance, future recognition of previously unrecognized tax benefits will not impact the Company’s effective tax rate. The Company is subject to taxation in the United States and various state jurisdictions. All of the Company’s tax years from inception are subject to examination by federal and state tax authorities. The Company’s practice is to recognize interest and penalties related to income tax matters in income tax expense.</w:t>
      </w:r>
    </w:p>
    <w:p>
      <w:pPr>
        <w:spacing w:after="0" w:line="180"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 had no accrued interest or penalties related to income tax matters in the Company’s balance sheet as of December 31, 2024 and has not recognized interest or penalties in the Company’s statements of operations and comprehensive loss for the years ended December 31, 2024 and 2023. Further, the Company is not currently under examination by any federal, state or local tax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operating leases for its office and laboratory space, including its corporate headquarters.</w:t>
      </w:r>
    </w:p>
    <w:p>
      <w:pPr>
        <w:spacing w:after="0" w:line="22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August 2020, the Company entered into a lease agreement for approximately 4,734 square feet of office and lab space at 2656 State Street in Carlsbad, California, for the Company’s headquarters (the Original Lease). The Original Lease commenced in May 2021 and had an original term of 60 months, with an option to extend for two additional 36 month periods.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4"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approximately 8,331 square feet of additional office and laboratory space at 2676 State Street in Carlsbad, California (the Expansion Lease). The Expansion Lease commenced for accounting purposes when the Company gained access to the premises in May 2023. The Company's obligation for payment of base rent began on the date the landlord delivered possession of the Expansion Lease premises in November 2023. The landlord completed improvements on the Expansion Lease premises, and the Company paid $0.5 million of these costs prior to the Expansion Lease commencement. The Company has concluded that the landlord is the accounting owner of these improvements, and therefore this payment was included in the calculation of the right-of-use asset and lease liability. The Company is entitled to certain rent abatement for delays related to the landlord's delivery of the Expansion Lease premises to the Company. The Expansion Lease has a lease term of 120 months, starting on the day the landlord delivered possession of the Expansion Lease premises. The Company has an option to renew the Expansion Lease for two additional 36 month periods. The Original Lease was also amended to have the same lease expiration as the Expansion Lease.</w:t>
      </w:r>
    </w:p>
    <w:p>
      <w:pPr>
        <w:spacing w:after="0" w:line="188"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Company did not include the renewal periods in determining the lease term, as the Company was not reasonably certain to exercise either the amended Original Lease or the Expansion Lease renewal options.</w:t>
      </w:r>
    </w:p>
    <w:p>
      <w:pPr>
        <w:spacing w:after="0" w:line="16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lease agreements, the Company paid security deposits of $0.1 million and is required to maintain a letter of credit of $1.0 million. The letter of credit may be reduced to $0.9 million in 2027 and further reduced to $0.5 million in 2028.</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$0.8 million for each of the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The components of lease expense include operating, short-term, and variable lease costs. Amortization is recorded within research and development and general and administrative expenses in the statements of operations and comprehensive loss. Components of lease cost for the years ended December 31, 2024 and 2023, respectively, were as follows (in thousands):</w:t>
      </w:r>
    </w:p>
    <w:p>
      <w:pPr>
        <w:spacing w:after="0" w:line="169"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62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3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64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Maturities of lease liabilities, weighted-average remaining term and weighted-average discount rate were as follows (in thousands):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3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2029</w:t>
            </w:r>
          </w:p>
        </w:tc>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6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4"/>
              </w:rPr>
              <w:t>(2,465 )</w:t>
            </w:r>
          </w:p>
        </w:tc>
        <w:tc>
          <w:tcPr>
            <w:tcW w:w="0" w:type="dxa"/>
            <w:vAlign w:val="bottom"/>
          </w:tcPr>
          <w:p>
            <w:pPr>
              <w:spacing w:after="0"/>
              <w:rPr>
                <w:sz w:val="1"/>
                <w:szCs w:val="1"/>
                <w:color w:val="auto"/>
              </w:rPr>
            </w:pPr>
          </w:p>
        </w:tc>
      </w:tr>
      <w:tr>
        <w:trPr>
          <w:trHeight w:val="210"/>
        </w:trPr>
        <w:tc>
          <w:tcPr>
            <w:tcW w:w="4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r>
        <w:trPr>
          <w:trHeight w:val="210"/>
        </w:trPr>
        <w:tc>
          <w:tcPr>
            <w:tcW w:w="4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6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6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135</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6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-3428365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2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Pr>
          <w:p>
            <w:pPr>
              <w:spacing w:after="0"/>
              <w:rPr>
                <w:sz w:val="15"/>
                <w:szCs w:val="15"/>
                <w:color w:val="auto"/>
              </w:rPr>
            </w:pPr>
          </w:p>
        </w:tc>
        <w:tc>
          <w:tcPr>
            <w:tcW w:w="12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 - operating leases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8"/>
                <w:szCs w:val="18"/>
                <w:color w:val="auto"/>
              </w:rPr>
            </w:pPr>
          </w:p>
        </w:tc>
      </w:tr>
      <w:tr>
        <w:trPr>
          <w:trHeight w:val="234"/>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 - operating leases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8.07 %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ongoing clinical and pre-clinical studies for its various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December 31, 2024, and no material legal proceedings are currently pending or threatened. If the potential loss from any claim, asserted or unasserted, or legal proceeding is considered probable and the amount is reasonably estimable, the Company will accrue a liability for the estimated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Benefits</w:t>
      </w:r>
    </w:p>
    <w:p>
      <w:pPr>
        <w:spacing w:after="0" w:line="229" w:lineRule="exact"/>
        <w:rPr>
          <w:sz w:val="20"/>
          <w:szCs w:val="20"/>
          <w:color w:val="auto"/>
        </w:rPr>
      </w:pPr>
    </w:p>
    <w:p>
      <w:pPr>
        <w:jc w:val="both"/>
        <w:ind w:right="620" w:firstLine="749"/>
        <w:spacing w:after="0" w:line="266" w:lineRule="auto"/>
        <w:rPr>
          <w:sz w:val="20"/>
          <w:szCs w:val="20"/>
          <w:color w:val="auto"/>
        </w:rPr>
      </w:pPr>
      <w:r>
        <w:rPr>
          <w:rFonts w:ascii="Times New Roman" w:cs="Times New Roman" w:eastAsia="Times New Roman" w:hAnsi="Times New Roman"/>
          <w:sz w:val="18"/>
          <w:szCs w:val="18"/>
          <w:color w:val="auto"/>
        </w:rPr>
        <w:t>The Company offers a 401(k) plan (401(k) Plan) for all employees who have met certain eligibility requirements. Under the 401(k) Plan, employees may elect to contribute a portion of their eligible compensation, subject to certain limitations. The Company did not make any matching employer contributions to the 401(k) Plan for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which reflects the way in which the internal reporting is used by the chief operating decision maker (“CODM”) to analyze performance, make decisions and allocate resources. The CODM is the Company’s Chief Executive Officer.</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reportable segment, which includes all activities related to the research, development, and potential future commercialization of its small molecule drug development candidates. The CODM assesses performance and decides how to allocate resources based on net loss (presented in the Statements of Operations and Comprehensive Loss). The measure of segment assets is reported on the Balance Sheets as total assets. All long-lived assets are located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of the Company’s net loss, including the significant expense categories regularly provided to and reviewed by the CODM, to the Company’s total net loss in the Statements of Operations and Comprehensive Loss (in thousands):</w:t>
      </w:r>
    </w:p>
    <w:p>
      <w:pPr>
        <w:spacing w:after="0" w:line="155"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External research and development expenses by program:</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480"/>
              <w:spacing w:after="0" w:line="216" w:lineRule="exact"/>
              <w:rPr>
                <w:sz w:val="20"/>
                <w:szCs w:val="20"/>
                <w:color w:val="auto"/>
              </w:rPr>
            </w:pPr>
            <w:r>
              <w:rPr>
                <w:rFonts w:ascii="Times New Roman" w:cs="Times New Roman" w:eastAsia="Times New Roman" w:hAnsi="Times New Roman"/>
                <w:sz w:val="18"/>
                <w:szCs w:val="18"/>
                <w:color w:val="auto"/>
              </w:rPr>
              <w:t>TYRA-300</w:t>
            </w:r>
            <w:r>
              <w:rPr>
                <w:rFonts w:ascii="Times New Roman" w:cs="Times New Roman" w:eastAsia="Times New Roman" w:hAnsi="Times New Roman"/>
                <w:sz w:val="24"/>
                <w:szCs w:val="24"/>
                <w:color w:val="auto"/>
                <w:vertAlign w:val="superscript"/>
              </w:rPr>
              <w:t>ACH</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480"/>
              <w:spacing w:after="0" w:line="216" w:lineRule="exact"/>
              <w:rPr>
                <w:sz w:val="20"/>
                <w:szCs w:val="20"/>
                <w:color w:val="auto"/>
              </w:rPr>
            </w:pPr>
            <w:r>
              <w:rPr>
                <w:rFonts w:ascii="Times New Roman" w:cs="Times New Roman" w:eastAsia="Times New Roman" w:hAnsi="Times New Roman"/>
                <w:sz w:val="18"/>
                <w:szCs w:val="18"/>
                <w:color w:val="auto"/>
              </w:rPr>
              <w:t>TYRA-300</w:t>
            </w:r>
            <w:r>
              <w:rPr>
                <w:rFonts w:ascii="Times New Roman" w:cs="Times New Roman" w:eastAsia="Times New Roman" w:hAnsi="Times New Roman"/>
                <w:sz w:val="24"/>
                <w:szCs w:val="24"/>
                <w:color w:val="auto"/>
                <w:vertAlign w:val="superscript"/>
              </w:rPr>
              <w:t>mUC</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TYRA-430</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TYRA-200</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FGFR discovery</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480"/>
              <w:spacing w:after="0" w:line="216"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4"/>
                <w:szCs w:val="24"/>
                <w:color w:val="auto"/>
                <w:vertAlign w:val="superscript"/>
              </w:rPr>
              <w:t>(1)</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20,039</w:t>
            </w:r>
          </w:p>
        </w:tc>
        <w:tc>
          <w:tcPr>
            <w:tcW w:w="10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ind w:left="480"/>
              <w:spacing w:after="0" w:line="216" w:lineRule="exact"/>
              <w:rPr>
                <w:sz w:val="20"/>
                <w:szCs w:val="20"/>
                <w:color w:val="auto"/>
              </w:rPr>
            </w:pPr>
            <w:r>
              <w:rPr>
                <w:rFonts w:ascii="Times New Roman" w:cs="Times New Roman" w:eastAsia="Times New Roman" w:hAnsi="Times New Roman"/>
                <w:sz w:val="18"/>
                <w:szCs w:val="18"/>
                <w:color w:val="auto"/>
              </w:rPr>
              <w:t>Facilities and other costs</w:t>
            </w:r>
            <w:r>
              <w:rPr>
                <w:rFonts w:ascii="Times New Roman" w:cs="Times New Roman" w:eastAsia="Times New Roman" w:hAnsi="Times New Roman"/>
                <w:sz w:val="24"/>
                <w:szCs w:val="24"/>
                <w:color w:val="auto"/>
                <w:vertAlign w:val="superscript"/>
              </w:rPr>
              <w:t>(2)</w:t>
            </w:r>
          </w:p>
        </w:tc>
        <w:tc>
          <w:tcPr>
            <w:tcW w:w="1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3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62,518</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4"/>
                <w:szCs w:val="24"/>
                <w:color w:val="auto"/>
                <w:vertAlign w:val="superscript"/>
              </w:rPr>
              <w:t>(3)</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3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(17,696 )</w:t>
            </w:r>
          </w:p>
        </w:tc>
        <w:tc>
          <w:tcPr>
            <w:tcW w:w="4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(10,811 )</w:t>
            </w:r>
          </w:p>
        </w:tc>
      </w:tr>
      <w:tr>
        <w:trPr>
          <w:trHeight w:val="20"/>
        </w:trPr>
        <w:tc>
          <w:tcPr>
            <w:tcW w:w="6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(86,481 )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(69,134 )</w:t>
            </w: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-591185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920" w:hanging="163"/>
        <w:spacing w:after="0"/>
        <w:tabs>
          <w:tab w:leader="none" w:pos="920" w:val="left"/>
        </w:tabs>
        <w:numPr>
          <w:ilvl w:val="1"/>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Personnel costs include $14.3 million and $8.3 million of stock-based compensation for the years ended December 31, 2024 and 2023,</w:t>
      </w:r>
    </w:p>
    <w:p>
      <w:pPr>
        <w:spacing w:after="0" w:line="6"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respectively.</w:t>
      </w:r>
    </w:p>
    <w:p>
      <w:pPr>
        <w:spacing w:after="0" w:line="110" w:lineRule="exact"/>
        <w:rPr>
          <w:rFonts w:ascii="Times New Roman" w:cs="Times New Roman" w:eastAsia="Times New Roman" w:hAnsi="Times New Roman"/>
          <w:sz w:val="20"/>
          <w:szCs w:val="20"/>
          <w:color w:val="auto"/>
          <w:vertAlign w:val="superscript"/>
        </w:rPr>
      </w:pPr>
    </w:p>
    <w:p>
      <w:pPr>
        <w:ind w:left="920" w:hanging="163"/>
        <w:spacing w:after="0"/>
        <w:tabs>
          <w:tab w:leader="none" w:pos="920" w:val="left"/>
        </w:tabs>
        <w:numPr>
          <w:ilvl w:val="1"/>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Facilities and other costs consist of research consumables, facility-related costs, depreciation and costs not attributed to a specific program.</w:t>
      </w:r>
    </w:p>
    <w:p>
      <w:pPr>
        <w:spacing w:after="0" w:line="107" w:lineRule="exact"/>
        <w:rPr>
          <w:rFonts w:ascii="Times New Roman" w:cs="Times New Roman" w:eastAsia="Times New Roman" w:hAnsi="Times New Roman"/>
          <w:sz w:val="20"/>
          <w:szCs w:val="20"/>
          <w:color w:val="auto"/>
          <w:vertAlign w:val="superscript"/>
        </w:rPr>
      </w:pPr>
    </w:p>
    <w:p>
      <w:pPr>
        <w:ind w:right="320" w:firstLine="757"/>
        <w:spacing w:after="0" w:line="306" w:lineRule="auto"/>
        <w:tabs>
          <w:tab w:leader="none" w:pos="919" w:val="left"/>
        </w:tabs>
        <w:numPr>
          <w:ilvl w:val="1"/>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General and administrative expenses consist of personnel-related expenses, including stock-based compensation, legal fees, facility-related costs, depreciation, professional and consulting fees and insurance costs.</w:t>
      </w:r>
    </w:p>
    <w:p>
      <w:pPr>
        <w:spacing w:after="0" w:line="130" w:lineRule="exact"/>
        <w:rPr>
          <w:rFonts w:ascii="Times New Roman" w:cs="Times New Roman" w:eastAsia="Times New Roman" w:hAnsi="Times New Roman"/>
          <w:sz w:val="20"/>
          <w:szCs w:val="20"/>
          <w:color w:val="auto"/>
          <w:vertAlign w:val="superscript"/>
        </w:rPr>
      </w:pPr>
    </w:p>
    <w:p>
      <w:pPr>
        <w:ind w:left="280" w:hanging="272"/>
        <w:spacing w:after="0"/>
        <w:tabs>
          <w:tab w:leader="none" w:pos="2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Subsequent to December 31, 2024, Exchange Warrants (as defined in Note 6) to purchase an aggregate of 2,000,000 shares of common stock and 2024 Pre-Funded Warrants (as defined in Note 6) to purchase 237 shares of common stock were exercised in cashless transactions, which resulted in an aggregate of 2,000,069 shares of common stock being issued.</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Effective January 1, 2025, the Company amended its 401(k) Plan to adopt a program to match 100% of employee contributions to the 401(k) Plan up to a maximum of 4% of eligible earnings, subject to statutory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and accounting officer, respectively), evaluated the effectiveness of our disclosure controls and procedures as of December 31,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our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Management assessed our internal control over financial reporting as of December 31, 2024, and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2024.</w:t>
      </w:r>
    </w:p>
    <w:p>
      <w:pPr>
        <w:spacing w:after="0" w:line="180"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December 31, 2024, certain of our officers adopted such trading arrangements as noted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160" w:type="dxa"/>
            <w:vAlign w:val="bottom"/>
          </w:tcPr>
          <w:p>
            <w:pPr>
              <w:spacing w:after="0"/>
              <w:rPr>
                <w:sz w:val="20"/>
                <w:szCs w:val="2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Non-Rule</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108"/>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80" w:type="dxa"/>
            <w:vAlign w:val="bottom"/>
          </w:tcPr>
          <w:p>
            <w:pPr>
              <w:spacing w:after="0"/>
              <w:rPr>
                <w:sz w:val="9"/>
                <w:szCs w:val="9"/>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60" w:type="dxa"/>
            <w:vAlign w:val="bottom"/>
          </w:tcPr>
          <w:p>
            <w:pPr>
              <w:spacing w:after="0"/>
              <w:rPr>
                <w:sz w:val="9"/>
                <w:szCs w:val="9"/>
                <w:color w:val="auto"/>
              </w:rPr>
            </w:pPr>
          </w:p>
        </w:tc>
        <w:tc>
          <w:tcPr>
            <w:tcW w:w="13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Rule 10b5-1*</w:t>
            </w:r>
          </w:p>
        </w:tc>
        <w:tc>
          <w:tcPr>
            <w:tcW w:w="1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to</w:t>
            </w: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1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130"/>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be Sold***</w:t>
            </w: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Todd Harris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Adoption</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8"/>
              </w:rPr>
              <w:t>11/4/2024</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34"/>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Director</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Daniel Bensen</w:t>
            </w:r>
          </w:p>
        </w:tc>
        <w:tc>
          <w:tcPr>
            <w:tcW w:w="180" w:type="dxa"/>
            <w:vAlign w:val="bottom"/>
          </w:tcPr>
          <w:p>
            <w:pPr>
              <w:spacing w:after="0"/>
              <w:rPr>
                <w:sz w:val="17"/>
                <w:szCs w:val="17"/>
                <w:color w:val="auto"/>
              </w:rPr>
            </w:pP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Adoption</w:t>
            </w: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w w:val="98"/>
              </w:rPr>
              <w:t>11/5/2024</w:t>
            </w:r>
          </w:p>
        </w:tc>
        <w:tc>
          <w:tcPr>
            <w:tcW w:w="18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2/26/2027</w:t>
            </w:r>
          </w:p>
        </w:tc>
        <w:tc>
          <w:tcPr>
            <w:tcW w:w="0" w:type="dxa"/>
            <w:vAlign w:val="bottom"/>
          </w:tcPr>
          <w:p>
            <w:pPr>
              <w:spacing w:after="0"/>
              <w:rPr>
                <w:sz w:val="1"/>
                <w:szCs w:val="1"/>
                <w:color w:val="auto"/>
              </w:rPr>
            </w:pPr>
          </w:p>
        </w:tc>
      </w:tr>
      <w:tr>
        <w:trPr>
          <w:trHeight w:val="126"/>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Alan Fuhrman</w:t>
            </w:r>
          </w:p>
        </w:tc>
        <w:tc>
          <w:tcPr>
            <w:tcW w:w="18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Adoption</w:t>
            </w:r>
          </w:p>
        </w:tc>
        <w:tc>
          <w:tcPr>
            <w:tcW w:w="1300" w:type="dxa"/>
            <w:vAlign w:val="bottom"/>
            <w:gridSpan w:val="2"/>
            <w:vMerge w:val="restart"/>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8"/>
              </w:rPr>
              <w:t>11/5/2024</w:t>
            </w:r>
          </w:p>
        </w:tc>
        <w:tc>
          <w:tcPr>
            <w:tcW w:w="18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4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7/31/2026</w:t>
            </w:r>
          </w:p>
        </w:tc>
        <w:tc>
          <w:tcPr>
            <w:tcW w:w="0" w:type="dxa"/>
            <w:vAlign w:val="bottom"/>
          </w:tcPr>
          <w:p>
            <w:pPr>
              <w:spacing w:after="0"/>
              <w:rPr>
                <w:sz w:val="1"/>
                <w:szCs w:val="1"/>
                <w:color w:val="auto"/>
              </w:rPr>
            </w:pPr>
          </w:p>
        </w:tc>
      </w:tr>
      <w:tr>
        <w:trPr>
          <w:trHeight w:val="126"/>
        </w:trPr>
        <w:tc>
          <w:tcPr>
            <w:tcW w:w="26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4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14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8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Intended to satisfy the affirmative defense of Rule 10b5-1(c)</w:t>
      </w:r>
    </w:p>
    <w:p>
      <w:pPr>
        <w:spacing w:after="0" w:line="27" w:lineRule="exact"/>
        <w:rPr>
          <w:sz w:val="20"/>
          <w:szCs w:val="20"/>
          <w:color w:val="auto"/>
        </w:rPr>
      </w:pPr>
    </w:p>
    <w:p>
      <w:pPr>
        <w:ind w:left="240" w:hanging="232"/>
        <w:spacing w:after="0"/>
        <w:tabs>
          <w:tab w:leader="none" w:pos="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intended to satisfy the affirmative defense of Rule 10b5-1(c)</w:t>
      </w:r>
    </w:p>
    <w:p>
      <w:pPr>
        <w:spacing w:after="0" w:line="9" w:lineRule="exact"/>
        <w:rPr>
          <w:rFonts w:ascii="Times New Roman" w:cs="Times New Roman" w:eastAsia="Times New Roman" w:hAnsi="Times New Roman"/>
          <w:sz w:val="18"/>
          <w:szCs w:val="18"/>
          <w:color w:val="auto"/>
        </w:rPr>
      </w:pPr>
    </w:p>
    <w:p>
      <w:pPr>
        <w:ind w:right="480" w:firstLine="8"/>
        <w:spacing w:after="0" w:line="260" w:lineRule="auto"/>
        <w:tabs>
          <w:tab w:leader="none" w:pos="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number of shares that may be sold pursuant to the 10b5-1 arrangement. The number of shares sold is dependent on the satisfaction of certain conditions as set forth in the written plan and the satisfaction of applicable vesting conditions of equity awards.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and not set forth below will be contained in our definitive proxy statement to be filed with the SEC in connection with our 2025 Annual Meeting of Stockholders (the Definitive Proxy Statement), which is expected to be filed not later than 120 days after the end of our fiscal year ended December 31, 2024,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www.tyra.bio.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officers, the name of such person who is granted the waiver and the date of the waiver on our website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Procedures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and/or other dispositions of our securities by our directors, officers, employees and other covered persons that are designed to promote compliance with insider trading laws, rules and regulations, and the Nasdaq Stock Market LLC listing rules, as applicable. A copy of our Insider Trading Compliance Policy and Procedures is filed as Exhibit 19.1 to this Annual Report. It is our policy to comply with U.S. insider trading laws and regulations, including with respect to transactions in our own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and is incorporated herein by reference.</w:t>
      </w:r>
    </w:p>
    <w:p>
      <w:pPr>
        <w:spacing w:after="0" w:line="11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right="240" w:firstLine="749"/>
        <w:spacing w:after="0" w:line="312" w:lineRule="auto"/>
        <w:rPr>
          <w:sz w:val="20"/>
          <w:szCs w:val="20"/>
          <w:color w:val="auto"/>
        </w:rPr>
      </w:pPr>
      <w:r>
        <w:rPr>
          <w:rFonts w:ascii="Times New Roman" w:cs="Times New Roman" w:eastAsia="Times New Roman" w:hAnsi="Times New Roman"/>
          <w:sz w:val="17"/>
          <w:szCs w:val="17"/>
          <w:color w:val="auto"/>
        </w:rPr>
        <w:t>The financial statements of Tyra Biosciences, Inc., together with the report thereon of Ernst &amp; Young LLP, an independent registered public accounting firm (PCAOB ID No. 42), are included in this Annual Report contained in Part II, Item 8. Financial Statements and Supplementary Data.</w:t>
      </w:r>
    </w:p>
    <w:p>
      <w:pPr>
        <w:spacing w:after="0" w:line="136"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Statement Schedules.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221"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list of exhibits is set forth on the Exhibit Index immediately preceding the signature page of this Annual Report and is incorporated herein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gridSpan w:val="27"/>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gridSpan w:val="36"/>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38"/>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39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5200" w:type="dxa"/>
            <w:vAlign w:val="bottom"/>
            <w:gridSpan w:val="39"/>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Amended and Restated Certificate of Incorporation</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46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Amended and Restated Bylaws, effective as of October 26, 2023</w:t>
              </w:r>
            </w:hyperlink>
          </w:p>
        </w:tc>
        <w:tc>
          <w:tcPr>
            <w:tcW w:w="540" w:type="dxa"/>
            <w:vAlign w:val="bottom"/>
            <w:gridSpan w:val="18"/>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47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Specimen stock certificate evidencing the shares of common stock</w:t>
              </w:r>
            </w:hyperlink>
          </w:p>
        </w:tc>
        <w:tc>
          <w:tcPr>
            <w:tcW w:w="20" w:type="dxa"/>
            <w:vAlign w:val="bottom"/>
            <w:tcBorders>
              <w:bottom w:val="single" w:sz="8" w:color="0000EE"/>
            </w:tcBorders>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50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Amended and Restated Investors’ Rights Agreement, dated March 5,</w:t>
              </w:r>
            </w:hyperlink>
          </w:p>
        </w:tc>
        <w:tc>
          <w:tcPr>
            <w:tcW w:w="20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2021, by and among the Registrant and certain of its stockholders</w:t>
              </w:r>
            </w:hyperlink>
          </w:p>
        </w:tc>
        <w:tc>
          <w:tcPr>
            <w:tcW w:w="480" w:type="dxa"/>
            <w:vAlign w:val="bottom"/>
            <w:gridSpan w:val="15"/>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26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Description of Registered Securities</w:t>
              </w:r>
            </w:hyperlink>
          </w:p>
        </w:tc>
        <w:tc>
          <w:tcPr>
            <w:tcW w:w="2600" w:type="dxa"/>
            <w:vAlign w:val="bottom"/>
            <w:gridSpan w:val="32"/>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5200" w:type="dxa"/>
            <w:vAlign w:val="bottom"/>
            <w:gridSpan w:val="39"/>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Form of Pre-Funded Warrant</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Pr>
          <w:p>
            <w:pPr>
              <w:spacing w:after="0"/>
              <w:rPr>
                <w:sz w:val="17"/>
                <w:szCs w:val="17"/>
                <w:color w:val="auto"/>
              </w:rPr>
            </w:pPr>
          </w:p>
        </w:tc>
        <w:tc>
          <w:tcPr>
            <w:tcW w:w="49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Tyra Biosciences, Inc. 2020 Equity Incentive Plan and form of stock</w:t>
              </w:r>
            </w:hyperlink>
          </w:p>
        </w:tc>
        <w:tc>
          <w:tcPr>
            <w:tcW w:w="2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option agreement thereunder</w:t>
              </w:r>
            </w:hyperlink>
          </w:p>
        </w:tc>
        <w:tc>
          <w:tcPr>
            <w:tcW w:w="3100" w:type="dxa"/>
            <w:vAlign w:val="bottom"/>
            <w:gridSpan w:val="35"/>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17"/>
                <w:szCs w:val="17"/>
                <w:color w:val="auto"/>
              </w:rPr>
            </w:pPr>
          </w:p>
        </w:tc>
        <w:tc>
          <w:tcPr>
            <w:tcW w:w="49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Tyra Biosciences, Inc. 2021 Incentive Award Plan and form of stock</w:t>
              </w:r>
            </w:hyperlink>
          </w:p>
        </w:tc>
        <w:tc>
          <w:tcPr>
            <w:tcW w:w="2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option grant notice and stock option agreement thereunder</w:t>
              </w:r>
            </w:hyperlink>
          </w:p>
        </w:tc>
        <w:tc>
          <w:tcPr>
            <w:tcW w:w="940" w:type="dxa"/>
            <w:vAlign w:val="bottom"/>
            <w:gridSpan w:val="23"/>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40" w:type="dxa"/>
            <w:vAlign w:val="bottom"/>
          </w:tcPr>
          <w:p>
            <w:pPr>
              <w:spacing w:after="0"/>
              <w:rPr>
                <w:sz w:val="17"/>
                <w:szCs w:val="17"/>
                <w:color w:val="auto"/>
              </w:rPr>
            </w:pPr>
          </w:p>
        </w:tc>
        <w:tc>
          <w:tcPr>
            <w:tcW w:w="43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Tyra Biosciences, Inc. 2021 Employee Stock Purchase Plan</w:t>
              </w:r>
            </w:hyperlink>
          </w:p>
        </w:tc>
        <w:tc>
          <w:tcPr>
            <w:tcW w:w="20" w:type="dxa"/>
            <w:vAlign w:val="bottom"/>
            <w:tcBorders>
              <w:bottom w:val="single" w:sz="8" w:color="0000EE"/>
            </w:tcBorders>
          </w:tcPr>
          <w:p>
            <w:pPr>
              <w:spacing w:after="0"/>
              <w:rPr>
                <w:sz w:val="17"/>
                <w:szCs w:val="17"/>
                <w:color w:val="auto"/>
              </w:rPr>
            </w:pPr>
          </w:p>
        </w:tc>
        <w:tc>
          <w:tcPr>
            <w:tcW w:w="880" w:type="dxa"/>
            <w:vAlign w:val="bottom"/>
            <w:gridSpan w:val="21"/>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7"/>
                <w:szCs w:val="17"/>
                <w:color w:val="auto"/>
              </w:rPr>
            </w:pPr>
          </w:p>
        </w:tc>
        <w:tc>
          <w:tcPr>
            <w:tcW w:w="518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Non-Employee Director Compensation Program, amended and restated</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40">
              <w:r>
                <w:rPr>
                  <w:rFonts w:ascii="Times New Roman" w:cs="Times New Roman" w:eastAsia="Times New Roman" w:hAnsi="Times New Roman"/>
                  <w:sz w:val="18"/>
                  <w:szCs w:val="18"/>
                  <w:color w:val="0000FF"/>
                  <w:w w:val="98"/>
                </w:rPr>
                <w:t>effective May 1, 2024</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36"/>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40" w:type="dxa"/>
            <w:vAlign w:val="bottom"/>
          </w:tcPr>
          <w:p>
            <w:pPr>
              <w:spacing w:after="0"/>
              <w:rPr>
                <w:sz w:val="17"/>
                <w:szCs w:val="17"/>
                <w:color w:val="auto"/>
              </w:rPr>
            </w:pPr>
          </w:p>
        </w:tc>
        <w:tc>
          <w:tcPr>
            <w:tcW w:w="30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Tyra Biosciences, Inc. Annual Bonus Plan</w:t>
              </w:r>
            </w:hyperlink>
          </w:p>
        </w:tc>
        <w:tc>
          <w:tcPr>
            <w:tcW w:w="2120" w:type="dxa"/>
            <w:vAlign w:val="bottom"/>
            <w:gridSpan w:val="27"/>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7"/>
                <w:szCs w:val="17"/>
                <w:color w:val="auto"/>
              </w:rPr>
            </w:pPr>
          </w:p>
        </w:tc>
        <w:tc>
          <w:tcPr>
            <w:tcW w:w="50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Second Amended and Restated Employment Letter Agreement, dated</w:t>
              </w:r>
            </w:hyperlink>
          </w:p>
        </w:tc>
        <w:tc>
          <w:tcPr>
            <w:tcW w:w="14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August 18, 2021, by and between Todd Harris and the Registrant</w:t>
              </w:r>
            </w:hyperlink>
          </w:p>
        </w:tc>
        <w:tc>
          <w:tcPr>
            <w:tcW w:w="20" w:type="dxa"/>
            <w:vAlign w:val="bottom"/>
            <w:tcBorders>
              <w:bottom w:val="single" w:sz="8" w:color="0000EE"/>
            </w:tcBorders>
          </w:tcPr>
          <w:p>
            <w:pPr>
              <w:spacing w:after="0"/>
              <w:rPr>
                <w:sz w:val="17"/>
                <w:szCs w:val="17"/>
                <w:color w:val="auto"/>
              </w:rPr>
            </w:pPr>
          </w:p>
        </w:tc>
        <w:tc>
          <w:tcPr>
            <w:tcW w:w="500" w:type="dxa"/>
            <w:vAlign w:val="bottom"/>
            <w:gridSpan w:val="16"/>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7"/>
                <w:szCs w:val="17"/>
                <w:color w:val="auto"/>
              </w:rPr>
            </w:pPr>
          </w:p>
        </w:tc>
        <w:tc>
          <w:tcPr>
            <w:tcW w:w="50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Second Amended and Restated Employment Letter Agreement, dated</w:t>
              </w:r>
            </w:hyperlink>
          </w:p>
        </w:tc>
        <w:tc>
          <w:tcPr>
            <w:tcW w:w="14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August 18, 2021, by and between Daniel Bensen and the Registrant</w:t>
              </w:r>
            </w:hyperlink>
          </w:p>
        </w:tc>
        <w:tc>
          <w:tcPr>
            <w:tcW w:w="340" w:type="dxa"/>
            <w:vAlign w:val="bottom"/>
            <w:gridSpan w:val="10"/>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7"/>
                <w:szCs w:val="17"/>
                <w:color w:val="auto"/>
              </w:rPr>
            </w:pPr>
          </w:p>
        </w:tc>
        <w:tc>
          <w:tcPr>
            <w:tcW w:w="48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Employment Letter Agreement, dated December 31, 2022, by and</w:t>
              </w:r>
            </w:hyperlink>
          </w:p>
        </w:tc>
        <w:tc>
          <w:tcPr>
            <w:tcW w:w="400" w:type="dxa"/>
            <w:vAlign w:val="bottom"/>
            <w:gridSpan w:val="1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between Alan Fuhrman and the Registrant</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8"/>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w:t>
            </w:r>
          </w:p>
        </w:tc>
        <w:tc>
          <w:tcPr>
            <w:tcW w:w="140" w:type="dxa"/>
            <w:vAlign w:val="bottom"/>
          </w:tcPr>
          <w:p>
            <w:pPr>
              <w:spacing w:after="0"/>
              <w:rPr>
                <w:sz w:val="17"/>
                <w:szCs w:val="17"/>
                <w:color w:val="auto"/>
              </w:rPr>
            </w:pPr>
          </w:p>
        </w:tc>
        <w:tc>
          <w:tcPr>
            <w:tcW w:w="46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Employment Agreement, dated September 9, 2024, between the</w:t>
              </w:r>
            </w:hyperlink>
          </w:p>
        </w:tc>
        <w:tc>
          <w:tcPr>
            <w:tcW w:w="560" w:type="dxa"/>
            <w:vAlign w:val="bottom"/>
            <w:gridSpan w:val="19"/>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Registrant and Douglas Warner, M.D.</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30"/>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10.10#</w:t>
            </w:r>
          </w:p>
        </w:tc>
        <w:tc>
          <w:tcPr>
            <w:tcW w:w="140" w:type="dxa"/>
            <w:vAlign w:val="bottom"/>
          </w:tcPr>
          <w:p>
            <w:pPr>
              <w:spacing w:after="0"/>
              <w:rPr>
                <w:sz w:val="17"/>
                <w:szCs w:val="17"/>
                <w:color w:val="auto"/>
              </w:rPr>
            </w:pPr>
          </w:p>
        </w:tc>
        <w:tc>
          <w:tcPr>
            <w:tcW w:w="49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Transition Agreement, dated August 3, 2024, between the Registrant</w:t>
              </w:r>
            </w:hyperlink>
          </w:p>
        </w:tc>
        <w:tc>
          <w:tcPr>
            <w:tcW w:w="2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346">
              <w:r>
                <w:rPr>
                  <w:rFonts w:ascii="Times New Roman" w:cs="Times New Roman" w:eastAsia="Times New Roman" w:hAnsi="Times New Roman"/>
                  <w:sz w:val="18"/>
                  <w:szCs w:val="18"/>
                  <w:color w:val="0000FF"/>
                  <w:w w:val="98"/>
                </w:rPr>
                <w:t>and Hiroomi Tada, M.D., Ph.D.</w:t>
              </w:r>
            </w:hyperlink>
          </w:p>
        </w:tc>
        <w:tc>
          <w:tcPr>
            <w:tcW w:w="20" w:type="dxa"/>
            <w:vAlign w:val="bottom"/>
            <w:tcBorders>
              <w:bottom w:val="single" w:sz="8" w:color="0000EE"/>
            </w:tcBorders>
          </w:tcPr>
          <w:p>
            <w:pPr>
              <w:spacing w:after="0"/>
              <w:rPr>
                <w:sz w:val="17"/>
                <w:szCs w:val="17"/>
                <w:color w:val="auto"/>
              </w:rPr>
            </w:pPr>
          </w:p>
        </w:tc>
        <w:tc>
          <w:tcPr>
            <w:tcW w:w="2900" w:type="dxa"/>
            <w:vAlign w:val="bottom"/>
            <w:gridSpan w:val="33"/>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10.11#</w:t>
            </w:r>
          </w:p>
        </w:tc>
        <w:tc>
          <w:tcPr>
            <w:tcW w:w="140" w:type="dxa"/>
            <w:vAlign w:val="bottom"/>
          </w:tcPr>
          <w:p>
            <w:pPr>
              <w:spacing w:after="0"/>
              <w:rPr>
                <w:sz w:val="17"/>
                <w:szCs w:val="17"/>
                <w:color w:val="auto"/>
              </w:rPr>
            </w:pPr>
          </w:p>
        </w:tc>
        <w:tc>
          <w:tcPr>
            <w:tcW w:w="5200" w:type="dxa"/>
            <w:vAlign w:val="bottom"/>
            <w:gridSpan w:val="39"/>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Form of Indemnification Agreement for Directors and Officers</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4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40" w:type="dxa"/>
            <w:vAlign w:val="bottom"/>
          </w:tcPr>
          <w:p>
            <w:pPr>
              <w:spacing w:after="0"/>
              <w:rPr>
                <w:sz w:val="17"/>
                <w:szCs w:val="17"/>
                <w:color w:val="auto"/>
              </w:rPr>
            </w:pPr>
          </w:p>
        </w:tc>
        <w:tc>
          <w:tcPr>
            <w:tcW w:w="49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Office Lease, between the Registrant and Fabric 2656 State, LLC, a</w:t>
              </w:r>
            </w:hyperlink>
          </w:p>
        </w:tc>
        <w:tc>
          <w:tcPr>
            <w:tcW w:w="28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California limited liability company, dated August 5, 2020</w:t>
              </w:r>
            </w:hyperlink>
          </w:p>
        </w:tc>
        <w:tc>
          <w:tcPr>
            <w:tcW w:w="20" w:type="dxa"/>
            <w:vAlign w:val="bottom"/>
            <w:tcBorders>
              <w:bottom w:val="single" w:sz="8" w:color="0000EE"/>
            </w:tcBorders>
          </w:tcPr>
          <w:p>
            <w:pPr>
              <w:spacing w:after="0"/>
              <w:rPr>
                <w:sz w:val="17"/>
                <w:szCs w:val="17"/>
                <w:color w:val="auto"/>
              </w:rPr>
            </w:pPr>
          </w:p>
        </w:tc>
        <w:tc>
          <w:tcPr>
            <w:tcW w:w="960" w:type="dxa"/>
            <w:vAlign w:val="bottom"/>
            <w:gridSpan w:val="24"/>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40" w:type="dxa"/>
            <w:vAlign w:val="bottom"/>
          </w:tcPr>
          <w:p>
            <w:pPr>
              <w:spacing w:after="0"/>
              <w:rPr>
                <w:sz w:val="17"/>
                <w:szCs w:val="17"/>
                <w:color w:val="auto"/>
              </w:rPr>
            </w:pPr>
          </w:p>
        </w:tc>
        <w:tc>
          <w:tcPr>
            <w:tcW w:w="49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First Amendment to Lease, between the Registrant and Fabric 2656</w:t>
              </w:r>
            </w:hyperlink>
          </w:p>
        </w:tc>
        <w:tc>
          <w:tcPr>
            <w:tcW w:w="300" w:type="dxa"/>
            <w:vAlign w:val="bottom"/>
            <w:gridSpan w:val="9"/>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gridSpan w:val="39"/>
          </w:tcPr>
          <w:p>
            <w:pPr>
              <w:spacing w:after="0" w:line="196"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State, LLC, a California limited liability company, dated March 2, 2022</w:t>
              </w:r>
            </w:hyperlink>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140" w:type="dxa"/>
            <w:vAlign w:val="bottom"/>
          </w:tcPr>
          <w:p>
            <w:pPr>
              <w:spacing w:after="0"/>
              <w:rPr>
                <w:sz w:val="17"/>
                <w:szCs w:val="17"/>
                <w:color w:val="auto"/>
              </w:rPr>
            </w:pPr>
          </w:p>
        </w:tc>
        <w:tc>
          <w:tcPr>
            <w:tcW w:w="5100" w:type="dxa"/>
            <w:vAlign w:val="bottom"/>
            <w:tcBorders>
              <w:top w:val="single" w:sz="8" w:color="0000FF"/>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Second Amendment to Lease, between the Registrant and Fabric 2656</w:t>
              </w:r>
            </w:hyperlink>
          </w:p>
        </w:tc>
        <w:tc>
          <w:tcPr>
            <w:tcW w:w="6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State, LLC, a California limited liability company, dated December 20,</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196" w:lineRule="exact"/>
              <w:rPr>
                <w:rFonts w:ascii="Times New Roman" w:cs="Times New Roman" w:eastAsia="Times New Roman" w:hAnsi="Times New Roman"/>
                <w:sz w:val="18"/>
                <w:szCs w:val="18"/>
                <w:color w:val="0000FF"/>
                <w:w w:val="94"/>
              </w:rPr>
            </w:pPr>
            <w:hyperlink r:id="rId350">
              <w:r>
                <w:rPr>
                  <w:rFonts w:ascii="Times New Roman" w:cs="Times New Roman" w:eastAsia="Times New Roman" w:hAnsi="Times New Roman"/>
                  <w:sz w:val="18"/>
                  <w:szCs w:val="18"/>
                  <w:color w:val="0000FF"/>
                  <w:w w:val="94"/>
                </w:rPr>
                <w:t>2022</w:t>
              </w:r>
            </w:hyperlink>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34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140" w:type="dxa"/>
            <w:vAlign w:val="bottom"/>
          </w:tcPr>
          <w:p>
            <w:pPr>
              <w:spacing w:after="0"/>
              <w:rPr>
                <w:sz w:val="17"/>
                <w:szCs w:val="17"/>
                <w:color w:val="auto"/>
              </w:rPr>
            </w:pPr>
          </w:p>
        </w:tc>
        <w:tc>
          <w:tcPr>
            <w:tcW w:w="48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Office Lease, between the Registrant and Fabric 2676 State Street,</w:t>
              </w:r>
            </w:hyperlink>
          </w:p>
        </w:tc>
        <w:tc>
          <w:tcPr>
            <w:tcW w:w="380" w:type="dxa"/>
            <w:vAlign w:val="bottom"/>
            <w:gridSpan w:val="11"/>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LLC, a California limited liability company, dated March 2, 2022</w:t>
              </w:r>
            </w:hyperlink>
          </w:p>
        </w:tc>
        <w:tc>
          <w:tcPr>
            <w:tcW w:w="20" w:type="dxa"/>
            <w:vAlign w:val="bottom"/>
            <w:tcBorders>
              <w:bottom w:val="single" w:sz="8" w:color="0000EE"/>
            </w:tcBorders>
          </w:tcPr>
          <w:p>
            <w:pPr>
              <w:spacing w:after="0"/>
              <w:rPr>
                <w:sz w:val="17"/>
                <w:szCs w:val="17"/>
                <w:color w:val="auto"/>
              </w:rPr>
            </w:pPr>
          </w:p>
        </w:tc>
        <w:tc>
          <w:tcPr>
            <w:tcW w:w="460" w:type="dxa"/>
            <w:vAlign w:val="bottom"/>
            <w:gridSpan w:val="14"/>
          </w:tcPr>
          <w:p>
            <w:pPr>
              <w:spacing w:after="0"/>
              <w:rPr>
                <w:sz w:val="17"/>
                <w:szCs w:val="17"/>
                <w:color w:val="auto"/>
              </w:rPr>
            </w:pPr>
          </w:p>
        </w:tc>
      </w:tr>
      <w:tr>
        <w:trPr>
          <w:trHeight w:val="196"/>
        </w:trPr>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140" w:type="dxa"/>
            <w:vAlign w:val="bottom"/>
          </w:tcPr>
          <w:p>
            <w:pPr>
              <w:spacing w:after="0"/>
              <w:rPr>
                <w:sz w:val="17"/>
                <w:szCs w:val="17"/>
                <w:color w:val="auto"/>
              </w:rPr>
            </w:pPr>
          </w:p>
        </w:tc>
        <w:tc>
          <w:tcPr>
            <w:tcW w:w="49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First Amendment to Lease, between the Registrant and Fabric 2676</w:t>
              </w:r>
            </w:hyperlink>
          </w:p>
        </w:tc>
        <w:tc>
          <w:tcPr>
            <w:tcW w:w="300" w:type="dxa"/>
            <w:vAlign w:val="bottom"/>
            <w:gridSpan w:val="9"/>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State, LLC, a California limited liability company, dated May 16, 2022</w:t>
              </w:r>
            </w:hyperlink>
          </w:p>
        </w:tc>
        <w:tc>
          <w:tcPr>
            <w:tcW w:w="80" w:type="dxa"/>
            <w:vAlign w:val="bottom"/>
            <w:gridSpan w:val="3"/>
          </w:tcPr>
          <w:p>
            <w:pPr>
              <w:spacing w:after="0"/>
              <w:rPr>
                <w:sz w:val="17"/>
                <w:szCs w:val="17"/>
                <w:color w:val="auto"/>
              </w:rPr>
            </w:pPr>
          </w:p>
        </w:tc>
      </w:tr>
      <w:tr>
        <w:trPr>
          <w:trHeight w:val="669"/>
        </w:trPr>
        <w:tc>
          <w:tcPr>
            <w:tcW w:w="1160" w:type="dxa"/>
            <w:vAlign w:val="bottom"/>
          </w:tcPr>
          <w:p>
            <w:pPr>
              <w:spacing w:after="0"/>
              <w:rPr>
                <w:sz w:val="24"/>
                <w:szCs w:val="24"/>
                <w:color w:val="auto"/>
              </w:rPr>
            </w:pPr>
          </w:p>
        </w:tc>
        <w:tc>
          <w:tcPr>
            <w:tcW w:w="4680" w:type="dxa"/>
            <w:vAlign w:val="bottom"/>
            <w:gridSpan w:val="20"/>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9"/>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18"/>
                <w:szCs w:val="18"/>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1"/>
        </w:trPr>
        <w:tc>
          <w:tcPr>
            <w:tcW w:w="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3/22/23</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10/26/23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9/9/21</w:t>
            </w:r>
          </w:p>
        </w:tc>
        <w:tc>
          <w:tcPr>
            <w:tcW w:w="12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3/3/22</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2/5/24</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9/9/21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9/9/21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5/9/2024</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3/22/23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3/22/23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11/7/2024</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11/7/2024</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3/3/22</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3/22/23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3/3/22</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3/22/23</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2">
            <w:col w:w="6500" w:space="100"/>
            <w:col w:w="4640"/>
          </w:cols>
          <w:pgMar w:left="320" w:top="1413" w:right="339" w:bottom="1440" w:gutter="0" w:footer="0" w:header="0"/>
        </w:sectPr>
      </w:pPr>
    </w:p>
    <w:bookmarkStart w:id="142" w:name="page143"/>
    <w:bookmarkEnd w:id="142"/>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0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10.17</w:t>
            </w:r>
          </w:p>
        </w:tc>
        <w:tc>
          <w:tcPr>
            <w:tcW w:w="5140" w:type="dxa"/>
            <w:vAlign w:val="bottom"/>
            <w:gridSpan w:val="12"/>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Second Amendment to Lease, between the Registrant and Fabric 2676</w:t>
              </w:r>
            </w:hyperlink>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3/22/23</w:t>
            </w:r>
          </w:p>
        </w:tc>
        <w:tc>
          <w:tcPr>
            <w:tcW w:w="18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10.22</w:t>
            </w: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State, LLC, a California limited liability company, dated January 6,</w:t>
              </w:r>
            </w:hyperlink>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line="196" w:lineRule="exact"/>
              <w:rPr>
                <w:rFonts w:ascii="Times New Roman" w:cs="Times New Roman" w:eastAsia="Times New Roman" w:hAnsi="Times New Roman"/>
                <w:sz w:val="18"/>
                <w:szCs w:val="18"/>
                <w:color w:val="0000FF"/>
                <w:w w:val="88"/>
              </w:rPr>
            </w:pPr>
            <w:hyperlink r:id="rId354">
              <w:r>
                <w:rPr>
                  <w:rFonts w:ascii="Times New Roman" w:cs="Times New Roman" w:eastAsia="Times New Roman" w:hAnsi="Times New Roman"/>
                  <w:sz w:val="18"/>
                  <w:szCs w:val="18"/>
                  <w:color w:val="0000FF"/>
                  <w:w w:val="88"/>
                </w:rPr>
                <w:t>2023</w:t>
              </w:r>
            </w:hyperlink>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5140" w:type="dxa"/>
            <w:vAlign w:val="bottom"/>
            <w:gridSpan w:val="12"/>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Third Amendment to Lease, between the Registrant and Fabric 2676</w:t>
              </w:r>
            </w:hyperlink>
          </w:p>
        </w:tc>
        <w:tc>
          <w:tcPr>
            <w:tcW w:w="10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3/19/2024</w:t>
            </w:r>
          </w:p>
        </w:tc>
        <w:tc>
          <w:tcPr>
            <w:tcW w:w="184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rPr>
              <w:t>10.23</w:t>
            </w:r>
          </w:p>
        </w:tc>
      </w:tr>
      <w:tr>
        <w:trPr>
          <w:trHeight w:val="20"/>
        </w:trPr>
        <w:tc>
          <w:tcPr>
            <w:tcW w:w="104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State, LLC, a California limited liability company, dated March 18,</w:t>
              </w:r>
            </w:hyperlink>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line="196" w:lineRule="exact"/>
              <w:rPr>
                <w:rFonts w:ascii="Times New Roman" w:cs="Times New Roman" w:eastAsia="Times New Roman" w:hAnsi="Times New Roman"/>
                <w:sz w:val="18"/>
                <w:szCs w:val="18"/>
                <w:color w:val="0000FF"/>
                <w:w w:val="88"/>
              </w:rPr>
            </w:pPr>
            <w:hyperlink r:id="rId355">
              <w:r>
                <w:rPr>
                  <w:rFonts w:ascii="Times New Roman" w:cs="Times New Roman" w:eastAsia="Times New Roman" w:hAnsi="Times New Roman"/>
                  <w:sz w:val="18"/>
                  <w:szCs w:val="18"/>
                  <w:color w:val="0000FF"/>
                  <w:w w:val="88"/>
                </w:rPr>
                <w:t>2024</w:t>
              </w:r>
            </w:hyperlink>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5140" w:type="dxa"/>
            <w:vAlign w:val="bottom"/>
            <w:gridSpan w:val="12"/>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ATM Sales Agreement, dated October 3, 2022, by and between Virtu</w:t>
              </w:r>
            </w:hyperlink>
          </w:p>
        </w:tc>
        <w:tc>
          <w:tcPr>
            <w:tcW w:w="10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10/3/22</w:t>
            </w:r>
          </w:p>
        </w:tc>
        <w:tc>
          <w:tcPr>
            <w:tcW w:w="184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7"/>
              </w:rPr>
              <w:t>1.2</w:t>
            </w:r>
          </w:p>
        </w:tc>
      </w:tr>
      <w:tr>
        <w:trPr>
          <w:trHeight w:val="20"/>
        </w:trPr>
        <w:tc>
          <w:tcPr>
            <w:tcW w:w="104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Americas LLC and the Registrant</w:t>
              </w:r>
            </w:hyperlink>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Compliance Policy and Procedures</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as required by Rule 13a-14(a)</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or Rule 15d-14(a), as adopted pursuant to Section 302 of the Sarbanes-</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as required by Rule 13a-14(a)</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or Rule 15d-14(a), as adopted pursuant to Section 302 of the Sarbanes-</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3"/>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43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3"/>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40" w:type="dxa"/>
            <w:vAlign w:val="bottom"/>
          </w:tcPr>
          <w:p>
            <w:pPr>
              <w:jc w:val="center"/>
              <w:ind w:right="35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140" w:type="dxa"/>
            <w:vAlign w:val="bottom"/>
            <w:gridSpan w:val="12"/>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Policy for Recovery of Erroneously Awarded Compensation</w:t>
              </w:r>
            </w:hyperlink>
          </w:p>
        </w:tc>
        <w:tc>
          <w:tcPr>
            <w:tcW w:w="108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3/19/2024</w:t>
            </w:r>
          </w:p>
        </w:tc>
        <w:tc>
          <w:tcPr>
            <w:tcW w:w="184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5"/>
              </w:rPr>
              <w:t>97.1</w:t>
            </w: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430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tcPr>
          <w:p>
            <w:pPr>
              <w:spacing w:after="0"/>
              <w:rPr>
                <w:sz w:val="18"/>
                <w:szCs w:val="18"/>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 embedded</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tcPr>
          <w:p>
            <w:pPr>
              <w:spacing w:after="0"/>
              <w:rPr>
                <w:sz w:val="18"/>
                <w:szCs w:val="18"/>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Documents</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0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104</w:t>
            </w: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40" w:type="dxa"/>
            <w:vAlign w:val="bottom"/>
          </w:tcPr>
          <w:p>
            <w:pPr>
              <w:spacing w:after="0"/>
              <w:rPr>
                <w:sz w:val="20"/>
                <w:szCs w:val="20"/>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7" w:lineRule="exact"/>
        <w:rPr>
          <w:sz w:val="20"/>
          <w:szCs w:val="20"/>
          <w:color w:val="auto"/>
        </w:rPr>
      </w:pPr>
    </w:p>
    <w:p>
      <w:pPr>
        <w:ind w:right="160" w:firstLine="8"/>
        <w:spacing w:after="0" w:line="250" w:lineRule="auto"/>
        <w:tabs>
          <w:tab w:leader="none" w:pos="1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and annexes have been omitted in accordance with Item 601(a)(5) of Regulation S-K. A copy of any omitted schedule and/or annex will be furnished as a supplement to the U.S. Securities and Exchange Commission upon request.</w:t>
      </w: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4" w:right="5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22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03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Todd Harris, Ph.D.</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Todd Harris, Ph.D.</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Alan Fuhrman</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Adele M. Gulfo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Adele M. Gulfo</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Gilla Kaplan,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Gilla Kaplan, Ph.D.</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Melissa McCracken,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Melissa McCracken, Ph.D.</w:t>
      </w:r>
    </w:p>
    <w:p>
      <w:pPr>
        <w:spacing w:after="0" w:line="6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Susan Moran, M.D., M.S.C.E.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Susan Moran, M.D., M.S.C.E.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27, 2025</w:t>
            </w:r>
          </w:p>
        </w:tc>
      </w:tr>
      <w:tr>
        <w:trPr>
          <w:trHeight w:val="188"/>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7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3"/>
                <w:szCs w:val="23"/>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27, 2025</w:t>
            </w:r>
          </w:p>
        </w:tc>
      </w:tr>
      <w:tr>
        <w:trPr>
          <w:trHeight w:val="188"/>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9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27, 2025</w:t>
            </w:r>
          </w:p>
        </w:tc>
      </w:tr>
      <w:tr>
        <w:trPr>
          <w:trHeight w:val="45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27, 2025</w:t>
            </w:r>
          </w:p>
        </w:tc>
      </w:tr>
    </w:tbl>
    <w:p>
      <w:pPr>
        <w:spacing w:after="0" w:line="211"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More</w:t>
            </w:r>
          </w:p>
        </w:tc>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More</w:t>
            </w:r>
          </w:p>
        </w:tc>
        <w:tc>
          <w:tcPr>
            <w:tcW w:w="294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 Michael Rothenberg, M.D., Ph.D.</w:t>
            </w:r>
          </w:p>
        </w:tc>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 Michael Rothenberg, M.D., Ph.D.</w:t>
            </w:r>
          </w:p>
        </w:tc>
        <w:tc>
          <w:tcPr>
            <w:tcW w:w="294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Jake Simson, Ph.D</w:t>
            </w:r>
          </w:p>
        </w:tc>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Jake Simson, Ph.D.</w:t>
            </w:r>
          </w:p>
        </w:tc>
        <w:tc>
          <w:tcPr>
            <w:tcW w:w="294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Rehan Verjee</w:t>
            </w:r>
          </w:p>
        </w:tc>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Rehan Verjee</w:t>
            </w:r>
          </w:p>
        </w:tc>
        <w:tc>
          <w:tcPr>
            <w:tcW w:w="2940" w:type="dxa"/>
            <w:vAlign w:val="bottom"/>
          </w:tcPr>
          <w:p>
            <w:pPr>
              <w:spacing w:after="0"/>
              <w:rPr>
                <w:sz w:val="15"/>
                <w:szCs w:val="15"/>
                <w:color w:val="auto"/>
              </w:rPr>
            </w:pPr>
          </w:p>
        </w:tc>
        <w:tc>
          <w:tcPr>
            <w:tcW w:w="33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Tyra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Compliance Policy and Procedures</w:t>
      </w:r>
    </w:p>
    <w:p>
      <w:pPr>
        <w:spacing w:after="0" w:line="20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Tyra Biosciences, Inc. (together with any of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Persons Covered and Administration of Policy</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This Insider Trading Compliance Policy and Procedures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Notwithstanding the foregoing, this insider trading policy, including without limitation, the preclearance policy, blackout periods and prohibited transactions, does not apply to venture capital entities or other institutional investors, and the related transactions in the Company’s equity securities by such entities, that may be affiliated with a director of the Company or for Company equity securities that a director may be deemed to have beneficial ownership of by virtue of such affiliation; provided, however, it is the responsibility of each such entity, in consultation with its own counsel (as appropriate), to determine compliance with applicable securities laws in considering whether to adhere to this Policy. The Company may determine that this Policy applies to additional persons with access to material nonpublic information, such as contractors or consultants. Officers, directors and employees, together with any other person designated as being subject to this Policy by the Company’s General Counsel or his or her designee or such other officer designated by the Company (the “</w:t>
      </w:r>
      <w:r>
        <w:rPr>
          <w:rFonts w:ascii="Times New Roman" w:cs="Times New Roman" w:eastAsia="Times New Roman" w:hAnsi="Times New Roman"/>
          <w:sz w:val="18"/>
          <w:szCs w:val="18"/>
          <w:u w:val="single" w:color="auto"/>
          <w:color w:val="auto"/>
        </w:rPr>
        <w:t>Compliance Officer</w:t>
      </w:r>
      <w:r>
        <w:rPr>
          <w:rFonts w:ascii="Times New Roman" w:cs="Times New Roman" w:eastAsia="Times New Roman" w:hAnsi="Times New Roman"/>
          <w:sz w:val="18"/>
          <w:szCs w:val="18"/>
          <w:color w:val="auto"/>
        </w:rPr>
        <w:t>”), are referred to collectively as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Questions regarding the Policy should be directed to the Compliance Officer, who is responsible for the administration of this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 Statement</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spacing w:after="0" w:line="160"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stocks, bonds, notes, debentures, options, warrants, equity and other convertible securities, as well as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broadly under the federal securities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not only the actual purchase of a security,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also any contract to purchase or otherwise acquire a security.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spacing w:after="0" w:line="18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laws and regulations concerning insider trading are complex, and Covered Persons are encouraged to seek guidance from the Compliance Officer prior to considering a transaction in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Blackout Periods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From time to time, the Compliance Officer may recommend that directors, officers, employees or others suspend trading in Company securities because of developments that have not yet been disclosed to the public, such period, a “blackout period.” Subject to the exceptions noted below, all of those individuals affected should not trade in the Company’s securities while the suspension is in effect, and should not disclose to others that the Company has suspended trading.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prohibitions do not apply to:</w:t>
      </w:r>
    </w:p>
    <w:p>
      <w:pPr>
        <w:spacing w:after="0" w:line="252" w:lineRule="exact"/>
        <w:rPr>
          <w:sz w:val="20"/>
          <w:szCs w:val="20"/>
          <w:color w:val="auto"/>
        </w:rPr>
      </w:pPr>
    </w:p>
    <w:p>
      <w:pPr>
        <w:ind w:left="1500" w:hanging="743"/>
        <w:spacing w:after="0" w:line="234" w:lineRule="auto"/>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purchases of the Company’s securities from the Company (e.g., Employee Stock Purchase Plan), or sales of the Company’s securities to the Company;</w:t>
      </w:r>
    </w:p>
    <w:p>
      <w:pPr>
        <w:spacing w:after="0" w:line="22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 or</w:t>
      </w:r>
    </w:p>
    <w:p>
      <w:pPr>
        <w:spacing w:after="0" w:line="224"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purchases or sales of the Company’s securities (i) mandated under an employee benefit plan maintained by the Company which authorizes the sale of only such securities as are necessary to satisfy tax withholding obligations arising exclusively from the vesting of a compensatory award or (ii) made pursuant to a plan adopted to comply with the Exchange Act Rule 10b5-1 (“</w:t>
      </w: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Exceptions to the blackout period policy may be approved by the Compliance Officer (or, in the case of an exception for the Compliance Officer, the Chief Financial Officer), including any exceptions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of the Company’s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of Transactions by Directors, Officers and Employees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All transactions (including gifts) in the Company’s securities by directors, officers, employees and any other Covered Person(s)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Preclearance Person</w:t>
      </w:r>
      <w:r>
        <w:rPr>
          <w:rFonts w:ascii="Times New Roman" w:cs="Times New Roman" w:eastAsia="Times New Roman" w:hAnsi="Times New Roman"/>
          <w:sz w:val="18"/>
          <w:szCs w:val="18"/>
          <w:color w:val="auto"/>
        </w:rPr>
        <w:t>”) must be precleared by the Compliance Officer or the Chief Financial Officer for transactions by the Compliance Officer. Preclearance should not be understood to represent legal advice by the company that a proposed transaction complies with the law.</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 All transactions that are precleared must be effected within five business days of receipt of the preclearance. A precleared transaction (or any portion of a precleared transaction) that has not been effected during the five business day period must be submitted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46" w:name="page147"/>
    <w:bookmarkEnd w:id="146"/>
    <w:p>
      <w:pPr>
        <w:jc w:val="both"/>
        <w:spacing w:after="0" w:line="266" w:lineRule="auto"/>
        <w:rPr>
          <w:sz w:val="20"/>
          <w:szCs w:val="20"/>
          <w:color w:val="auto"/>
        </w:rPr>
      </w:pPr>
      <w:r>
        <w:rPr>
          <w:rFonts w:ascii="Times New Roman" w:cs="Times New Roman" w:eastAsia="Times New Roman" w:hAnsi="Times New Roman"/>
          <w:sz w:val="18"/>
          <w:szCs w:val="18"/>
          <w:color w:val="auto"/>
        </w:rPr>
        <w:t>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None of the Company, the Compliance Officer, or the Company’s other employees will have any liability for any delay in reviewing, or refusal of, a request for preclearance.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Nonpublic Information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Information is considered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Examples of material information may include (but are not limited to) information about:</w:t>
      </w:r>
    </w:p>
    <w:p>
      <w:pPr>
        <w:spacing w:after="0" w:line="233" w:lineRule="exact"/>
        <w:rPr>
          <w:sz w:val="20"/>
          <w:szCs w:val="20"/>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corporate earnings or earnings forecasts;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possible mergers, acquisitions, tender offers, or dispositions;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major new products or product developments;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results of clinical trials or preclinical studies;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communications sent to or received from the U.S. Food and Drug Administration or foreign regulatory authorities;</w:t>
      </w:r>
    </w:p>
    <w:p>
      <w:pPr>
        <w:spacing w:after="0" w:line="116" w:lineRule="exact"/>
        <w:rPr>
          <w:rFonts w:ascii="Times New Roman" w:cs="Times New Roman" w:eastAsia="Times New Roman" w:hAnsi="Times New Roman"/>
          <w:sz w:val="22"/>
          <w:szCs w:val="22"/>
          <w:color w:val="auto"/>
        </w:rPr>
      </w:pPr>
    </w:p>
    <w:p>
      <w:pPr>
        <w:ind w:left="1140" w:hanging="383"/>
        <w:spacing w:after="0" w:line="234" w:lineRule="auto"/>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important business developments, such as trial results, developments regarding strategic collaborations or the status of regulatory submissions;</w:t>
      </w:r>
    </w:p>
    <w:p>
      <w:pPr>
        <w:spacing w:after="0" w:line="9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management or control changes;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financing developments including pending public sales or offerings of debt or equity securities;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defaults on borrowings;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bankruptcies;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cybersecurity or data security incidents; and</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litigation or regulatory actions.</w:t>
      </w:r>
    </w:p>
    <w:p>
      <w:pPr>
        <w:spacing w:after="0" w:line="1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u w:val="single" w:color="auto"/>
          <w:color w:val="auto"/>
        </w:rPr>
        <w:t>nonpublic</w:t>
      </w:r>
      <w:r>
        <w:rPr>
          <w:rFonts w:ascii="Times New Roman" w:cs="Times New Roman" w:eastAsia="Times New Roman" w:hAnsi="Times New Roman"/>
          <w:sz w:val="18"/>
          <w:szCs w:val="18"/>
          <w:color w:val="auto"/>
        </w:rPr>
        <w:t>” if it is not available to the general public. In order for information to be considered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 Regulation FD-compliant conference call. The Compliance Officer shall have sole discretion to decide whether information is public for purposes of this Policy.</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one to two full trading days following release of the information to the public, is a reasonable waiting period before such information is deemed to be public.</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If an individual is in possession of material nonpublic information when the individual’s service terminates, the individual may not trade in the Company’s securities until that information has become public or is no longer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 Sales</w:t>
      </w:r>
    </w:p>
    <w:p>
      <w:pPr>
        <w:spacing w:after="0" w:line="22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Transactions</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Margin Accounts and Pledging</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 Distributions</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an investment fund, venture capital partnership or other similar entity with which a director is affiliated to distribute Company securities to its partners, members, or other similar persons; provided, however, it is the responsibility of each such entity, in consultation with its own counsel (as appropriate), to determine the timing of any distributions, based on relevant facts and circumstances, and applicable securities laws.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trading restrictions set forth in this Policy, other than those transactions described under “</w:t>
      </w:r>
      <w:r>
        <w:rPr>
          <w:rFonts w:ascii="Times New Roman" w:cs="Times New Roman" w:eastAsia="Times New Roman" w:hAnsi="Times New Roman"/>
          <w:sz w:val="18"/>
          <w:szCs w:val="18"/>
          <w:u w:val="single" w:color="auto"/>
          <w:color w:val="auto"/>
        </w:rPr>
        <w:t>Prohibited Transactions</w:t>
      </w:r>
      <w:r>
        <w:rPr>
          <w:rFonts w:ascii="Times New Roman" w:cs="Times New Roman" w:eastAsia="Times New Roman" w:hAnsi="Times New Roman"/>
          <w:sz w:val="18"/>
          <w:szCs w:val="18"/>
          <w:color w:val="auto"/>
        </w:rPr>
        <w:t>,” do not apply to transactions under a previously established contract, plan or instruction to trade in the Company’s securities entered into in accordance with Rule 10b5-1 (a “</w:t>
      </w:r>
      <w:r>
        <w:rPr>
          <w:rFonts w:ascii="Times New Roman" w:cs="Times New Roman" w:eastAsia="Times New Roman" w:hAnsi="Times New Roman"/>
          <w:sz w:val="18"/>
          <w:szCs w:val="18"/>
          <w:u w:val="single" w:color="auto"/>
          <w:color w:val="auto"/>
        </w:rPr>
        <w:t>Trading Plan</w:t>
      </w:r>
      <w:r>
        <w:rPr>
          <w:rFonts w:ascii="Times New Roman" w:cs="Times New Roman" w:eastAsia="Times New Roman" w:hAnsi="Times New Roman"/>
          <w:sz w:val="18"/>
          <w:szCs w:val="18"/>
          <w:color w:val="auto"/>
        </w:rPr>
        <w:t>”) that:</w:t>
      </w:r>
    </w:p>
    <w:p>
      <w:pPr>
        <w:spacing w:after="0" w:line="184" w:lineRule="exact"/>
        <w:rPr>
          <w:sz w:val="20"/>
          <w:szCs w:val="20"/>
          <w:color w:val="auto"/>
        </w:rPr>
      </w:pPr>
    </w:p>
    <w:p>
      <w:pPr>
        <w:ind w:left="1500" w:hanging="7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has been submitted to and preapproved by the Compliance Officer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includes a “Cooling Off Period” for</w:t>
      </w:r>
    </w:p>
    <w:p>
      <w:pPr>
        <w:spacing w:after="0" w:line="225" w:lineRule="exact"/>
        <w:rPr>
          <w:sz w:val="20"/>
          <w:szCs w:val="20"/>
          <w:color w:val="auto"/>
        </w:rPr>
      </w:pPr>
    </w:p>
    <w:p>
      <w:pPr>
        <w:jc w:val="both"/>
        <w:ind w:left="2260" w:hanging="380"/>
        <w:spacing w:after="0" w:line="239" w:lineRule="auto"/>
        <w:tabs>
          <w:tab w:leader="none" w:pos="226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spacing w:after="0" w:line="226" w:lineRule="exact"/>
        <w:rPr>
          <w:rFonts w:ascii="Times New Roman" w:cs="Times New Roman" w:eastAsia="Times New Roman" w:hAnsi="Times New Roman"/>
          <w:sz w:val="22"/>
          <w:szCs w:val="22"/>
          <w:color w:val="auto"/>
        </w:rPr>
      </w:pPr>
    </w:p>
    <w:p>
      <w:pPr>
        <w:ind w:left="2260" w:hanging="380"/>
        <w:spacing w:after="0" w:line="234" w:lineRule="auto"/>
        <w:tabs>
          <w:tab w:leader="none" w:pos="226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employees and any other persons, other than the Company, that extends 30 days after adoption or modification of a Trading Plan;</w:t>
      </w:r>
    </w:p>
    <w:p>
      <w:pPr>
        <w:spacing w:after="0" w:line="226" w:lineRule="exact"/>
        <w:rPr>
          <w:rFonts w:ascii="Times New Roman" w:cs="Times New Roman" w:eastAsia="Times New Roman" w:hAnsi="Times New Roman"/>
          <w:sz w:val="22"/>
          <w:szCs w:val="22"/>
          <w:color w:val="auto"/>
        </w:rPr>
      </w:pPr>
    </w:p>
    <w:p>
      <w:pPr>
        <w:jc w:val="both"/>
        <w:ind w:left="1500" w:hanging="743"/>
        <w:spacing w:after="0" w:line="253" w:lineRule="auto"/>
        <w:tabs>
          <w:tab w:leader="none" w:pos="15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214" w:lineRule="exact"/>
        <w:rPr>
          <w:rFonts w:ascii="Times New Roman" w:cs="Times New Roman" w:eastAsia="Times New Roman" w:hAnsi="Times New Roman"/>
          <w:sz w:val="22"/>
          <w:szCs w:val="22"/>
          <w:color w:val="auto"/>
        </w:rPr>
      </w:pPr>
    </w:p>
    <w:p>
      <w:pPr>
        <w:jc w:val="both"/>
        <w:ind w:left="1500" w:hanging="369"/>
        <w:spacing w:after="0" w:line="239" w:lineRule="auto"/>
        <w:tabs>
          <w:tab w:leader="none" w:pos="15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226"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20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complies with all other applicable requirements of Rule 10b5-1.</w:t>
      </w:r>
    </w:p>
    <w:p>
      <w:pPr>
        <w:spacing w:after="0" w:line="1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(including Trading Plans which authorize an agent to sell only such securities as are necessary to satisfy tax withholding obligations arising exclusively from the vesting of a compensatory award) and subject to preapproval by the Compliance Officer.</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 individual may only modify a Trading Plan outside of a blackout period and, in any event, when the individual does not possess material nonpublic information. Modifications to and terminations of a Trading Plan are subject to preapproval by the Compliance Officer and modifications of a Trading Plan that change the amount, price, or timing of the purchase or sale of the securities underlying a Trading Plan will trigger a new Cooling-Off Period.</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Compliance of a Trading Plan with the terms of Rule 10b5-1 and the execution of transactions pursuant to the Trading Plan are the sole responsibility of the person initiating the Trading Plan, and none of the Company,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82" w:lineRule="auto"/>
        <w:rPr>
          <w:sz w:val="20"/>
          <w:szCs w:val="20"/>
          <w:color w:val="auto"/>
        </w:rPr>
      </w:pPr>
      <w:r>
        <w:rPr>
          <w:rFonts w:ascii="Times New Roman" w:cs="Times New Roman" w:eastAsia="Times New Roman" w:hAnsi="Times New Roman"/>
          <w:sz w:val="18"/>
          <w:szCs w:val="18"/>
          <w:color w:val="auto"/>
        </w:rPr>
        <w:t>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 Amendment, and Implementation of this Policy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Actions taken by the Company, the Compliance Officer, or any other Company personnel do not constitute legal advice, nor do they insulate you from the consequences of noncompliance with this Policy or with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Compliance</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All directors, officers, employees and others subject to this Policy may be asked periodically to certify their compliance with the terms and provisions of this Policy.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0" w:name="page151"/>
    <w:bookmarkEnd w:id="150"/>
    <w:p>
      <w:pPr>
        <w:ind w:left="4860"/>
        <w:spacing w:after="0"/>
        <w:rPr>
          <w:sz w:val="20"/>
          <w:szCs w:val="20"/>
          <w:color w:val="auto"/>
        </w:rPr>
      </w:pPr>
      <w:r>
        <w:rPr>
          <w:rFonts w:ascii="Times New Roman" w:cs="Times New Roman" w:eastAsia="Times New Roman" w:hAnsi="Times New Roman"/>
          <w:sz w:val="18"/>
          <w:szCs w:val="18"/>
          <w:u w:val="single" w:color="auto"/>
          <w:color w:val="auto"/>
        </w:rPr>
        <w:t>Schedule I</w:t>
      </w:r>
    </w:p>
    <w:p>
      <w:pPr>
        <w:spacing w:after="0" w:line="200" w:lineRule="exact"/>
        <w:rPr>
          <w:sz w:val="20"/>
          <w:szCs w:val="20"/>
          <w:color w:val="auto"/>
        </w:rPr>
      </w:pPr>
    </w:p>
    <w:p>
      <w:pPr>
        <w:spacing w:after="0" w:line="237"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b w:val="1"/>
          <w:bCs w:val="1"/>
          <w:color w:val="auto"/>
        </w:rPr>
        <w:t>Individuals Subject to Preclearance Requirement</w:t>
      </w:r>
    </w:p>
    <w:p>
      <w:pPr>
        <w:spacing w:after="0" w:line="237" w:lineRule="exact"/>
        <w:rPr>
          <w:sz w:val="20"/>
          <w:szCs w:val="20"/>
          <w:color w:val="auto"/>
        </w:rPr>
      </w:pPr>
    </w:p>
    <w:p>
      <w:pPr>
        <w:ind w:left="380" w:hanging="378"/>
        <w:spacing w:after="0"/>
        <w:tabs>
          <w:tab w:leader="none" w:pos="3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officers of the Company</w:t>
      </w:r>
    </w:p>
    <w:p>
      <w:pPr>
        <w:spacing w:after="0" w:line="206" w:lineRule="exact"/>
        <w:rPr>
          <w:rFonts w:ascii="Times New Roman" w:cs="Times New Roman" w:eastAsia="Times New Roman" w:hAnsi="Times New Roman"/>
          <w:sz w:val="22"/>
          <w:szCs w:val="22"/>
          <w:color w:val="auto"/>
        </w:rPr>
      </w:pPr>
    </w:p>
    <w:p>
      <w:pPr>
        <w:ind w:left="380" w:hanging="378"/>
        <w:spacing w:after="0"/>
        <w:tabs>
          <w:tab w:leader="none" w:pos="3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members of the Company’s Board of Directors</w:t>
      </w:r>
    </w:p>
    <w:p>
      <w:pPr>
        <w:spacing w:after="0" w:line="206" w:lineRule="exact"/>
        <w:rPr>
          <w:rFonts w:ascii="Times New Roman" w:cs="Times New Roman" w:eastAsia="Times New Roman" w:hAnsi="Times New Roman"/>
          <w:sz w:val="22"/>
          <w:szCs w:val="22"/>
          <w:color w:val="auto"/>
        </w:rPr>
      </w:pPr>
    </w:p>
    <w:p>
      <w:pPr>
        <w:ind w:left="380" w:hanging="378"/>
        <w:spacing w:after="0"/>
        <w:tabs>
          <w:tab w:leader="none" w:pos="3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employees of the Company</w:t>
      </w: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488315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769"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333333"/>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3" w:lineRule="exact"/>
        <w:rPr>
          <w:sz w:val="20"/>
          <w:szCs w:val="20"/>
          <w:color w:val="auto"/>
        </w:rPr>
      </w:pPr>
    </w:p>
    <w:p>
      <w:pPr>
        <w:ind w:left="760" w:hanging="378"/>
        <w:spacing w:after="0"/>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Statements (Form S-3 Nos. 333-267712 and 333-278068) of Tyra Biosciences, Inc.,</w:t>
      </w:r>
    </w:p>
    <w:p>
      <w:pPr>
        <w:spacing w:after="0" w:line="233" w:lineRule="exact"/>
        <w:rPr>
          <w:rFonts w:ascii="Times New Roman" w:cs="Times New Roman" w:eastAsia="Times New Roman" w:hAnsi="Times New Roman"/>
          <w:sz w:val="22"/>
          <w:szCs w:val="22"/>
          <w:color w:val="auto"/>
        </w:rPr>
      </w:pPr>
    </w:p>
    <w:p>
      <w:pPr>
        <w:jc w:val="both"/>
        <w:ind w:left="760" w:right="100" w:hanging="378"/>
        <w:spacing w:after="0" w:line="244" w:lineRule="auto"/>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333-259560) pertaining to the Tyra Biosciences, Inc. 2020 Equity Incentive Plan, Tyra Biosciences, Inc. 2021 Incentive Award Plan, and the Tyra Biosciences, Inc. 2021 Employee Stock Purchase Plan of Tyra Biosciences, Inc., and</w:t>
      </w:r>
    </w:p>
    <w:p>
      <w:pPr>
        <w:spacing w:after="0" w:line="200" w:lineRule="exact"/>
        <w:rPr>
          <w:rFonts w:ascii="Times New Roman" w:cs="Times New Roman" w:eastAsia="Times New Roman" w:hAnsi="Times New Roman"/>
          <w:sz w:val="22"/>
          <w:szCs w:val="22"/>
          <w:color w:val="auto"/>
        </w:rPr>
      </w:pPr>
    </w:p>
    <w:p>
      <w:pPr>
        <w:ind w:left="760" w:right="140" w:hanging="378"/>
        <w:spacing w:after="0" w:line="258" w:lineRule="auto"/>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333-278069) pertaining to the Tyra Biosciences, Inc. 2021 Incentive Award Plan and Tyra Biosciences, Inc. 2021 Employee Stock Purchase Plan of Tyra Biosciences, Inc.;</w:t>
      </w:r>
    </w:p>
    <w:p>
      <w:pPr>
        <w:spacing w:after="0" w:line="18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of our report dated March 27, 2025, with respect to the financial statements of Tyra Biosciences, Inc., included in this Annual Report (Form 10-K) of Tyra Biosciences, Inc.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Harris, certify that:</w:t>
      </w:r>
    </w:p>
    <w:p>
      <w:pPr>
        <w:spacing w:after="0" w:line="225"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Tyra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Todd Harris, Ph.D.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Fuhrman, certify that:</w:t>
      </w:r>
    </w:p>
    <w:p>
      <w:pPr>
        <w:spacing w:after="0" w:line="225"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Tyra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Alan Fuhrman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Tyra Biosciences, Inc.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Todd Harris, Ph.D.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Tyra Biosciences, Inc.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Alan Fuhrman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lowerRoman"/>
      <w:start w:val="3"/>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lowerLetter"/>
      <w:start w:val="2"/>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lowerRoman"/>
      <w:start w:val="2"/>
    </w:lvl>
  </w:abstractNum>
  <w:abstractNum w:abstractNumId="52">
    <w:nsid w:val="3F6AB60F"/>
    <w:multiLevelType w:val="hybridMultilevel"/>
    <w:lvl w:ilvl="0">
      <w:lvlJc w:val="left"/>
      <w:lvlText w:val="%1"/>
      <w:numFmt w:val="decimal"/>
      <w:start w:val="1"/>
    </w:lvl>
    <w:lvl w:ilvl="1">
      <w:lvlJc w:val="left"/>
      <w:lvlText w:val="(%2)"/>
      <w:numFmt w:val="decimal"/>
      <w:start w:val="1"/>
    </w:lvl>
  </w:abstractNum>
  <w:abstractNum w:abstractNumId="53">
    <w:nsid w:val="61574095"/>
    <w:multiLevelType w:val="hybridMultilevel"/>
    <w:lvl w:ilvl="0">
      <w:lvlJc w:val="left"/>
      <w:lvlText w:val="%1."/>
      <w:numFmt w:val="decimal"/>
      <w:start w:val="14"/>
    </w:lvl>
    <w:lvl w:ilvl="1">
      <w:lvlJc w:val="left"/>
      <w:lvlText w:val="%2"/>
      <w:numFmt w:val="decimal"/>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2"/>
    </w:lvl>
  </w:abstractNum>
  <w:abstractNum w:abstractNumId="58">
    <w:nsid w:val="5FF87E05"/>
    <w:multiLevelType w:val="hybridMultilevel"/>
    <w:lvl w:ilvl="0">
      <w:lvlJc w:val="left"/>
      <w:lvlText w:val="%1."/>
      <w:numFmt w:val="decimal"/>
      <w:start w:val="3"/>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53"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31" Type="http://schemas.openxmlformats.org/officeDocument/2006/relationships/hyperlink" Target="https://www.sec.gov/Archives/edgar/data/1863127/000095017023009181/tyra-ex3_1.htm" TargetMode="External"/><Relationship Id="rId332" Type="http://schemas.openxmlformats.org/officeDocument/2006/relationships/hyperlink" Target="https://www.sec.gov/Archives/edgar/data/1863127/000119312523264152/d537796dex31.htm" TargetMode="External"/><Relationship Id="rId333" Type="http://schemas.openxmlformats.org/officeDocument/2006/relationships/hyperlink" Target="https://www.sec.gov/Archives/edgar/data/1863127/000119312521252729/d189651dex41.htm" TargetMode="External"/><Relationship Id="rId334" Type="http://schemas.openxmlformats.org/officeDocument/2006/relationships/hyperlink" Target="https://www.sec.gov/Archives/edgar/data/1863127/000119312521268272/d189651dex42.htm" TargetMode="External"/><Relationship Id="rId335" Type="http://schemas.openxmlformats.org/officeDocument/2006/relationships/hyperlink" Target="https://www.sec.gov/Archives/edgar/data/1863127/000095017022002814/tyra-ex4_3.htm" TargetMode="External"/><Relationship Id="rId336" Type="http://schemas.openxmlformats.org/officeDocument/2006/relationships/hyperlink" Target="https://www.sec.gov/Archives/edgar/data/1863127/000119312524023367/d620082dex41.htm" TargetMode="External"/><Relationship Id="rId337" Type="http://schemas.openxmlformats.org/officeDocument/2006/relationships/hyperlink" Target="https://www.sec.gov/Archives/edgar/data/0001863127/000119312521252729/d189651dex101.htm" TargetMode="External"/><Relationship Id="rId338" Type="http://schemas.openxmlformats.org/officeDocument/2006/relationships/hyperlink" Target="https://www.sec.gov/Archives/edgar/data/1863127/000119312521268272/d189651dex102.htm" TargetMode="External"/><Relationship Id="rId339" Type="http://schemas.openxmlformats.org/officeDocument/2006/relationships/hyperlink" Target="https://www.sec.gov/Archives/edgar/data/1863127/000119312521268272/d189651dex103.htm" TargetMode="External"/><Relationship Id="rId340" Type="http://schemas.openxmlformats.org/officeDocument/2006/relationships/hyperlink" Target="https://www.sec.gov/Archives/edgar/data/1863127/000095017024056971/tyra-ex10_3.htm" TargetMode="External"/><Relationship Id="rId341" Type="http://schemas.openxmlformats.org/officeDocument/2006/relationships/hyperlink" Target="https://www.sec.gov/Archives/edgar/data/1863127/000095017023009181/tyra-ex10_5.htm" TargetMode="External"/><Relationship Id="rId342" Type="http://schemas.openxmlformats.org/officeDocument/2006/relationships/hyperlink" Target="https://www.sec.gov/Archives/edgar/data/1863127/000119312521252729/d189651dex1012.htm" TargetMode="External"/><Relationship Id="rId343" Type="http://schemas.openxmlformats.org/officeDocument/2006/relationships/hyperlink" Target="https://www.sec.gov/Archives/edgar/data/1863127/000119312521252729/d189651dex1013.htm" TargetMode="External"/><Relationship Id="rId344" Type="http://schemas.openxmlformats.org/officeDocument/2006/relationships/hyperlink" Target="https://www.sec.gov/Archives/edgar/data/1863127/000095017023009181/tyra-ex10_14.htm" TargetMode="External"/><Relationship Id="rId345" Type="http://schemas.openxmlformats.org/officeDocument/2006/relationships/hyperlink" Target="https://www.sec.gov/Archives/edgar/data/1863127/000095017024123346/tyra-ex10_2.htm" TargetMode="External"/><Relationship Id="rId346" Type="http://schemas.openxmlformats.org/officeDocument/2006/relationships/hyperlink" Target="https://www.sec.gov/Archives/edgar/data/1863127/000095017024123346/tyra-ex10_1.htm" TargetMode="External"/><Relationship Id="rId347" Type="http://schemas.openxmlformats.org/officeDocument/2006/relationships/hyperlink" Target="https://www.sec.gov/Archives/edgar/data/1863127/000119312521252729/d189651dex1020.htm" TargetMode="External"/><Relationship Id="rId348" Type="http://schemas.openxmlformats.org/officeDocument/2006/relationships/hyperlink" Target="https://www.sec.gov/Archives/edgar/data/0001863127/000119312521252729/d189651dex1019.htm" TargetMode="External"/><Relationship Id="rId349" Type="http://schemas.openxmlformats.org/officeDocument/2006/relationships/hyperlink" Target="https://www.sec.gov/Archives/edgar/data/1863127/000095017022002814/tyra-ex10_14.htm" TargetMode="External"/><Relationship Id="rId350" Type="http://schemas.openxmlformats.org/officeDocument/2006/relationships/hyperlink" Target="https://www.sec.gov/Archives/edgar/data/1863127/000095017023009181/tyra-ex10_19.htm" TargetMode="External"/><Relationship Id="rId351" Type="http://schemas.openxmlformats.org/officeDocument/2006/relationships/hyperlink" Target="https://www.sec.gov/Archives/edgar/data/1863127/000095017022002814/tyra-ex10_15.htm" TargetMode="External"/><Relationship Id="rId352" Type="http://schemas.openxmlformats.org/officeDocument/2006/relationships/hyperlink" Target="https://www.sec.gov/Archives/edgar/data/1863127/000095017023009181/tyra-ex10_21.htm" TargetMode="External"/><Relationship Id="rId354" Type="http://schemas.openxmlformats.org/officeDocument/2006/relationships/hyperlink" Target="https://www.sec.gov/Archives/edgar/data/1863127/000095017023009181/tyra-ex10_22.htm" TargetMode="External"/><Relationship Id="rId355" Type="http://schemas.openxmlformats.org/officeDocument/2006/relationships/hyperlink" Target="https://www.sec.gov/Archives/edgar/data/1863127/000095017024033461/tyra-ex10_23.htm" TargetMode="External"/><Relationship Id="rId356" Type="http://schemas.openxmlformats.org/officeDocument/2006/relationships/hyperlink" Target="https://www.sec.gov/Archives/edgar/data/1863127/000119312522256638/d370610dex12.htm" TargetMode="External"/><Relationship Id="rId357" Type="http://schemas.openxmlformats.org/officeDocument/2006/relationships/hyperlink" Target="https://www.sec.gov/Archives/edgar/data/1863127/000095017024033461/tyr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2025-03-27T16:05:09Z</dcterms:created>
  <dcterms:modified xsi:type="dcterms:W3CDTF">2025-03-27T16:05:09Z</dcterms:modified>
</cp:coreProperties>
</file>