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68122dfwp.htm"/>
      <w:bookmarkStart w:id="1" w:name="ksd168122dfwp"/>
      <w:bookmarkEnd w:id="0"/>
      <w:bookmarkEnd w:id="1"/>
      <w:r>
        <w:rPr>
          <w:rFonts w:ascii="Times New Roman" w:hAnsi="Times New Roman"/>
          <w:b/>
          <w:sz w:val="20"/>
        </w:rPr>
        <w:t xml:space="preserve">Issuer Free Writing Prospectus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Dated September 14, 2026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Prospectus Dated September 14,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333-298911 </w:t>
      </w:r>
    </w:p>
    <w:p>
      <w:pPr>
        <w:pStyle w:val="TextBody"/>
        <w:bidi w:val="0"/>
        <w:spacing w:before="0" w:after="0"/>
        <w:jc w:val="left"/>
        <w:rPr/>
      </w:pPr>
      <w:r>
        <w:rPr/>
        <w:t> </w:t>
      </w:r>
    </w:p>
    <w:p>
      <w:pPr>
        <w:pStyle w:val="TextBody"/>
        <w:bidi w:val="0"/>
        <w:spacing w:before="0" w:after="0"/>
        <w:jc w:val="center"/>
        <w:rPr/>
      </w:pPr>
      <w:r>
        <w:rPr/>
        <w:drawing>
          <wp:inline distT="0" distB="0" distL="0" distR="0">
            <wp:extent cx="206692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66925" cy="876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Pre-Funded Warrants to Purchase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relates only to the offering of shares of common stock and pre-funded warrants to purchase shares of common stock by Tyra Biosciences, Inc. and should be read together with the prospectus dated September 14, 2026 included in the Company’s Registration Statement on Form S-3 (File No. 333-298911) (Prospectus), including the documents incorporated by reference therein. This free writing prospectus supplements the Prospectus primarily to reflect the addition of and the terms of certain pre-funded warrants, and the shares of common stock issuable upon the exercise of such pre-funded warrants, being offered by Tyra Biosciences, Inc. Except as otherwise indicated, all information in this free writing prospectus and the Prospectus assumes no exercise of the pre-funded warrants included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is qualified in its entirety by reference to the Prospectus, including the documents incorporated by reference therein. Financial information and other information presented in the Prospectus or incorporated by reference therein is deemed to have changed to the extent affected by the changes described herein. This free writing prospectus should be read together with the Prospectus, including the documents incorporated by reference therein, before making a decision in connection with an investment in our securities. Capitalized terms used in this free writing prospectus but not defined have the meanings given to them in the Prospectus.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THE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23"/>
        <w:gridCol w:w="122"/>
        <w:gridCol w:w="6960"/>
      </w:tblGrid>
      <w:tr>
        <w:trPr/>
        <w:tc>
          <w:tcPr>
            <w:tcW w:w="312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960" w:type="dxa"/>
            <w:tcBorders/>
            <w:vAlign w:val="center"/>
          </w:tcPr>
          <w:p>
            <w:pPr>
              <w:pStyle w:val="TableContents"/>
              <w:bidi w:val="0"/>
              <w:spacing w:before="0" w:after="283"/>
              <w:jc w:val="left"/>
              <w:rPr>
                <w:sz w:val="4"/>
                <w:szCs w:val="4"/>
              </w:rPr>
            </w:pPr>
            <w:r>
              <w:rPr>
                <w:sz w:val="4"/>
                <w:szCs w:val="4"/>
              </w:rPr>
            </w:r>
          </w:p>
        </w:tc>
      </w:tr>
      <w:tr>
        <w:trPr/>
        <w:tc>
          <w:tcPr>
            <w:tcW w:w="3123" w:type="dxa"/>
            <w:tcBorders/>
          </w:tcPr>
          <w:p>
            <w:pPr>
              <w:pStyle w:val="TableContents"/>
              <w:bidi w:val="0"/>
              <w:spacing w:before="0" w:after="283"/>
              <w:jc w:val="left"/>
              <w:rPr/>
            </w:pPr>
            <w:r>
              <w:rPr/>
              <w:t>Issuer</w:t>
            </w:r>
          </w:p>
        </w:tc>
        <w:tc>
          <w:tcPr>
            <w:tcW w:w="122" w:type="dxa"/>
            <w:tcBorders/>
            <w:vAlign w:val="bottom"/>
          </w:tcPr>
          <w:p>
            <w:pPr>
              <w:pStyle w:val="TableContents"/>
              <w:bidi w:val="0"/>
              <w:spacing w:before="0" w:after="283"/>
              <w:jc w:val="left"/>
              <w:rPr/>
            </w:pPr>
            <w:r>
              <w:rPr/>
              <w:t>  </w:t>
            </w:r>
          </w:p>
        </w:tc>
        <w:tc>
          <w:tcPr>
            <w:tcW w:w="6960" w:type="dxa"/>
            <w:tcBorders/>
          </w:tcPr>
          <w:p>
            <w:pPr>
              <w:pStyle w:val="TableContents"/>
              <w:bidi w:val="0"/>
              <w:spacing w:before="0" w:after="283"/>
              <w:jc w:val="left"/>
              <w:rPr/>
            </w:pPr>
            <w:r>
              <w:rPr/>
              <w:t>Tyra Biosciences, Inc.</w:t>
            </w:r>
          </w:p>
        </w:tc>
      </w:tr>
      <w:tr>
        <w:trPr>
          <w:trHeight w:val="120" w:hRule="atLeast"/>
        </w:trPr>
        <w:tc>
          <w:tcPr>
            <w:tcW w:w="3123" w:type="dxa"/>
            <w:tcBorders/>
            <w:vAlign w:val="center"/>
          </w:tcPr>
          <w:p>
            <w:pPr>
              <w:pStyle w:val="TableContents"/>
              <w:bidi w:val="0"/>
              <w:spacing w:before="0" w:after="283"/>
              <w:jc w:val="left"/>
              <w:rPr>
                <w:sz w:val="4"/>
                <w:szCs w:val="4"/>
              </w:rPr>
            </w:pPr>
            <w:r>
              <w:rPr>
                <w:sz w:val="4"/>
                <w:szCs w:val="4"/>
              </w:rPr>
            </w:r>
          </w:p>
        </w:tc>
        <w:tc>
          <w:tcPr>
            <w:tcW w:w="7082" w:type="dxa"/>
            <w:gridSpan w:val="2"/>
            <w:tcBorders/>
            <w:vAlign w:val="center"/>
          </w:tcPr>
          <w:p>
            <w:pPr>
              <w:pStyle w:val="TableContents"/>
              <w:bidi w:val="0"/>
              <w:spacing w:before="0" w:after="283"/>
              <w:jc w:val="left"/>
              <w:rPr>
                <w:sz w:val="4"/>
                <w:szCs w:val="4"/>
              </w:rPr>
            </w:pPr>
            <w:r>
              <w:rPr>
                <w:sz w:val="4"/>
                <w:szCs w:val="4"/>
              </w:rPr>
            </w:r>
          </w:p>
        </w:tc>
      </w:tr>
      <w:tr>
        <w:trPr/>
        <w:tc>
          <w:tcPr>
            <w:tcW w:w="3123" w:type="dxa"/>
            <w:tcBorders/>
          </w:tcPr>
          <w:p>
            <w:pPr>
              <w:pStyle w:val="TableContents"/>
              <w:bidi w:val="0"/>
              <w:spacing w:before="0" w:after="283"/>
              <w:jc w:val="left"/>
              <w:rPr/>
            </w:pPr>
            <w:r>
              <w:rPr/>
              <w:t>Common stock offered by us</w:t>
            </w:r>
          </w:p>
        </w:tc>
        <w:tc>
          <w:tcPr>
            <w:tcW w:w="122" w:type="dxa"/>
            <w:tcBorders/>
            <w:vAlign w:val="bottom"/>
          </w:tcPr>
          <w:p>
            <w:pPr>
              <w:pStyle w:val="TableContents"/>
              <w:bidi w:val="0"/>
              <w:spacing w:before="0" w:after="283"/>
              <w:jc w:val="left"/>
              <w:rPr/>
            </w:pPr>
            <w:r>
              <w:rPr/>
              <w:t>  </w:t>
            </w:r>
          </w:p>
        </w:tc>
        <w:tc>
          <w:tcPr>
            <w:tcW w:w="6960" w:type="dxa"/>
            <w:tcBorders/>
          </w:tcPr>
          <w:p>
            <w:pPr>
              <w:pStyle w:val="TableContents"/>
              <w:bidi w:val="0"/>
              <w:spacing w:before="0" w:after="283"/>
              <w:jc w:val="left"/>
              <w:rPr/>
            </w:pPr>
            <w:r>
              <w:rPr/>
              <w:t>   </w:t>
            </w:r>
            <w:r>
              <w:rPr/>
              <w:t>shares.</w:t>
            </w:r>
          </w:p>
        </w:tc>
      </w:tr>
      <w:tr>
        <w:trPr>
          <w:trHeight w:val="120" w:hRule="atLeast"/>
        </w:trPr>
        <w:tc>
          <w:tcPr>
            <w:tcW w:w="3123" w:type="dxa"/>
            <w:tcBorders/>
            <w:vAlign w:val="center"/>
          </w:tcPr>
          <w:p>
            <w:pPr>
              <w:pStyle w:val="TableContents"/>
              <w:bidi w:val="0"/>
              <w:spacing w:before="0" w:after="283"/>
              <w:jc w:val="left"/>
              <w:rPr>
                <w:sz w:val="4"/>
                <w:szCs w:val="4"/>
              </w:rPr>
            </w:pPr>
            <w:r>
              <w:rPr>
                <w:sz w:val="4"/>
                <w:szCs w:val="4"/>
              </w:rPr>
            </w:r>
          </w:p>
        </w:tc>
        <w:tc>
          <w:tcPr>
            <w:tcW w:w="7082" w:type="dxa"/>
            <w:gridSpan w:val="2"/>
            <w:tcBorders/>
            <w:vAlign w:val="center"/>
          </w:tcPr>
          <w:p>
            <w:pPr>
              <w:pStyle w:val="TableContents"/>
              <w:bidi w:val="0"/>
              <w:spacing w:before="0" w:after="283"/>
              <w:jc w:val="left"/>
              <w:rPr>
                <w:sz w:val="4"/>
                <w:szCs w:val="4"/>
              </w:rPr>
            </w:pPr>
            <w:r>
              <w:rPr>
                <w:sz w:val="4"/>
                <w:szCs w:val="4"/>
              </w:rPr>
            </w:r>
          </w:p>
        </w:tc>
      </w:tr>
      <w:tr>
        <w:trPr/>
        <w:tc>
          <w:tcPr>
            <w:tcW w:w="3123" w:type="dxa"/>
            <w:tcBorders/>
          </w:tcPr>
          <w:p>
            <w:pPr>
              <w:pStyle w:val="TableContents"/>
              <w:bidi w:val="0"/>
              <w:spacing w:before="0" w:after="283"/>
              <w:jc w:val="left"/>
              <w:rPr/>
            </w:pPr>
            <w:r>
              <w:rPr/>
              <w:t>Pre-funded warrants offered by us</w:t>
            </w:r>
          </w:p>
        </w:tc>
        <w:tc>
          <w:tcPr>
            <w:tcW w:w="122" w:type="dxa"/>
            <w:tcBorders/>
            <w:vAlign w:val="bottom"/>
          </w:tcPr>
          <w:p>
            <w:pPr>
              <w:pStyle w:val="TableContents"/>
              <w:bidi w:val="0"/>
              <w:spacing w:before="0" w:after="283"/>
              <w:jc w:val="left"/>
              <w:rPr/>
            </w:pPr>
            <w:r>
              <w:rPr/>
              <w:t>  </w:t>
            </w:r>
          </w:p>
        </w:tc>
        <w:tc>
          <w:tcPr>
            <w:tcW w:w="6960" w:type="dxa"/>
            <w:tcBorders/>
          </w:tcPr>
          <w:p>
            <w:pPr>
              <w:pStyle w:val="TableContents"/>
              <w:bidi w:val="0"/>
              <w:spacing w:before="0" w:after="283"/>
              <w:jc w:val="left"/>
              <w:rPr/>
            </w:pPr>
            <w:r>
              <w:rPr/>
              <w:t>We are also offering, in lieu of shares of our common stock to certain investors, pre-funded warrants to purchase    shares of our common stock. The purchase price of each pre-funded warrant will equal the price per share at which the shares of our common stock are being sold in this offering, minus $0.001, which is the exercise price of each pre-funded warrant. Each pre-funded warrant will be exercisable at any time after the date of issuance until the date the pre-funded warrant is exercised in full, subject to an ownership limitation. See “Description of Pre-Funded Warrants.” This free writing prospectus and the Prospectus also relate to the offering of the shares of our common stock issuable upon exercise of such pre-funded warrants.</w:t>
            </w:r>
          </w:p>
        </w:tc>
      </w:tr>
      <w:tr>
        <w:trPr>
          <w:trHeight w:val="120" w:hRule="atLeast"/>
        </w:trPr>
        <w:tc>
          <w:tcPr>
            <w:tcW w:w="3123" w:type="dxa"/>
            <w:tcBorders/>
            <w:vAlign w:val="center"/>
          </w:tcPr>
          <w:p>
            <w:pPr>
              <w:pStyle w:val="TableContents"/>
              <w:bidi w:val="0"/>
              <w:spacing w:before="0" w:after="283"/>
              <w:jc w:val="left"/>
              <w:rPr>
                <w:sz w:val="4"/>
                <w:szCs w:val="4"/>
              </w:rPr>
            </w:pPr>
            <w:r>
              <w:rPr>
                <w:sz w:val="4"/>
                <w:szCs w:val="4"/>
              </w:rPr>
            </w:r>
          </w:p>
        </w:tc>
        <w:tc>
          <w:tcPr>
            <w:tcW w:w="7082" w:type="dxa"/>
            <w:gridSpan w:val="2"/>
            <w:tcBorders/>
            <w:vAlign w:val="center"/>
          </w:tcPr>
          <w:p>
            <w:pPr>
              <w:pStyle w:val="TableContents"/>
              <w:bidi w:val="0"/>
              <w:spacing w:before="0" w:after="283"/>
              <w:jc w:val="left"/>
              <w:rPr>
                <w:sz w:val="4"/>
                <w:szCs w:val="4"/>
              </w:rPr>
            </w:pPr>
            <w:r>
              <w:rPr>
                <w:sz w:val="4"/>
                <w:szCs w:val="4"/>
              </w:rPr>
            </w:r>
          </w:p>
        </w:tc>
      </w:tr>
      <w:tr>
        <w:trPr/>
        <w:tc>
          <w:tcPr>
            <w:tcW w:w="3123" w:type="dxa"/>
            <w:tcBorders/>
          </w:tcPr>
          <w:p>
            <w:pPr>
              <w:pStyle w:val="TableContents"/>
              <w:bidi w:val="0"/>
              <w:spacing w:before="0" w:after="283"/>
              <w:jc w:val="left"/>
              <w:rPr/>
            </w:pPr>
            <w:r>
              <w:rPr/>
              <w:t>Nasdaq Global Select Market symbol</w:t>
            </w:r>
          </w:p>
        </w:tc>
        <w:tc>
          <w:tcPr>
            <w:tcW w:w="122" w:type="dxa"/>
            <w:tcBorders/>
            <w:vAlign w:val="bottom"/>
          </w:tcPr>
          <w:p>
            <w:pPr>
              <w:pStyle w:val="TableContents"/>
              <w:bidi w:val="0"/>
              <w:spacing w:before="0" w:after="283"/>
              <w:jc w:val="left"/>
              <w:rPr/>
            </w:pPr>
            <w:r>
              <w:rPr/>
              <w:t>  </w:t>
            </w:r>
          </w:p>
        </w:tc>
        <w:tc>
          <w:tcPr>
            <w:tcW w:w="6960" w:type="dxa"/>
            <w:tcBorders/>
          </w:tcPr>
          <w:p>
            <w:pPr>
              <w:pStyle w:val="TableContents"/>
              <w:bidi w:val="0"/>
              <w:spacing w:before="0" w:after="0"/>
              <w:jc w:val="left"/>
              <w:rPr/>
            </w:pPr>
            <w:r>
              <w:rPr/>
              <w:t>“</w:t>
            </w:r>
            <w:r>
              <w:rPr>
                <w:rFonts w:ascii="Times New Roman" w:hAnsi="Times New Roman"/>
                <w:sz w:val="20"/>
              </w:rPr>
              <w:t>TYRA”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There is no established public trading market for the pre-funded warrants, and we do not expect a market to develop. We do not intend to list the pre-funded warrants on the Nasdaq Global Select Market or any other national securities exchange or nationally recognized trading system. Without an active trading market, the liquidity of the pre-funded warrants will be limited. See “Description of Pre-Funded Warrants.”</w:t>
            </w:r>
          </w:p>
        </w:tc>
      </w:tr>
      <w:tr>
        <w:trPr>
          <w:trHeight w:val="120" w:hRule="atLeast"/>
        </w:trPr>
        <w:tc>
          <w:tcPr>
            <w:tcW w:w="3123" w:type="dxa"/>
            <w:tcBorders/>
            <w:vAlign w:val="center"/>
          </w:tcPr>
          <w:p>
            <w:pPr>
              <w:pStyle w:val="TableContents"/>
              <w:bidi w:val="0"/>
              <w:spacing w:before="0" w:after="283"/>
              <w:jc w:val="left"/>
              <w:rPr>
                <w:sz w:val="4"/>
                <w:szCs w:val="4"/>
              </w:rPr>
            </w:pPr>
            <w:r>
              <w:rPr>
                <w:sz w:val="4"/>
                <w:szCs w:val="4"/>
              </w:rPr>
            </w:r>
          </w:p>
        </w:tc>
        <w:tc>
          <w:tcPr>
            <w:tcW w:w="7082" w:type="dxa"/>
            <w:gridSpan w:val="2"/>
            <w:tcBorders/>
            <w:vAlign w:val="center"/>
          </w:tcPr>
          <w:p>
            <w:pPr>
              <w:pStyle w:val="TableContents"/>
              <w:bidi w:val="0"/>
              <w:spacing w:before="0" w:after="283"/>
              <w:jc w:val="left"/>
              <w:rPr>
                <w:sz w:val="4"/>
                <w:szCs w:val="4"/>
              </w:rPr>
            </w:pPr>
            <w:r>
              <w:rPr>
                <w:sz w:val="4"/>
                <w:szCs w:val="4"/>
              </w:rPr>
            </w:r>
          </w:p>
        </w:tc>
      </w:tr>
      <w:tr>
        <w:trPr/>
        <w:tc>
          <w:tcPr>
            <w:tcW w:w="3123" w:type="dxa"/>
            <w:tcBorders/>
          </w:tcPr>
          <w:p>
            <w:pPr>
              <w:pStyle w:val="TableContents"/>
              <w:bidi w:val="0"/>
              <w:spacing w:before="0" w:after="283"/>
              <w:jc w:val="left"/>
              <w:rPr/>
            </w:pPr>
            <w:r>
              <w:rPr/>
              <w:t>Underwriters</w:t>
            </w:r>
          </w:p>
        </w:tc>
        <w:tc>
          <w:tcPr>
            <w:tcW w:w="122" w:type="dxa"/>
            <w:tcBorders/>
            <w:vAlign w:val="bottom"/>
          </w:tcPr>
          <w:p>
            <w:pPr>
              <w:pStyle w:val="TableContents"/>
              <w:bidi w:val="0"/>
              <w:spacing w:before="0" w:after="283"/>
              <w:jc w:val="left"/>
              <w:rPr/>
            </w:pPr>
            <w:r>
              <w:rPr/>
              <w:t>  </w:t>
            </w:r>
          </w:p>
        </w:tc>
        <w:tc>
          <w:tcPr>
            <w:tcW w:w="6960" w:type="dxa"/>
            <w:tcBorders/>
          </w:tcPr>
          <w:p>
            <w:pPr>
              <w:pStyle w:val="TableContents"/>
              <w:bidi w:val="0"/>
              <w:spacing w:before="0" w:after="283"/>
              <w:jc w:val="left"/>
              <w:rPr/>
            </w:pPr>
            <w:r>
              <w:rPr/>
              <w:t>Jefferies LLC, Guggenheim Securities, LLC, Cantor Fitzgerald &amp; Co., Barclays Capital Inc. and William Blair &amp; Company, L.L.C. are acting as joint book-running managers. Wedbush Securities Inc., Raymond James &amp; Associates, Inc. and Oppenheimer &amp; Co. Inc. are acting as lead managers.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RISK FACTORS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you purchase shares of our common stock or pre-funded warrants sold in this offering, you will experience immediate and substantial dilution in the net tangible book value of your shares. In addition, we may issue additional equity or convertible debt securities in the future, which may result in additional dilution to investors.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of common stock and pre-funded warrants in this offering is considerably more than the net tangible book value per share of our outstanding common stock. As a result, investors purchasing shares of common stock or pre-funded warrants in this offering will pay a price per share that substantially exceeds the value of our tangible assets after subtracting liabilities. To the extent outstanding stock options and pre-funded warrants, including the pre-funded warrants offered hereby,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that certain Sales Agreement with TD Securities (USA) LLC (the Sales Agent), dated May 8, 2025, as amended on August 4, 2026 (the Sales Agreement), we may issue and sell from time to time through the Sales Agent shares of our common stock, in an aggregate amount not to exceed $250.0 million. As of the date of this free writing prospectus, $250.0 million of common stock remains available for sale under the Sales Agreement. To the extent that we sell additional shares of our common stock pursuant to the Sales Agreement subsequent to this offering, investors purchasing the securities in this offering could experience further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The pre-funded warrants are not listed on any exchange, and we do not intend to list the pre-funded warrants on any exchange.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pre-funded warrants, you may be unable to sell such warrants at the prices desired or at all. There is no existing trading market for the pre-funded warrants and there can be no assurance that a liquid market will develop or be maintained for the pre-funded warrants, or that you will be able to sell any of the pre-funded warrants at a particular time (if at all). In addition, we do not intend to apply for listing of the pre-funded warrants on the Nasdaq Global Select Market or any other securities exchange or nationally recognized trading system. Without an active trading market, the liquidity of the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a significant amount of or any additional funds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will be exercisable for $0.001 per share of common stock underlying such warrant, which may be paid by way of a cashless exercise, in which the holder would receive upon such exercise the net number of shares of common stock determined according to the formula set forth in the pre-funded warrant. Accordingly, we will not receive a significant amount of or any additional funds upon the exercise of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pre-funded warrants will have no rights as stockholders until such holders exercise their pre-funded warrants and acquire shares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the pre-funded warrants exercise their pre-funded warrants and acquire shares of our common stock, such holders will have no rights with respect to the shares of our common stock underlying such pre-funded warrants. Upon exercise of the pre-funded warrants, the holders will be entitled to exercise the rights of a holder of common stock only as to matters for which the record date occurs after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owners of our common stock may not be permitted to exercise the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the pre-funded warrants will not be entitled to exercise any portion of any pre-funded warrant that, upon giving effect to such exercise, would cause the aggregate number of shares of our common stock beneficially owned by such holder (together with its affiliates) to exceed 4.99% or such other specified percentage of the number of shares of our common stock outstanding immediately after giving effect to the exercise, as such percentage ownership is determined in accordance with the terms of the pre-funded warrants and subject to such holder’s rights under the pre-funded warrants to increase or decrease such percentage to any other percentage not in excess of 19.99% upon at least 61 days’ prior notice from the holder to us. The beneficial ownership limitation may not be waived and applies to any successor holder.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If we do not maintain a current and effective registration statement relating to the shares of common stock issuable upon exercise of the pre-funded warrants, holders will only be able to exercise such pre-funded warrants on a “cashless basis.” </w:t>
      </w:r>
    </w:p>
    <w:p>
      <w:pPr>
        <w:pStyle w:val="TextBody"/>
        <w:bidi w:val="0"/>
        <w:spacing w:before="120" w:after="0"/>
        <w:jc w:val="left"/>
        <w:rPr>
          <w:rFonts w:ascii="Times New Roman" w:hAnsi="Times New Roman"/>
          <w:sz w:val="20"/>
        </w:rPr>
      </w:pPr>
      <w:r>
        <w:rPr>
          <w:rFonts w:ascii="Times New Roman" w:hAnsi="Times New Roman"/>
          <w:sz w:val="20"/>
        </w:rPr>
        <w:t xml:space="preserve">If we do not maintain a current and effective registration statement relating to the shares of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common stock that holders will receive upon exercise of the pre-funded warrants will be fewer than it would have been had such holder exercised their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common stock issuable upon exercise of the pre-funded warrants is available.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we will receive net proceeds of approximately $     million from the sale of shares of common stock and pre-funded warrants offered by us in this offering, after deducting the estimated underwriting discounts and commissions and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nominal proceeds, if any, from any exercise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together with our existing cash, cash equivalents and marketable securities, to advance our “dabogratinib 3x3” development strategy in low-grade upper tract urothelial carcinoma (LG-UTUC), intermediate-risk non-muscle invasive bladder cancer (IR NMIBC) and achondroplasia (ACH), as well as to support our preclinical and drug discovery programs,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timing of our actual expenditures will depend on numerous factors, including the factors described under “Risk Factors” in the Prospectus and in the documents incorporated by reference therein, as well as the amount of cash used in our operations. We may find it necessary or advisable to use the net proceeds from this offering for other purposes, and we will have broad discretion in the application of the net proceeds. Pending the uses described above, we plan to invest the net proceeds from this offering into capital preservation investments, including interest bearing, investment-grade securities, certificates of deposit or government securities.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The following description is subject to and qualified in its entirety by the form of pre-funded warrant. </w:t>
      </w:r>
    </w:p>
    <w:p>
      <w:pPr>
        <w:pStyle w:val="TextBody"/>
        <w:bidi w:val="0"/>
        <w:spacing w:before="360" w:after="0"/>
        <w:jc w:val="left"/>
        <w:rPr>
          <w:rFonts w:ascii="Times New Roman" w:hAnsi="Times New Roman"/>
          <w:b/>
          <w:sz w:val="20"/>
        </w:rPr>
      </w:pPr>
      <w:r>
        <w:rPr>
          <w:rFonts w:ascii="Times New Roman" w:hAnsi="Times New Roman"/>
          <w:b/>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the purchasers. The form of pre-funded warrant will be filed as an exhibit to a Current Report on Form 8-K that we will file with the Securities and Exchange Commission (SEC). </w:t>
      </w:r>
    </w:p>
    <w:p>
      <w:pPr>
        <w:pStyle w:val="TextBody"/>
        <w:bidi w:val="0"/>
        <w:spacing w:before="360" w:after="0"/>
        <w:jc w:val="left"/>
        <w:rPr>
          <w:rFonts w:ascii="Times New Roman" w:hAnsi="Times New Roman"/>
          <w:b/>
          <w:sz w:val="20"/>
        </w:rPr>
      </w:pPr>
      <w:r>
        <w:rPr>
          <w:rFonts w:ascii="Times New Roman" w:hAnsi="Times New Roman"/>
          <w:b/>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not expire until they are fully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exercisable at any time until they are fully exercised. The pre-funded warrants will be exercisable, at the option of each holder, in whole or in part, by delivering to us a duly executed exercise notice and payment of the exercise price. No fractional shares of common stock will be issued in connection with the exercise of a pre-funded warrant. In lieu of any fractional shares that would otherwise be issuable, the number of shares of common stock to be issued shall be rounded down to the next whole number and we shall pay the holder in cash the fair market value (based on the Closing Sale Price, as defined in the pre-funded warrant) for any such fractional shares. The holder of the pre-funded warrants may also satisfy its obligation to pay the exercise price through a “cashless exercise,” in which the holder receives the net value of the pre-funded warrant in shares of common stock determined according to the formula set forth in the pre-funded warrant.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effect the exercise of any pre-funded warrant, and a holder will not be entitled to exercise any portion of any pre-funded warrant that, upon giving effect to such exercise, would cause the aggregate number of shares of common stock beneficially owned by such holder (together with its affiliates) to exceed 4.99% (or such other percentage that was elected by each holder prior to the issuance of the pre-funded warrants) of the number of shares of common stock outstanding immediately after giving effect to the exercise, as such percentage ownership is set forth in accordance with the terms of the pre-funded warrants. However, any holder of a pre-funded warrant may increase or decrease such percentage upon at least 61 days’ prior written notice from the holder to us, provided that such percentage may not be in excess of 19.99%.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of the pre-funded warrants for shares of common stock to be issued upon the exercise of the pre-funded warrants is $0.001 per share. The exercise price of the pre-funded warrants and the number of shares of common stock issuable upon exercise of the pre-funded warrants is subject to appropriate adjustment in the event of certain stock dividends and distributions, stock splits, stock combinations, reclassifications or similar events affecting our shares of common stock, as well as upon any distribution of assets, including cash, stock or other property, to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list the pre-funded warrants on the Nasdaq Global Select Market, any other national securities exchange or any other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Warrant Agent </w:t>
      </w:r>
    </w:p>
    <w:p>
      <w:pPr>
        <w:pStyle w:val="TextBody"/>
        <w:bidi w:val="0"/>
        <w:spacing w:before="120" w:after="0"/>
        <w:jc w:val="left"/>
        <w:rPr>
          <w:rFonts w:ascii="Times New Roman" w:hAnsi="Times New Roman"/>
          <w:sz w:val="20"/>
        </w:rPr>
      </w:pPr>
      <w:r>
        <w:rPr>
          <w:rFonts w:ascii="Times New Roman" w:hAnsi="Times New Roman"/>
          <w:sz w:val="20"/>
        </w:rPr>
        <w:t xml:space="preserve">We will initially serve as the warrant agent under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a fundamental transaction (as described in the pre-funded warrants), the holders of the pre-funded warrants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set forth in the form of pre-funded warrant or by virtue of such holder’s ownership of shares of our common stock, the holder of a pre-funded warrant does not have the rights or privileges of a holder of shares of our common stock, including any voting rights, until such holder exercises the pre-funded warrant.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will purchase the pre-funded warrants pursuant to the underwriting agreement that will be described in a supplement to the Prospectus on terms generally consistent with those applicable to the shares of common stock being sold in this offering. The per share underwriting discounts and commissions for the pre-funded warrants will be equal to the per share underwriting discounts and commissions on the shares of common stock sold in this offering. The underwriters have not been engaged to act as warrant agent for the pre-funded warrants or to act as underwriter or agent or otherwise participate in the issuance of the shares of our common stock upon the exercise of the pre-funded warrants.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MATERIAL U.S. FEDERAL INCOME TAX CONSEQUENCES OF OUR COMMON STOCK AND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of the purchase, ownership, and disposition of our common stock and pre-funded warrants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U.S. Treasury regulations promulgated thereunder, or the Treasury Regulations, judicial decisions, and published rulings and administrative pronouncements of the U.S. Internal Revenue Service, or the IRS, in each case, as in effect as of the date of this offering. These authorities may change or be subject to differing interpretations. Any such change or differing interpretation may be applied retroactively in a manner that could adversely affect a holder of our common stock or pre-funded warrants. We have not sought and do not currently intend to seek any rulings from the IRS regarding the matters discussed below. There can be no assurance the IRS or a court will not take a contrary position to that discussed below regarding the tax consequences of the purchase, ownership, and disposition of our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that hold our common stock or pre-funded warrants as “capital assets”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or pre-funded warrants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treated as pass-through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or pre-funded warrants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persons whose “functional currency” is not the United States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our common stock or pre-funded warrants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or pre-funded warrants pursuant to the exercise of any employee stock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our common stock or pre-funded warrants, the tax treatment of a partner in the partnership will depend on the status of the partner, the activities of the partnership, and certain determinations made at the partner level. Accordingly, entities or arrangements treated as partnerships for U.S. federal income tax purposes that hold our common stock or pre-funded warrants and the partners in such partnerships should consult their tax advisors regarding the U.S. federal income tax consequences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OR PRE-FUNDED WARRANTS ARISING UNDER THE U.S. FEDERAL ESTATE OR GIFT TAX LAWS OR UNDER THE LAWS OF ANY STATE, LOCAL OR NON-U.S. TAXING JURISDICTION, OR UNDER ANY APPLICABLE INCOME TAX TREATY. </w:t>
      </w:r>
    </w:p>
    <w:p>
      <w:pPr>
        <w:pStyle w:val="TextBody"/>
        <w:bidi w:val="0"/>
        <w:spacing w:before="12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Although it is not entirely free from doubt, a pre-funded warrant should be treated as a share of our common stock for U.S. federal income tax purposes, and a holder of a pre-funded warrant should generally be taxed in the same manner as a holder of such common stock, as described below. Accordingly, no gain or loss should be recognized (other than with respect to any cash paid in lieu of a fractional share) upon the exercise of a pre-funded warrant and, upon exercise, the holding period of a pre-funded warrant should carry over to the common stock received. Similarly, the tax basis of the pre-funded warrant should carry over to the common stock received upon exercise, increased by the exercise price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characterization is not binding on the IRS, and the IRS may treat our pre-funded warrants as warrants to acquire our common stock. In that case, the amount and character of your gain or loss with respect to an investment in our pre-funded warrants could be materially different from the discussion set forth below. Accordingly, each holder should consult such holder’s tax advisor regarding the risks associated with the acquisition of pre-funded warrants pursuant to this offering (including potential alternative characterizations). The remainder of this discussion generally assumes that a pre-funded warrant is treated as a share of our common stock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Definition of a 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 beneficial owner of our common stock or pre-funded warrants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one or more “United States persons” (within the meaning of Section 7701(a)(30) of the Code) have the authority to control all substantial decisions of the trust, or (2) has a valid election in effect to be treated as a United States person for U.S. federal income tax purposes.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pay cash dividends to our stockholders in the foreseeable future. However, if we do make distributions of cash or property on our common stock or pre-funded warrants, such distributions will constitute dividends for U.S. federal income tax purposes to the extent paid from our current or accumulated earnings and profits, as determined under U.S. federal income tax principles.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w:t>
      </w:r>
    </w:p>
    <w:p>
      <w:pPr>
        <w:pStyle w:val="TextBody"/>
        <w:bidi w:val="0"/>
        <w:spacing w:before="240" w:after="0"/>
        <w:jc w:val="left"/>
        <w:rPr>
          <w:rFonts w:ascii="Times New Roman" w:hAnsi="Times New Roman"/>
          <w:sz w:val="20"/>
        </w:rPr>
      </w:pPr>
      <w:r>
        <w:rPr>
          <w:rFonts w:ascii="Times New Roman" w:hAnsi="Times New Roman"/>
          <w:sz w:val="20"/>
        </w:rPr>
        <w:t>Amounts not treated as dividends for U.S. federal income tax purposes will constitute a return of capital and first be applied against and reduce a U.S. holder’s adjusted tax basis in our common stock or pre-funded warrants, but not below zero. Any excess will be treated as capital gain and will be treated as described below under “—</w:t>
      </w:r>
      <w:r>
        <w:rPr>
          <w:rFonts w:ascii="Times New Roman" w:hAnsi="Times New Roman"/>
          <w:i/>
          <w:sz w:val="20"/>
        </w:rPr>
        <w:t>Tax Considerations Applicable to U.S. Holders</w:t>
      </w:r>
      <w:r>
        <w:rPr>
          <w:rFonts w:ascii="Times New Roman" w:hAnsi="Times New Roman"/>
          <w:sz w:val="20"/>
        </w:rPr>
        <w:t>—</w:t>
      </w:r>
      <w:r>
        <w:rPr>
          <w:rFonts w:ascii="Times New Roman" w:hAnsi="Times New Roman"/>
          <w:i/>
          <w:sz w:val="20"/>
        </w:rPr>
        <w:t>Sale or Other Taxable Disposition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Constructive Distributions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U.S. holder of pre-funded warrants may, in some circumstances, be deemed to have received a distribution subject to U.S. federal income tax as a result of an adjustment or the non-occurrence of an adjustment to the exercise price or number of shares of common stock issuable upon exercise of such pre-funded warrants. U.S. holders should consult their tax advisors regarding the proper treatment of any adjustments or the non-occurrence of an adjustment to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or other taxable disposition of the common stock or pre-funded warrants, a U.S. holder generally will recognize capital gain or loss equal to the difference between (i) the amount of cash and the fair market value of any property received upon the sale, exchange or other taxable disposition and (ii) such U.S. holder’s adjusted tax basis in the common stock or pre-funded warrants. Such capital gain or loss will be long term capital gain or loss if the U.S. holder’s holding period in such common stock or pre-funded warrants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 U.S. holder may be subject to information reporting and backup withholding if such holder receives distributions on the common stock or pre-funded warrants (including constructive distributions) or receives proceeds from the sale or other taxable disposition of common stock or pre-funded warrants. Certain U.S. holders are exempt from backup withholding. A U.S. holder will be subject to backup withholding if such holder is not otherwise exempt and such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fails to furnish the holder’s taxpayer identification number, which for an individual is ordinarily such individual’s social security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furnishes an incorrect taxpayer identification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notified by the IRS that the holder previously failed to properly report payments of interest or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fails to certify under penalties of perjury that the holder has furnished a correct taxpayer identification number and that the IRS has not notified the holder that the holder is subject to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Definition of a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 beneficial owner of our common stock or pre-funded warrants that is neither a U.S. holder nor an entity or arrangement treated as a partnership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pay cash dividends to our stockholders in the foreseeable future. However, if we do make distributions of cash or property on our common stock or pre-funded warrants, such distributions will constitute dividends for U.S. federal income tax purposes to the extent paid from our current or accumulated earnings and profits, as determined under U.S. federal income tax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Amounts not treated as dividends for U.S. federal income tax purposes will constitute a return of capital and first be applied against and reduce a non-U.S. holder’s adjusted tax basis in our common stock or pre-funded warrants, but not below zero. Any excess will be treated as capital gain and will be treated as described below under “—</w:t>
      </w:r>
      <w:r>
        <w:rPr>
          <w:rFonts w:ascii="Times New Roman" w:hAnsi="Times New Roman"/>
          <w:i/>
          <w:sz w:val="20"/>
        </w:rPr>
        <w:t>Sale or Other Taxable Disposition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effectively connected income, backup withholding and foreign accounts,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such lower rate under an income tax treaty between the United States and the country in which the non-U.S. holder resides or is established). This certification must be provided to the applicable withholding agent prior to the payment of dividends and must be updated periodically. A non-U.S. holder that does not timely furnish the required documentation, but that qualifies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This certification must be provided to the applicable withholding agent prior to the payment of dividends and must be updated periodically. Any such effectively connected dividends will be subject to U.S. federal income tax on a net income basis at the regular rates applicable to U.S. persons. In addition, a non-U.S. holder that is a corporation may be subject to a branch profits tax at a rate of 30% (or such lower rate specified by an applicable income tax treaty) on its effectively connected dividends,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Constructive Distributions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of pre-funded warrants may, in some circumstances, be deemed to have received a distribution subject to U.S. federal income tax as a result of an adjustment or the non-occurrence of an adjustment to the exercise price or number of shares of common stock issuable upon exercise of such pre-funded warrants. Any resulting withholding tax attributable to deemed dividends may be collected from other amounts payable or distributable to the non-U.S. holder. Non-U.S. holders should consult their tax advisors regarding the proper treatment of any adjustments or the non-occurrence of an adjustment to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on foreign accounts, a non-U.S. holder will not be subject to U.S. federal income tax on any gain realized upon the sale or other taxable disposition of our common stock or pre-funded warrants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(as calculated pursuant to Section 7701(b) of the Code)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or pre-funded warrants constitutes a U.S. real property interest, or USRPI, by reason of our status as a U.S. real property holding corporation, or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will generally be subject to U.S. federal income tax on a net income basis at the regular rates applicable to U.S. holders.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any gain realized upon the sale or other taxable disposition of our common stock or pre-funded warrants, which may be offset by U.S.-source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other business assets and our non-U.S. real property interests, there can be no assurance we currently are not a USRPHC or will not become one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our common stock or pre-funded warrants (including deemed dividends) to a non-U.S. holder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or pre-funded warrants (including constructive distributions) paid to the non-U.S. holder, regardless of whether such distributions constitute dividends or whether any tax was actually withheld. In addition, proceeds of the sale or other taxable disposition of our common stock or pre-funded warrants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or pre-funded warrants conducted through a non-U.S. office of a non-U.S. broker generally will not be subject to backup withholding or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(including deemed dividends) on, or (subject to the proposed Treasury Regulations discussed below) gross proceeds from the sale or other disposition of, our common stock or pre-funded warrants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(including deemed dividends) on our common stock or pre-funded warrants.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common stock or pre-funded warrants.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Additional conforming changes are hereby made to the Prospectus to reflect the changes described in this free writing prospectus. All terms of the Prospectus applicable to our shares of our common stock will be applicable to the shares of common stock underlying the pre-funded warrants upon issuance. </w:t>
      </w:r>
    </w:p>
    <w:p>
      <w:pPr>
        <w:pStyle w:val="TextBody"/>
        <w:bidi w:val="0"/>
        <w:spacing w:before="240" w:after="0"/>
        <w:jc w:val="left"/>
        <w:rPr>
          <w:rFonts w:ascii="Times New Roman" w:hAnsi="Times New Roman"/>
          <w:sz w:val="20"/>
        </w:rPr>
      </w:pPr>
      <w:r>
        <w:rPr>
          <w:rFonts w:ascii="Times New Roman" w:hAnsi="Times New Roman"/>
          <w:sz w:val="20"/>
        </w:rPr>
        <w:t xml:space="preserve">On September 14, 2026, we filed an automatically effective shelf registration statement, including the Prospectus for the offering to which this communication relates. Before you invest, you should read the Prospectus and other documents we have filed with the SEC for more complete information about us and the offering. You may get these documents for free by visiting the SEC’s website at www.sec.gov. Alternatively, copies may be obtained by contacting: Jefferies LLC, Attention: Equity Syndicate Prospectus Department, 520 Madison Avenue, New York, NY 10022, or by telephone at (877) 821-7388, or by e-mail at Prospectus_Department@Jefferies.com; Guggenheim Securities, LLC, Attention: Equity Syndicate Department, 330 Madison Avenue, 8th Floor, New York, NY 10017, by telephone at (212) 518-9544, or by email at GSEquityProspectusDelivery@guggenheimpartners.com; Cantor Fitzgerald &amp; Co., Attention: Capital Markets, 110 East 59th Street, New York, NY 10022, or by email at prospectus@cantor.com; or Barclays Capital Inc. c/o Broadridge Financial Solutions 1155 Long Island Avenue, Edgewood, NY 11717, by telephone at 1-888-603-5847 or by email at barclaysprospectus@broadridge.com.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6377</Words>
  <Characters>34178</Characters>
  <CharactersWithSpaces>40653</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