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18"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480" w:right="1600" w:hanging="3459"/>
        <w:spacing w:after="0" w:line="328" w:lineRule="auto"/>
        <w:tabs>
          <w:tab w:leader="none" w:pos="47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TYRA BIOSCIENCES, INC.</w:t>
      </w:r>
    </w:p>
    <w:p>
      <w:pPr>
        <w:sectPr>
          <w:pgSz w:w="11900" w:h="16838" w:orient="portrait"/>
          <w:cols w:equalWidth="0" w:num="1">
            <w:col w:w="11240"/>
          </w:cols>
          <w:pgMar w:left="320" w:top="99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2656 State Street</w:t>
      </w:r>
    </w:p>
    <w:p>
      <w:pPr>
        <w:spacing w:after="0" w:line="1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Carlsbad,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83-1476348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92008</w:t>
      </w:r>
    </w:p>
    <w:p>
      <w:pPr>
        <w:spacing w:after="0" w:line="27" w:lineRule="exact"/>
        <w:rPr>
          <w:sz w:val="24"/>
          <w:szCs w:val="24"/>
          <w:color w:val="auto"/>
        </w:rPr>
      </w:pPr>
    </w:p>
    <w:p>
      <w:pPr>
        <w:sectPr>
          <w:pgSz w:w="11900" w:h="16838" w:orient="portrait"/>
          <w:cols w:equalWidth="0" w:num="2">
            <w:col w:w="7700" w:space="240"/>
            <w:col w:w="3300"/>
          </w:cols>
          <w:pgMar w:left="320" w:top="997"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TYRA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57"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8, 2026, the registrant had 59,470,381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700" w:type="dxa"/>
            <w:vAlign w:val="bottom"/>
            <w:gridSpan w:val="2"/>
            <w:vMerge w:val="continue"/>
          </w:tcPr>
          <w:p>
            <w:pPr>
              <w:spacing w:after="0"/>
              <w:rPr>
                <w:sz w:val="14"/>
                <w:szCs w:val="14"/>
                <w:color w:val="auto"/>
              </w:rPr>
            </w:pPr>
          </w:p>
        </w:tc>
        <w:tc>
          <w:tcPr>
            <w:tcW w:w="876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442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vMerge w:val="continue"/>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885"/>
        </w:trPr>
        <w:tc>
          <w:tcPr>
            <w:tcW w:w="76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gridSpan w:val="14"/>
          </w:tcPr>
          <w:p>
            <w:pPr>
              <w:ind w:left="38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412,040</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50,000,000 shares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at March 31, 2026 and December 31, 2025;</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shares issued and outstanding at March 31, 2026 and</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3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at March 31, 2026 and December 31, 2025; 59,469,687 and</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53,706,357 shares issued and outstanding at March 31, 2026 and</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387,575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412,040</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-4079875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-4079875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-3239770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-3222625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-3239770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-3222625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financial statements.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6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33,470</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24,964</w:t>
            </w: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(41,998)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(31,850)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(39,305)</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(28,147)</w:t>
            </w:r>
          </w:p>
        </w:tc>
      </w:tr>
      <w:tr>
        <w:trPr>
          <w:trHeight w:val="20"/>
        </w:trPr>
        <w:tc>
          <w:tcPr>
            <w:tcW w:w="70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 net</w:t>
            </w: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7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(39,591)</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(28,229)</w:t>
            </w: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58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(0.47)</w:t>
            </w: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4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61,746,050</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59,336,550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-1584960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-1019175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-728345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-436245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-419100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50,749,945</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593,687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(251,311)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 pre-funded warrant exercise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2,000,069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335,626</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shares of common stock</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subject to repurchase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(28,147)</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(28,147)</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53,089,957</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(279,458)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53,706,357</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630,037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(371,258)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1,072,798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at-</w:t>
            </w: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the-market offering program, net of</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$2.1 million of issuance costs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4,690,532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(39,305)</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(39,305)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59,469,687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798,025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(410,563)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-2390775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-2390775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-2390775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-2390775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-2390775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6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(39,305)</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(28,147)</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marketable securities, net</w:t>
            </w:r>
          </w:p>
        </w:tc>
        <w:tc>
          <w:tcPr>
            <w:tcW w:w="9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(25,458)</w:t>
            </w:r>
          </w:p>
        </w:tc>
      </w:tr>
      <w:tr>
        <w:trPr>
          <w:trHeight w:val="209"/>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(162,206)</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32,026</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issuances of common stock under benefit plans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issuances of common stock under at-the-market offering program, net of $2.1 million of</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increase for the period</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9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85,955</w:t>
            </w:r>
          </w:p>
        </w:tc>
        <w:tc>
          <w:tcPr>
            <w:tcW w:w="1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101,721</w:t>
            </w:r>
          </w:p>
        </w:tc>
        <w:tc>
          <w:tcPr>
            <w:tcW w:w="100" w:type="dxa"/>
            <w:vAlign w:val="bottom"/>
            <w:shd w:val="clear" w:color="auto" w:fill="CFF0FC"/>
          </w:tcPr>
          <w:p>
            <w:pPr>
              <w:spacing w:after="0"/>
              <w:rPr>
                <w:sz w:val="21"/>
                <w:szCs w:val="21"/>
                <w:color w:val="auto"/>
              </w:rPr>
            </w:pPr>
          </w:p>
        </w:tc>
      </w:tr>
      <w:tr>
        <w:trPr>
          <w:trHeight w:val="178"/>
        </w:trPr>
        <w:tc>
          <w:tcPr>
            <w:tcW w:w="76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w:t>
            </w:r>
          </w:p>
        </w:tc>
        <w:tc>
          <w:tcPr>
            <w:tcW w:w="9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sheet</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85,955</w:t>
            </w:r>
          </w:p>
        </w:tc>
        <w:tc>
          <w:tcPr>
            <w:tcW w:w="16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101,721</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Vesting of options early exercised subject to repurchase</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-3414395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-3414395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-2869565</wp:posOffset>
            </wp:positionV>
            <wp:extent cx="939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-2166620</wp:posOffset>
            </wp:positionV>
            <wp:extent cx="939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-2166620</wp:posOffset>
            </wp:positionV>
            <wp:extent cx="939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-1579880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-1562735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-868045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-868045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which product candidates may demonstrate the highest potency, selectivity and tolerability. The Company’s focus is on applying its accelerated small molecule drug discovery engine to develop therapies in targeted oncology and genetically defined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w:t>
      </w:r>
    </w:p>
    <w:p>
      <w:pPr>
        <w:spacing w:after="0" w:line="251" w:lineRule="auto"/>
        <w:rPr>
          <w:sz w:val="20"/>
          <w:szCs w:val="20"/>
          <w:color w:val="auto"/>
        </w:rPr>
      </w:pPr>
      <w:r>
        <w:rPr>
          <w:rFonts w:ascii="Times New Roman" w:cs="Times New Roman" w:eastAsia="Times New Roman" w:hAnsi="Times New Roman"/>
          <w:sz w:val="18"/>
          <w:szCs w:val="18"/>
          <w:color w:val="auto"/>
        </w:rPr>
        <w:t>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months ended March 31, 2026 and 2025 are not necessarily indicative of the results expected for the full fiscal year or any subsequent interim period. The condensed balance sheet at March 31, 2026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changes to the Company’s significant accounting policies as described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ind w:right="7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—Quoted prices for similar assets and liabilities in active markets, quoted prices in markets that are not active, or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supported by little or no market activity).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firstLine="749"/>
        <w:spacing w:after="0" w:line="258"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Restricted cash is comprised of cash that is restricted as to its withdrawal or use under the terms of certain contractual agreements. Restricted cash as of March 31, 2026 and December 31, 2025 was $1.0 million, which consisted of collateral for letters of credit related to the Company’s operating leases. Restricted cash is presented as a current or non-current asset based on when the restriction is expected to expire. The current portion of restricted cash is presented in Prepaid expenses and other current assets and the non-current portion is presented in Restricted cash on the condensed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227"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In January 2025, the FASB issued ASU 2025-01, "</w:t>
      </w:r>
      <w:r>
        <w:rPr>
          <w:rFonts w:ascii="Times New Roman" w:cs="Times New Roman" w:eastAsia="Times New Roman" w:hAnsi="Times New Roman"/>
          <w:sz w:val="17"/>
          <w:szCs w:val="17"/>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7"/>
          <w:szCs w:val="17"/>
          <w:color w:val="auto"/>
        </w:rPr>
        <w:t>", to clarify the effective date of ASU 2024-</w:t>
      </w:r>
    </w:p>
    <w:p>
      <w:pPr>
        <w:spacing w:after="0" w:line="1" w:lineRule="exact"/>
        <w:rPr>
          <w:sz w:val="20"/>
          <w:szCs w:val="20"/>
          <w:color w:val="auto"/>
        </w:rPr>
      </w:pPr>
    </w:p>
    <w:p>
      <w:pPr>
        <w:ind w:right="340" w:firstLine="8"/>
        <w:spacing w:after="0" w:line="253" w:lineRule="auto"/>
        <w:tabs>
          <w:tab w:leader="none" w:pos="2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w:t>
      </w:r>
    </w:p>
    <w:p>
      <w:pPr>
        <w:spacing w:after="0" w:line="187"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marketable securities measured at fair value as of March 31, 2026 and December 31,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5"/>
                <w:szCs w:val="5"/>
                <w:color w:val="auto"/>
              </w:rPr>
            </w:pPr>
          </w:p>
        </w:tc>
        <w:tc>
          <w:tcPr>
            <w:tcW w:w="16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2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298,511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360,417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56,948</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303,469</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5"/>
                <w:szCs w:val="5"/>
                <w:color w:val="auto"/>
              </w:rPr>
            </w:pPr>
          </w:p>
        </w:tc>
        <w:tc>
          <w:tcPr>
            <w:tcW w:w="16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2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178,616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233,060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344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-3239770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-3239770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-3239770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-3239770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-2673985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-2673985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-2673985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-2673985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-2382520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-2365375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-2382520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-2365375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-2382520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-2365375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-2382520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-2365375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-1087755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-1087755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-1087755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-1087755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-796290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-779780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-796290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-779780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-796290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-779780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-796290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-779780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marketable securities (see below and Note 2) accounted for as available-for-sale securities (in thousands, except years):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80" w:type="dxa"/>
            <w:vAlign w:val="bottom"/>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1320" w:type="dxa"/>
            <w:vAlign w:val="bottom"/>
            <w:gridSpan w:val="2"/>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6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380" w:type="dxa"/>
            <w:vAlign w:val="bottom"/>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shd w:val="clear" w:color="auto" w:fill="CFF0FC"/>
          </w:tcPr>
          <w:p>
            <w:pPr>
              <w:jc w:val="center"/>
              <w:ind w:left="18"/>
              <w:spacing w:after="0"/>
              <w:rPr>
                <w:sz w:val="20"/>
                <w:szCs w:val="20"/>
                <w:color w:val="auto"/>
              </w:rPr>
            </w:pPr>
            <w:r>
              <w:rPr>
                <w:rFonts w:ascii="Times New Roman" w:cs="Times New Roman" w:eastAsia="Times New Roman" w:hAnsi="Times New Roman"/>
                <w:sz w:val="18"/>
                <w:szCs w:val="18"/>
                <w:color w:val="auto"/>
              </w:rPr>
              <w:t>Less than one</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157,513</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8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rPr>
              <w:t>Less than one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shd w:val="clear" w:color="auto" w:fill="CFF0FC"/>
          </w:tcPr>
          <w:p>
            <w:pPr>
              <w:jc w:val="center"/>
              <w:ind w:left="18"/>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95,765</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4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80" w:type="dxa"/>
            <w:vAlign w:val="bottom"/>
          </w:tcPr>
          <w:p>
            <w:pPr>
              <w:jc w:val="center"/>
              <w:ind w:left="18"/>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60" w:type="dxa"/>
            <w:vAlign w:val="bottom"/>
          </w:tcPr>
          <w:p>
            <w:pPr>
              <w:spacing w:after="0"/>
              <w:rPr>
                <w:sz w:val="10"/>
                <w:szCs w:val="10"/>
                <w:color w:val="auto"/>
              </w:rPr>
            </w:pPr>
          </w:p>
        </w:tc>
        <w:tc>
          <w:tcPr>
            <w:tcW w:w="12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380" w:type="dxa"/>
            <w:vAlign w:val="bottom"/>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shd w:val="clear" w:color="auto" w:fill="CFF0FC"/>
          </w:tcPr>
          <w:p>
            <w:pPr>
              <w:jc w:val="center"/>
              <w:ind w:left="58"/>
              <w:spacing w:after="0"/>
              <w:rPr>
                <w:sz w:val="20"/>
                <w:szCs w:val="20"/>
                <w:color w:val="auto"/>
              </w:rPr>
            </w:pPr>
            <w:r>
              <w:rPr>
                <w:rFonts w:ascii="Times New Roman" w:cs="Times New Roman" w:eastAsia="Times New Roman" w:hAnsi="Times New Roman"/>
                <w:sz w:val="18"/>
                <w:szCs w:val="18"/>
                <w:color w:val="auto"/>
              </w:rPr>
              <w:t>Less than one</w:t>
            </w:r>
          </w:p>
        </w:tc>
        <w:tc>
          <w:tcPr>
            <w:tcW w:w="3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8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Less than one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shd w:val="clear" w:color="auto" w:fill="CFF0FC"/>
          </w:tcPr>
          <w:p>
            <w:pPr>
              <w:jc w:val="center"/>
              <w:ind w:left="58"/>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178,223</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8"/>
                <w:szCs w:val="18"/>
                <w:color w:val="auto"/>
              </w:rPr>
            </w:pPr>
          </w:p>
        </w:tc>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-1242695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-1242695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-1242695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-1242695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values and gross unrealized losses for those available-for-sale securities that were in an unrealized loss position, aggregated by category and the length of time that the securities have been in a continuous loss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7"/>
                <w:szCs w:val="17"/>
                <w:color w:val="auto"/>
              </w:rPr>
            </w:pPr>
          </w:p>
        </w:tc>
      </w:tr>
      <w:tr>
        <w:trPr>
          <w:trHeight w:val="214"/>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79,381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79,381</w:t>
            </w:r>
          </w:p>
        </w:tc>
        <w:tc>
          <w:tcPr>
            <w:tcW w:w="62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87,565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87,565</w:t>
            </w:r>
          </w:p>
        </w:tc>
        <w:tc>
          <w:tcPr>
            <w:tcW w:w="62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-25400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-25400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there were no available-for-sale securities in an unrealized loss position.</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there were 28 available-for-sale securities with an estimated fair value of $87.6 million in gross unrealized loss positions for less than 12 months. As of March 31, 2026,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spacing w:after="0" w:line="183"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The amortized cost and fair value of marketable securities excludes $2.7 million and $1.9 million of accrued interest receivable as of March 31, 2026 and December 31, 2025, respectively. Accrued interest receivable is included in prepaid expenses and other current assets on the Company’s condensed balance sheets. The Company has not written off any accrued interest receivables for the periods ended March 31, 2026 and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r>
      <w:tr>
        <w:trPr>
          <w:trHeight w:val="173"/>
        </w:trPr>
        <w:tc>
          <w:tcPr>
            <w:tcW w:w="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10"/>
        </w:trPr>
        <w:tc>
          <w:tcPr>
            <w:tcW w:w="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5,533</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9,840</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general and administrative fees</w:t>
            </w:r>
          </w:p>
        </w:tc>
        <w:tc>
          <w:tcPr>
            <w:tcW w:w="1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15,126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16,444</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636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w:t>
            </w: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6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r>
      <w:tr>
        <w:trPr>
          <w:trHeight w:val="173"/>
        </w:trPr>
        <w:tc>
          <w:tcPr>
            <w:tcW w:w="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granted and outstanding</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12,866,782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13,617,445</w:t>
            </w:r>
          </w:p>
        </w:tc>
        <w:tc>
          <w:tcPr>
            <w:tcW w:w="60" w:type="dxa"/>
            <w:vAlign w:val="bottom"/>
            <w:shd w:val="clear" w:color="auto" w:fill="CFF0FC"/>
          </w:tcPr>
          <w:p>
            <w:pPr>
              <w:spacing w:after="0"/>
              <w:rPr>
                <w:sz w:val="18"/>
                <w:szCs w:val="18"/>
                <w:color w:val="auto"/>
              </w:rPr>
            </w:pPr>
          </w:p>
        </w:tc>
      </w:tr>
      <w:tr>
        <w:trPr>
          <w:trHeight w:val="198"/>
        </w:trPr>
        <w:tc>
          <w:tcPr>
            <w:tcW w:w="6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 2021</w:t>
            </w:r>
          </w:p>
        </w:tc>
        <w:tc>
          <w:tcPr>
            <w:tcW w:w="1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Incentive Award Plan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3,938,484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1,528,992</w:t>
            </w:r>
          </w:p>
        </w:tc>
        <w:tc>
          <w:tcPr>
            <w:tcW w:w="60" w:type="dxa"/>
            <w:vAlign w:val="bottom"/>
          </w:tcPr>
          <w:p>
            <w:pPr>
              <w:spacing w:after="0"/>
              <w:rPr>
                <w:sz w:val="20"/>
                <w:szCs w:val="20"/>
                <w:color w:val="auto"/>
              </w:rPr>
            </w:pPr>
          </w:p>
        </w:tc>
      </w:tr>
      <w:tr>
        <w:trPr>
          <w:trHeight w:val="198"/>
        </w:trPr>
        <w:tc>
          <w:tcPr>
            <w:tcW w:w="64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w:t>
            </w:r>
          </w:p>
        </w:tc>
        <w:tc>
          <w:tcPr>
            <w:tcW w:w="1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4"/>
        </w:trPr>
        <w:tc>
          <w:tcPr>
            <w:tcW w:w="80" w:type="dxa"/>
            <w:vAlign w:val="bottom"/>
            <w:shd w:val="clear" w:color="auto" w:fill="CFF0FC"/>
          </w:tcPr>
          <w:p>
            <w:pPr>
              <w:spacing w:after="0"/>
              <w:rPr>
                <w:sz w:val="20"/>
                <w:szCs w:val="20"/>
                <w:color w:val="auto"/>
              </w:rPr>
            </w:pPr>
          </w:p>
        </w:tc>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2,442,458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1,951,705</w:t>
            </w:r>
          </w:p>
        </w:tc>
        <w:tc>
          <w:tcPr>
            <w:tcW w:w="60" w:type="dxa"/>
            <w:vAlign w:val="bottom"/>
            <w:shd w:val="clear" w:color="auto" w:fill="CFF0FC"/>
          </w:tcPr>
          <w:p>
            <w:pPr>
              <w:spacing w:after="0"/>
              <w:rPr>
                <w:sz w:val="20"/>
                <w:szCs w:val="20"/>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6,381,950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6,381,950</w:t>
            </w:r>
          </w:p>
        </w:tc>
        <w:tc>
          <w:tcPr>
            <w:tcW w:w="60" w:type="dxa"/>
            <w:vAlign w:val="bottom"/>
          </w:tcPr>
          <w:p>
            <w:pPr>
              <w:spacing w:after="0"/>
              <w:rPr>
                <w:sz w:val="18"/>
                <w:szCs w:val="18"/>
                <w:color w:val="auto"/>
              </w:rPr>
            </w:pPr>
          </w:p>
        </w:tc>
      </w:tr>
      <w:tr>
        <w:trPr>
          <w:trHeight w:val="250"/>
        </w:trPr>
        <w:tc>
          <w:tcPr>
            <w:tcW w:w="6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2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25,629,674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23,480,092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-1919605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-1902460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-1919605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-1902460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29" w:lineRule="exact"/>
        <w:rPr>
          <w:sz w:val="20"/>
          <w:szCs w:val="20"/>
          <w:color w:val="auto"/>
        </w:rPr>
      </w:pPr>
    </w:p>
    <w:p>
      <w:pPr>
        <w:jc w:val="both"/>
        <w:ind w:right="280" w:firstLine="749"/>
        <w:spacing w:after="0" w:line="256" w:lineRule="auto"/>
        <w:rPr>
          <w:sz w:val="20"/>
          <w:szCs w:val="20"/>
          <w:color w:val="auto"/>
        </w:rPr>
      </w:pPr>
      <w:r>
        <w:rPr>
          <w:rFonts w:ascii="Times New Roman" w:cs="Times New Roman" w:eastAsia="Times New Roman" w:hAnsi="Times New Roman"/>
          <w:sz w:val="18"/>
          <w:szCs w:val="18"/>
          <w:color w:val="auto"/>
        </w:rPr>
        <w:t>On May 8, 2025, the Company entered into a sales agreement (the 2025 Sales Agreement) with TD Securities (USA) LLC (the Sales Agent), under which the Company may, from time to time, sell shares of its common stock having an aggregate offering price of up to $150.0 million, in at-the-market offerings through the Sales Agent. Sales of the shares of common stock, if any, will be made at prevailing market prices at the time of sale, or as otherwise agreed with the Sales Agent, in accordance with the terms of the 2025 Sales Agreement. During the three months ended March 31, 2026, the Company sold an aggregate of 4,690,532 shares of common stock for net proceeds of $147.9 million, after deducting offering expenses, pursuant to the 2025 Sales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February 1, 2024, the Company entered into a securities purchase agreement, pursuant to which the Company sold 9,286,023 shares of the Company’s common stock at a price of $13.01 per share and pre-funded warrants (the 2024 Pre-Funded Warrants) to purchase 6,087,230 shares of common stock at a purchase price of $13.009 per pre-funded warrant. Each pre-funded warrant has an exercise price of $0.001 per share of common stock, is immediately exercisable on the date of issuance and will not expire. The Company received gross proceeds of $200.0 million, before deducting offering expenses of $0.4 million. The 2024 Pre-funded Warrants did not meet the characteristics of a liability or a derivative and are classified within stockholders’ equity.</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October 18, 2024, the Company entered into an exchange agreement with certain stockholders to exchange 3,000,000 shares of the Company’s common stock for pre-funded warrants to acquire 3,000,000 shares of common stock (the Exchange Warrants). Each Exchange Warrant has an exercise price of $0.001 per share of common stock, is immediately exercisable on the date of issuance and will not expire. The Exchange Warrants did not meet the characteristics of a liability or a derivative and are classified within stockholders’ equity.</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 total of 6,381,950 pre-funded warrants remained available for exercise, including 5,381,950 2024 Pre-Funded Warrants and 1,000,000 Exchange Warrants. There were no pre-funded warrant exercises during the three months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Equity Incentive Plans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Incentive Award Plan (the 2021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adoption of the 2021 Plan, the Company restricted the grant of future equity awards under the 2020 Equity Incentive Plan (the 2020 Plan).</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2021 Plan provides for the grants of stock options and other equity-based awards to employees, non-employee directors, and consultants of the Company. Shares that expire, terminate or are cancelled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As of March 31, 2026, 3,938,484 shares were available for future grant under the 2021 Plan.</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period ended March 31, 2026 was as follows (in thousands, except share and per share data and years):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13,617,445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278,200</w:t>
            </w:r>
          </w:p>
        </w:tc>
        <w:tc>
          <w:tcPr>
            <w:tcW w:w="140" w:type="dxa"/>
            <w:vAlign w:val="bottom"/>
          </w:tcPr>
          <w:p>
            <w:pPr>
              <w:spacing w:after="0"/>
              <w:rPr>
                <w:sz w:val="18"/>
                <w:szCs w:val="18"/>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(1,026,488)</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(2,375)</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12,866,782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5,974,051</w:t>
            </w:r>
          </w:p>
        </w:tc>
        <w:tc>
          <w:tcPr>
            <w:tcW w:w="140" w:type="dxa"/>
            <w:vAlign w:val="bottom"/>
          </w:tcPr>
          <w:p>
            <w:pPr>
              <w:spacing w:after="0"/>
              <w:rPr>
                <w:sz w:val="17"/>
                <w:szCs w:val="17"/>
                <w:color w:val="auto"/>
              </w:rPr>
            </w:pPr>
          </w:p>
        </w:tc>
        <w:tc>
          <w:tcPr>
            <w:tcW w:w="24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11.47</w:t>
            </w: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12,866,782</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1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324,433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-351155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March 31, 2026, there were 2,442,458 shares available for future purchase under the ESPP.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valuation model. The Company accounts for forfeitures of options when they occur. Previously recognized compensation expense for an unvested award is reversed in the period that the award is forfeited. The fair value of stock options was estimated using the following assumptions:</w:t>
      </w:r>
    </w:p>
    <w:p>
      <w:pPr>
        <w:spacing w:after="0" w:line="16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28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- 4.4%</w:t>
            </w: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000" w:type="dxa"/>
            <w:vAlign w:val="bottom"/>
            <w:gridSpan w:val="3"/>
          </w:tcPr>
          <w:p>
            <w:pPr>
              <w:jc w:val="center"/>
              <w:ind w:left="2790"/>
              <w:spacing w:after="0"/>
              <w:rPr>
                <w:sz w:val="20"/>
                <w:szCs w:val="20"/>
                <w:color w:val="auto"/>
              </w:rPr>
            </w:pPr>
            <w:r>
              <w:rPr>
                <w:rFonts w:ascii="Times New Roman" w:cs="Times New Roman" w:eastAsia="Times New Roman" w:hAnsi="Times New Roman"/>
                <w:sz w:val="18"/>
                <w:szCs w:val="18"/>
                <w:color w:val="auto"/>
                <w:w w:val="99"/>
              </w:rPr>
              <w:t>5.3 - 6.1</w:t>
            </w:r>
          </w:p>
        </w:tc>
        <w:tc>
          <w:tcPr>
            <w:tcW w:w="22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5.8 - 6.1</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- 81.9%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- 95.4%</w:t>
            </w: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ind w:right="85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414"/>
        </w:trPr>
        <w:tc>
          <w:tcPr>
            <w:tcW w:w="3860" w:type="dxa"/>
            <w:vAlign w:val="bottom"/>
          </w:tcPr>
          <w:p>
            <w:pPr>
              <w:spacing w:after="0"/>
              <w:rPr>
                <w:sz w:val="24"/>
                <w:szCs w:val="24"/>
                <w:color w:val="auto"/>
              </w:rPr>
            </w:pPr>
          </w:p>
        </w:tc>
        <w:tc>
          <w:tcPr>
            <w:tcW w:w="28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including stock options and ESPP, has been reported in the condensed statements of operations and comprehensive loss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46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4,507</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3,678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3,340</w:t>
            </w:r>
          </w:p>
        </w:tc>
        <w:tc>
          <w:tcPr>
            <w:tcW w:w="6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2,744</w:t>
            </w:r>
          </w:p>
        </w:tc>
      </w:tr>
      <w:tr>
        <w:trPr>
          <w:trHeight w:val="20"/>
        </w:trPr>
        <w:tc>
          <w:tcPr>
            <w:tcW w:w="4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7,847</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6,422</w:t>
            </w: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three months ended March 31, 2026 and 2025 was $23.00 and $9.97 per share,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three months ended March 31, 2026 and 2025, forfeitures resulting in the reversal of compensation expenses were immaterial.</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 related to options was $74.4 million, and is expected to be recognized as expense over a weighted-average period of approximately 2.4 years.</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 related to ESPP was $0.7 million, and is expected to be recognized as expense over a weighted-average period of approximately 1.2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1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(39,305)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(28,147)</w:t>
            </w: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7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61,746,050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59,336,550</w:t>
            </w:r>
          </w:p>
        </w:tc>
        <w:tc>
          <w:tcPr>
            <w:tcW w:w="100" w:type="dxa"/>
            <w:vAlign w:val="bottom"/>
          </w:tcPr>
          <w:p>
            <w:pPr>
              <w:spacing w:after="0"/>
              <w:rPr>
                <w:sz w:val="18"/>
                <w:szCs w:val="18"/>
                <w:color w:val="auto"/>
              </w:rPr>
            </w:pPr>
          </w:p>
        </w:tc>
      </w:tr>
      <w:tr>
        <w:trPr>
          <w:trHeight w:val="250"/>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7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61,746,050</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59,336,550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5"/>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-173990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-156845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Shares issuable pursuant to the 2024 Pre-Funded Warrants and the Exchange Warrants are included in the calculation of weighted-average shares of common stock outstanding, both basic and diluted for the three months ended March 31, 2026. These warrants are exercisable at any time for nominal consideration, and therefore, the shares thereunder are considered outstanding for the purpose of calculating basic and diluted net loss per share.</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their inclusion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12,866,782</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10,165,576</w:t>
            </w:r>
          </w:p>
        </w:tc>
        <w:tc>
          <w:tcPr>
            <w:tcW w:w="12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Estimated shares purchasable under the ESPP</w:t>
            </w:r>
          </w:p>
        </w:tc>
        <w:tc>
          <w:tcPr>
            <w:tcW w:w="3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tcPr>
          <w:p>
            <w:pPr>
              <w:spacing w:after="0"/>
              <w:rPr>
                <w:sz w:val="18"/>
                <w:szCs w:val="18"/>
                <w:color w:val="auto"/>
              </w:rPr>
            </w:pPr>
          </w:p>
        </w:tc>
      </w:tr>
      <w:tr>
        <w:trPr>
          <w:trHeight w:val="250"/>
        </w:trPr>
        <w:tc>
          <w:tcPr>
            <w:tcW w:w="44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12,871,821</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10,169,337</w:t>
            </w:r>
          </w:p>
        </w:tc>
        <w:tc>
          <w:tcPr>
            <w:tcW w:w="120" w:type="dxa"/>
            <w:vAlign w:val="bottom"/>
            <w:shd w:val="clear" w:color="auto" w:fill="CFF0FC"/>
          </w:tcPr>
          <w:p>
            <w:pPr>
              <w:spacing w:after="0"/>
              <w:rPr>
                <w:sz w:val="21"/>
                <w:szCs w:val="21"/>
                <w:color w:val="auto"/>
              </w:rPr>
            </w:pPr>
          </w:p>
        </w:tc>
      </w:tr>
      <w:tr>
        <w:trPr>
          <w:trHeight w:val="413"/>
        </w:trPr>
        <w:tc>
          <w:tcPr>
            <w:tcW w:w="442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189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has two operating leases for its office and laboratory space in Carlsbad, California that expire in November 2033. The Company has an option to renew the leases for two additional three-year periods. The Company did not include the renewal periods in determining the lease term, as the Company was not reasonably certain to exercise them.</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lease agreements, the Company paid security deposits of $0.1 million and is required to maintain a letter of credit of $1.0 million. The letter of credit may be reduced to $0.9 million in 2027 and further reduced to $0.5 million in 2028.</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$0.2 million for the each of the three months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2025.</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Lease expense, which includes operating, short-term and variable lease costs, is recorded within research and development and general and administrative expenses in the condensed statements of operations and comprehensive loss. Components of lease cost for the three months ended March 31, 2026 and 2025, respectively, were as follows (in thousands):</w:t>
      </w:r>
    </w:p>
    <w:p>
      <w:pPr>
        <w:spacing w:after="0" w:line="16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gridSpan w:val="2"/>
          </w:tcPr>
          <w:p>
            <w:pPr>
              <w:jc w:val="right"/>
              <w:ind w:right="62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Maturities of lease liabilities, weighted-average remaining term and weighted-average discount rate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8"/>
                <w:szCs w:val="18"/>
                <w:color w:val="auto"/>
              </w:rPr>
            </w:pP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7,591</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(1,894)</w:t>
            </w: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r>
      <w:tr>
        <w:trPr>
          <w:trHeight w:val="250"/>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6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7"/>
        </w:trPr>
        <w:tc>
          <w:tcPr>
            <w:tcW w:w="80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6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 - operating leases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8.07%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-662305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-645160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March 31, 2026,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w:t>
      </w:r>
    </w:p>
    <w:p>
      <w:pPr>
        <w:spacing w:after="0" w:line="176"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condensed statements of operations and comprehensive loss). The measure of segment assets is reported on the balance sheets as total assets. All long-lived assets are located in the United States.</w:t>
      </w:r>
    </w:p>
    <w:p>
      <w:pPr>
        <w:spacing w:after="0" w:line="180"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to the Company’s total net loss in the condensed statements of operations and comprehensive loss (in thousands):</w:t>
      </w:r>
    </w:p>
    <w:p>
      <w:pPr>
        <w:spacing w:after="0" w:line="15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External research and development expenses by program:</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Dabogratinib LG-UTUC</w:t>
            </w:r>
          </w:p>
        </w:tc>
        <w:tc>
          <w:tcPr>
            <w:tcW w:w="2480" w:type="dxa"/>
            <w:vAlign w:val="bottom"/>
            <w:gridSpan w:val="2"/>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Dabogratinib IR NMIBC</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Dabogratinib ACH</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Dabogratinib mUC</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TYRA-430 HCC</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TYRA-200 ICC</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FGFR discovery</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400"/>
              <w:spacing w:after="0" w:line="216"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4"/>
                <w:szCs w:val="24"/>
                <w:color w:val="auto"/>
                <w:vertAlign w:val="superscript"/>
              </w:rPr>
              <w:t>(1)</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ind w:left="400"/>
              <w:spacing w:after="0" w:line="216" w:lineRule="exact"/>
              <w:rPr>
                <w:sz w:val="20"/>
                <w:szCs w:val="20"/>
                <w:color w:val="auto"/>
              </w:rPr>
            </w:pPr>
            <w:r>
              <w:rPr>
                <w:rFonts w:ascii="Times New Roman" w:cs="Times New Roman" w:eastAsia="Times New Roman" w:hAnsi="Times New Roman"/>
                <w:sz w:val="18"/>
                <w:szCs w:val="18"/>
                <w:color w:val="auto"/>
              </w:rPr>
              <w:t>Facilities and other costs</w:t>
            </w:r>
            <w:r>
              <w:rPr>
                <w:rFonts w:ascii="Times New Roman" w:cs="Times New Roman" w:eastAsia="Times New Roman" w:hAnsi="Times New Roman"/>
                <w:sz w:val="24"/>
                <w:szCs w:val="24"/>
                <w:color w:val="auto"/>
                <w:vertAlign w:val="superscript"/>
              </w:rPr>
              <w:t>(2)</w:t>
            </w:r>
          </w:p>
        </w:tc>
        <w:tc>
          <w:tcPr>
            <w:tcW w:w="1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4"/>
                <w:szCs w:val="24"/>
                <w:color w:val="auto"/>
                <w:vertAlign w:val="superscript"/>
              </w:rPr>
              <w:t>(3)</w:t>
            </w:r>
          </w:p>
        </w:tc>
        <w:tc>
          <w:tcPr>
            <w:tcW w:w="1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(3,703)</w:t>
            </w:r>
          </w:p>
        </w:tc>
      </w:tr>
      <w:tr>
        <w:trPr>
          <w:trHeight w:val="20"/>
        </w:trPr>
        <w:tc>
          <w:tcPr>
            <w:tcW w:w="5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(39,305)</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(28,147)</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-590550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920" w:hanging="163"/>
        <w:spacing w:after="0"/>
        <w:tabs>
          <w:tab w:leader="none" w:pos="92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Personnel costs include $4.5 million and $3.7 million of stock-based compensation for the three months ended March 31, 2026 and 2025,</w:t>
      </w:r>
    </w:p>
    <w:p>
      <w:pPr>
        <w:spacing w:after="0" w:line="6"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respectively.</w:t>
      </w:r>
    </w:p>
    <w:p>
      <w:pPr>
        <w:spacing w:after="0" w:line="110" w:lineRule="exact"/>
        <w:rPr>
          <w:rFonts w:ascii="Times New Roman" w:cs="Times New Roman" w:eastAsia="Times New Roman" w:hAnsi="Times New Roman"/>
          <w:sz w:val="20"/>
          <w:szCs w:val="20"/>
          <w:color w:val="auto"/>
          <w:vertAlign w:val="superscript"/>
        </w:rPr>
      </w:pPr>
    </w:p>
    <w:p>
      <w:pPr>
        <w:ind w:left="920" w:hanging="163"/>
        <w:spacing w:after="0"/>
        <w:tabs>
          <w:tab w:leader="none" w:pos="92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Facilities and other costs consist of research consumables, facility-related costs, depreciation and costs not attributed to a specific program.</w:t>
      </w:r>
    </w:p>
    <w:p>
      <w:pPr>
        <w:spacing w:after="0" w:line="107" w:lineRule="exact"/>
        <w:rPr>
          <w:rFonts w:ascii="Times New Roman" w:cs="Times New Roman" w:eastAsia="Times New Roman" w:hAnsi="Times New Roman"/>
          <w:sz w:val="20"/>
          <w:szCs w:val="20"/>
          <w:color w:val="auto"/>
          <w:vertAlign w:val="superscript"/>
        </w:rPr>
      </w:pPr>
    </w:p>
    <w:p>
      <w:pPr>
        <w:ind w:right="320" w:firstLine="757"/>
        <w:spacing w:after="0" w:line="268" w:lineRule="auto"/>
        <w:tabs>
          <w:tab w:leader="none" w:pos="919"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General and administrative expenses consist of personnel-related expenses, including stock-based compensation, legal fees, facility-related costs, depreciation, professional and consulting fees and insurance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interim condensed financial statements included in this Quarterly Report on Form 10-Q should be read in conjunction with the financial statements and notes thereto for the year ended December 31, 2025 and the related Management’s Discussion and Analysis of Financial Condition and Results of Operations, both of which are contained in the Annual Report on Form 10-K for the year ended December 31, 2025 (the 2025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precision medicines for large opportunities in targeted oncology and genetically defined conditions, harnessing the power of Fibroblast Growth Factor Receptor (FGFR) biology.</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Our in-house precision medicine platform, SNÅP, enables rapid and precise drug design through iterative molecular SNÅPshots that help us design and predict which product candidates may demonstrate the highest potency, selectivity and tolerability in the clinic. Through this approach, we have built a wholly-owned pipeline of oral small molecule product candidates focused on targets that have previously been considered difficult-to-drug.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FGFR3 Programs—oral dabogratinib for Urothelial Cancers and Skeletal Dysplasia</w:t>
      </w:r>
    </w:p>
    <w:p>
      <w:pPr>
        <w:spacing w:after="0" w:line="227"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Alterations in the protein receptor FGFR3 are a validated driver in multiple indications with large market opportunities: urothelial cancers and skeletal dysplasia conditions. In urothelial cancer, uncontrolled activation of FGFR3 on the cell surface stimulates cellular proliferation. In skeletal dysplasia conditions, increased activity of FGFR3 expressed in growth plate chondrocytes (cartilage cells) results in excessive limitation of long bone growth.</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firstLine="749"/>
        <w:spacing w:after="0" w:line="261" w:lineRule="auto"/>
        <w:rPr>
          <w:sz w:val="20"/>
          <w:szCs w:val="20"/>
          <w:color w:val="auto"/>
        </w:rPr>
      </w:pPr>
      <w:r>
        <w:rPr>
          <w:rFonts w:ascii="Times New Roman" w:cs="Times New Roman" w:eastAsia="Times New Roman" w:hAnsi="Times New Roman"/>
          <w:sz w:val="18"/>
          <w:szCs w:val="18"/>
          <w:color w:val="auto"/>
        </w:rPr>
        <w:t>Our lead program, oral dabogratinib, was designed to be more selective for FGFR3 over FGFR1, FGFR2, and FGFR4 to minimize off-target side effects, providing potential clinical advantages over less selective first-generation compounds and potentially addressing key unmet needs across both urothelial cancers and skeletal dysplasia conditions. To date, oral dabogratinib has been administered to over 100 participants across multiple clinical studies.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demonstrated initial clinical proof-of-concept results with oral dabogratinib in the SURF301 study, a Phase 1 proof-of-concept study in metastatic urothelial carcinoma (mUC). Oral dabogratinib demonstrated encouraging anti-tumor activity and was generally well-tolerated, with infrequent FGFR2- and FGFR1-associated toxicities. Response, safety, pharmacokinetics (PK) / pharmacodynamics (PD) and circulating tumor DNA (ctDNA) data from this study were leveraged to select doses that have the potential to achieve our target product profile for efficacy and safety in our Phase 2 trials and beyond.</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currently advancing oral dabogratinib in three Phase 2 trials for three outsized market indications: SURF303, evaluating the treatment of low-grade upper tract urothelial carcinoma (LG-UTUC); SURF302, evaluating the treatment of intermediate risk non-muscle invasive bladder cancer (IR NMIBC); and BEACH301, evaluating the treatment of achondroplasia (ACH) in children. If we are successful with these Phase 2 studies, we expect to advance oral dabogratinib toward three potential registrational trials in LG-UTUC, IR NMIBC and ACH. We are calling this approach our “dabogratinib 3x3” strategy.</w:t>
      </w:r>
    </w:p>
    <w:p>
      <w:pPr>
        <w:spacing w:after="0" w:line="183"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SURF303 for LG-UTUC: This open-label Phase 2a/b clinical trial was designed as a potential registrational trial to evaluate the efficacy and safety of oral dabogratinib at doses of 60 mg and 80 mg once daily (QD) in participants with FGFR3-altered low-grade upper tract urothelial carcinoma, where approximately 85% of tumors are driven by FGFR3. The Company has dosed the first patient in SURF303, with initial results expected in 2027.</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SURF302 for IR NMIBC: This open-label Phase 2 clinical trial is evaluating the efficacy and safety of oral dabogratinib at 50 mg and 60 mg QD in participants with FGFR3-altered low-grade IR NMIBC, where approximately 70% of tumors are driven by FGFR3. To date, there are more than 20 patients enrolled at US and international trial sites, and the Company expects to report initial three-month complete response data from both dose cohorts in August 2026.</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BEACH301 for ACH: This study is an open-label, Phase 2 dose-escalation/dose-expansion trial evaluating oral dabogratinib at lower doses (0.125, 0.25, 0.375, 0.50 mg/kg), as compared to the oncology studies, in children ages 3 to 10 with ACH with open growth plates, where approximately 99% of cases are driven by FGFR3. The study has enrolled the safety sentinel cohort, consisting of at least 3 participants per dose level in children ages 5 to 10, and is enrolling a natural history run-in for cohorts 1 and 2 with children ages 3 to 10. Initial results from the safety sentinel cohort, including 6-month average height velocity and safety data, are on-track and expected to be reported in the fourth quarter of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Other Programs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SURF431, a global, Phase 1, multicenter, open-label trial, with a focus on achieving clinical proof-of-concept in a cohort of patients with FGF19+ hepatocellular carcinoma (HCC).</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SURF201, a global, Phase 1, multicenter, open-label trial, with a focus on achieving clinical proof-of-concept in a cohort of FGFR2-driven intrahepatic cholangiocarcinoma (ICC) resistant to previous FGFR inhibitors.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Financial Overview</w:t>
      </w:r>
    </w:p>
    <w:p>
      <w:pPr>
        <w:spacing w:after="0" w:line="227"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the issuance of common stock and pre-funded common stock warrants through a private placement and the issuance of common stock through an at-the-market offering program. Our net losses for the three months ended March 31, 2026 and 2025 were $39.3 million and $28.1 million, respectively. As of March 31, 2026, we had an accumulated deficit of $410.6 million. As of March 31, 2026, we had cash, cash equivalents and marketable securities of $383.5 million.</w:t>
      </w:r>
    </w:p>
    <w:p>
      <w:pPr>
        <w:spacing w:after="0" w:line="17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if and as we continue to develop and conduct clinical trials for our product candidates, continue our research and development activities for future product candidates, expand our clinical and regulatory capabilities, add operational and management information systems and hire additional personnel, expand and protect our intellectual property, establish marketing, sales, distribution and other commercialization capabilities if we obtain approval for any of our product candidates and incur additional costs associated with operating as a public company.</w:t>
      </w:r>
    </w:p>
    <w:p>
      <w:pPr>
        <w:spacing w:after="0" w:line="18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cash equivalents and marketable securities as of March 31, 2026 will be sufficient to fund our operating expenses and capital expenditures into the second half of 2028. We have never generated any revenue and do not expect to generate any revenue from product sales unless and until we successfully complete the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62" w:lineRule="exact"/>
        <w:rPr>
          <w:sz w:val="20"/>
          <w:szCs w:val="20"/>
          <w:color w:val="auto"/>
        </w:rPr>
      </w:pPr>
    </w:p>
    <w:p>
      <w:pPr>
        <w:ind w:left="1080" w:hanging="323"/>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117" w:lineRule="exact"/>
        <w:rPr>
          <w:rFonts w:ascii="Times New Roman" w:cs="Times New Roman" w:eastAsia="Times New Roman" w:hAnsi="Times New Roman"/>
          <w:sz w:val="18"/>
          <w:szCs w:val="18"/>
          <w:color w:val="auto"/>
        </w:rPr>
      </w:pPr>
    </w:p>
    <w:p>
      <w:pPr>
        <w:ind w:left="1380" w:right="200" w:hanging="31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spacing w:after="0" w:line="67" w:lineRule="exact"/>
        <w:rPr>
          <w:rFonts w:ascii="Times New Roman" w:cs="Times New Roman" w:eastAsia="Times New Roman" w:hAnsi="Times New Roman"/>
          <w:sz w:val="18"/>
          <w:szCs w:val="18"/>
          <w:color w:val="auto"/>
        </w:rPr>
      </w:pPr>
    </w:p>
    <w:p>
      <w:pPr>
        <w:ind w:left="1380" w:right="120" w:hanging="31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expenses incurred in connection with the discovery and preclinical development of our product candidates, including under agreements with third parties, such as consultants and CROs;</w:t>
      </w:r>
    </w:p>
    <w:p>
      <w:pPr>
        <w:spacing w:after="0" w:line="54" w:lineRule="exact"/>
        <w:rPr>
          <w:sz w:val="20"/>
          <w:szCs w:val="20"/>
          <w:color w:val="auto"/>
        </w:rPr>
      </w:pPr>
    </w:p>
    <w:p>
      <w:pPr>
        <w:ind w:left="1380" w:hanging="308"/>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chemistry, manufacturing and controls (CMC) development, and other services;</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8" w:name="page19"/>
    <w:bookmarkEnd w:id="18"/>
    <w:p>
      <w:pPr>
        <w:ind w:left="1380" w:right="800" w:hanging="308"/>
        <w:spacing w:after="0" w:line="282" w:lineRule="auto"/>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compounds for use in our preclinical studies, including under agreements with third parties, such as consultants and third-party manufacturers; and</w:t>
      </w:r>
    </w:p>
    <w:p>
      <w:pPr>
        <w:spacing w:after="0" w:line="53"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drug development regulatory requirements; and</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117" w:lineRule="exact"/>
        <w:rPr>
          <w:rFonts w:ascii="Times New Roman" w:cs="Times New Roman" w:eastAsia="Times New Roman" w:hAnsi="Times New Roman"/>
          <w:sz w:val="18"/>
          <w:szCs w:val="18"/>
          <w:color w:val="auto"/>
        </w:rPr>
      </w:pPr>
    </w:p>
    <w:p>
      <w:pPr>
        <w:ind w:left="1380" w:right="480" w:hanging="308"/>
        <w:spacing w:after="0" w:line="282" w:lineRule="auto"/>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recruiting costs, travel and share-based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materials; and</w:t>
      </w:r>
    </w:p>
    <w:p>
      <w:pPr>
        <w:spacing w:after="0" w:line="117" w:lineRule="exact"/>
        <w:rPr>
          <w:rFonts w:ascii="Times New Roman" w:cs="Times New Roman" w:eastAsia="Times New Roman" w:hAnsi="Times New Roman"/>
          <w:sz w:val="18"/>
          <w:szCs w:val="18"/>
          <w:color w:val="auto"/>
        </w:rPr>
      </w:pPr>
    </w:p>
    <w:p>
      <w:pPr>
        <w:ind w:left="1380" w:hanging="308"/>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indirect expenses, which include allocated expenses for rent and maintenance of facilities, and supplies.</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such as personnel-related expenses, stock-based compensation expense, facility-related costs and supplies and certain external consultant costs on a program-specific basis because these costs are deployed across multiple programs under development.</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into later phases of clinical trials or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225" w:lineRule="exact"/>
        <w:rPr>
          <w:sz w:val="20"/>
          <w:szCs w:val="20"/>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discovery and preclinical development activities and clinical trials;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each of our trials;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personnel;</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including war and terrorism;</w:t>
      </w:r>
    </w:p>
    <w:p>
      <w:pPr>
        <w:spacing w:after="0" w:line="225" w:lineRule="exact"/>
        <w:rPr>
          <w:rFonts w:ascii="Times New Roman" w:cs="Times New Roman" w:eastAsia="Times New Roman" w:hAnsi="Times New Roman"/>
          <w:sz w:val="18"/>
          <w:szCs w:val="18"/>
          <w:color w:val="auto"/>
        </w:rPr>
      </w:pPr>
    </w:p>
    <w:p>
      <w:pPr>
        <w:ind w:left="1080" w:right="120" w:hanging="323"/>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tariffs and trade policies, pandemic or epidemic diseases, geopolitical instability, inflation, interest rates and other factors; and</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income consists primarily of interest income from cash, cash equivalents and marketable securities and accretion income from marketable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1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160" w:type="dxa"/>
            <w:vAlign w:val="bottom"/>
          </w:tcPr>
          <w:p>
            <w:pPr>
              <w:spacing w:after="0"/>
              <w:rPr>
                <w:sz w:val="18"/>
                <w:szCs w:val="18"/>
                <w:color w:val="auto"/>
              </w:rPr>
            </w:pP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(41,998)</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(31,850)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(39,305)</w:t>
            </w:r>
          </w:p>
        </w:tc>
        <w:tc>
          <w:tcPr>
            <w:tcW w:w="124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(28,147)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-882015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-882015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-882015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-316230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-316230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-316230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periods indicated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 by program:</w:t>
            </w:r>
          </w:p>
        </w:tc>
        <w:tc>
          <w:tcPr>
            <w:tcW w:w="7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Dabogratinib LG-UTUC</w:t>
            </w:r>
          </w:p>
        </w:tc>
        <w:tc>
          <w:tcPr>
            <w:tcW w:w="17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Dabogratinib IR NMIBC</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Dabogratinib ACH</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Dabogratinib mUC</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TYRA-430 HCC</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TYRA-200 ICC</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FGFR discovery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costs</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Facilities and other costs</w:t>
            </w:r>
          </w:p>
        </w:tc>
        <w:tc>
          <w:tcPr>
            <w:tcW w:w="7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7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128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$33.5 million and $25.0 million for the three months ended March 31, 2026 and 2025, respectively. The $8.5 million increase was primarily driven by a $4.5 million increase in external costs, including a $5.5 million increase related to dabogratinib development activities supporting the ongoing BEACH301 and SURF302 clinical trials and start-up activities for SURF303, partially offset by a $1.0 million decrease in development activities for other programs. Personnel-related expenses also increased by $3.8 million, driven by headcount growth to support expanding clinical and development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were $8.5 million and $6.9 million for the three months ended March 31, 2026 and 2025, respectively. The increase of $1.6 million was primarily related to higher compensation and other personnel expenses, including an increase in non-cash stock-based compensation costs of $0.6 million, driven by headcount growth.</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Other income was $2.7 million and $3.7 million for the three months ended March 31, 2026 and 2025, respectively. The decrease of $1.0 million was driven by lower interest rates and reduced average balances in cash, cash equivalents and marketable securities prior to the receipt of proceeds under the at-the-market offering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On May 8, 2025, we entered into a sales agreement (the 2025 Sales Agreement) with TD Securities (USA) LLC (Sales Agent), under which we may, from time to time, sell shares of our common stock having an aggregate offering price of up to $150.0 million in at-the-market offerings through the Sales Agent. Sales of the shares of common stock, if any, will be made at prevailing market prices at the time of sale or as otherwise agreed with the Sales Agent, in accordance with the terms of the 2025 Sales Agreement. As of March 31, 2026, 4,690,532 shares of common stock have been issued and sold pursuant to the 2025 Sales Agreement for net proceeds of approximately $147.9 million, after deducting offering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(32,571)</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(25,458)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(7,113)</w:t>
            </w: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(120,244)</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(152,270)</w:t>
            </w: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14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increase of $7.1 million in net cash used in operating activities for the three months ended March 31, 2026, compared to the same period in 2025, was primarily due to an increase of $11.2 million in net loss, offset by changes in operating assets and liabilities of $1.9 million, increases of $1.4 million in non-cash stock-based compensation expense and $0.8 million in non-cash net accretion on marketable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change of $152.3 million in net cash used in investing activities for the three months ended March 31, 2026, compared to net cash provided by investing activities for the same period in 2025, was primarily driven by an increase in purchases of marketable securities of $155.3 million and a $0.1 million increase in purchases of property and equipment, partially offset by a $3.1 million increase in maturities of marketable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increase of $158.2 million in net cash provided by financing activities for the three months ended March 31, 2026, compared to the same period in 2025, was primarily due to the $147.9 million in net proceeds from the sale of common stock under the 2025 Sales Agreement and an increase of $10.3 million in proceeds from issuances of common stock under benefit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Our material cash requirements consist of expected operating expenses to conduct our clinical trials and other research and development activities, personnel-related expenses and operating lease obligations.</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including with respect to dabogratinib, TYRA-430, TYRA-200 and other research programs, business planning, establishing and</w:t>
      </w: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maintaining our intellectual property portfolio, hiring personnel, raising capital, and providing general and administrative support for these operations.</w:t>
      </w:r>
    </w:p>
    <w:p>
      <w:pPr>
        <w:spacing w:after="0" w:line="225"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March 31, 2026 will be sufficient to meet our anticipated operating expenses and capital expenditures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80" w:right="20" w:hanging="323"/>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75" w:lineRule="exact"/>
        <w:rPr>
          <w:rFonts w:ascii="Times New Roman" w:cs="Times New Roman" w:eastAsia="Times New Roman" w:hAnsi="Times New Roman"/>
          <w:sz w:val="18"/>
          <w:szCs w:val="18"/>
          <w:color w:val="auto"/>
        </w:rPr>
      </w:pPr>
    </w:p>
    <w:p>
      <w:pPr>
        <w:ind w:left="1080" w:right="340" w:hanging="323"/>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225"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225" w:lineRule="exact"/>
        <w:rPr>
          <w:rFonts w:ascii="Times New Roman" w:cs="Times New Roman" w:eastAsia="Times New Roman" w:hAnsi="Times New Roman"/>
          <w:sz w:val="18"/>
          <w:szCs w:val="18"/>
          <w:color w:val="auto"/>
        </w:rPr>
      </w:pPr>
    </w:p>
    <w:p>
      <w:pPr>
        <w:ind w:left="1080" w:right="140" w:hanging="323"/>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61" w:lineRule="exact"/>
        <w:rPr>
          <w:rFonts w:ascii="Times New Roman" w:cs="Times New Roman" w:eastAsia="Times New Roman" w:hAnsi="Times New Roman"/>
          <w:sz w:val="18"/>
          <w:szCs w:val="18"/>
          <w:color w:val="auto"/>
        </w:rPr>
      </w:pPr>
    </w:p>
    <w:p>
      <w:pPr>
        <w:ind w:left="1080" w:right="460" w:hanging="323"/>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 as well as retaining personnel;</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225" w:lineRule="exact"/>
        <w:rPr>
          <w:rFonts w:ascii="Times New Roman" w:cs="Times New Roman" w:eastAsia="Times New Roman" w:hAnsi="Times New Roman"/>
          <w:sz w:val="18"/>
          <w:szCs w:val="18"/>
          <w:color w:val="auto"/>
        </w:rPr>
      </w:pPr>
    </w:p>
    <w:p>
      <w:pPr>
        <w:ind w:left="1080" w:right="420" w:hanging="323"/>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225" w:lineRule="exact"/>
        <w:rPr>
          <w:rFonts w:ascii="Times New Roman" w:cs="Times New Roman" w:eastAsia="Times New Roman" w:hAnsi="Times New Roman"/>
          <w:sz w:val="18"/>
          <w:szCs w:val="18"/>
          <w:color w:val="auto"/>
        </w:rPr>
      </w:pPr>
    </w:p>
    <w:p>
      <w:pPr>
        <w:ind w:left="1080" w:right="180" w:hanging="323"/>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that the risk of each may be exacerbated by tariffs or trade policies, any future pandemics or epidemic diseases, potential geopolitical instability, war, terrorism, inflation or rising interest rates.</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Other than disclosed below, there were no material changes outside the ordinary course of our business during the three months ended March 31, 2026 to the information regarding our contractual obligations that was disclosed in “Management’s Discussion and Analysis of Financial Condition and Results of Operations” included in the 2025 Annual Report.</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total future aggregate operating lease commitments were $7.6 million, with approximately $0.7 million due during 2026, and the remaining due in periods from 2027 through 2033.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2026, as compared to the critical accounting policies and estimates disclosed in “Management’s Discussion and Analysis of Financial Condition and Results of Operations” included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See Note 1 to our condensed financial statements included elsewhere in this Quarterly Report on Form 10-Q for recently issued accounting pronouncements that may potentially impact our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-440690</wp:posOffset>
            </wp:positionV>
            <wp:extent cx="381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-166370</wp:posOffset>
            </wp:positionV>
            <wp:extent cx="381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7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concluded that, as of such date,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in Internal Control Over Financial Reporting</w:t>
      </w:r>
    </w:p>
    <w:p>
      <w:pPr>
        <w:spacing w:after="0" w:line="229" w:lineRule="exact"/>
        <w:rPr>
          <w:sz w:val="20"/>
          <w:szCs w:val="20"/>
          <w:color w:val="auto"/>
        </w:rPr>
      </w:pPr>
    </w:p>
    <w:p>
      <w:pPr>
        <w:jc w:val="both"/>
        <w:ind w:right="340" w:firstLine="749"/>
        <w:spacing w:after="0" w:line="25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our 2025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0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March 31, 2026, our officers and directors took the following actions with respect to such trading arrangements: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100" w:type="dxa"/>
            <w:vAlign w:val="bottom"/>
          </w:tcPr>
          <w:p>
            <w:pPr>
              <w:spacing w:after="0"/>
              <w:rPr>
                <w:sz w:val="20"/>
                <w:szCs w:val="2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Non-Rule 10b5-</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108"/>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20" w:type="dxa"/>
            <w:vAlign w:val="bottom"/>
          </w:tcPr>
          <w:p>
            <w:pPr>
              <w:spacing w:after="0"/>
              <w:rPr>
                <w:sz w:val="9"/>
                <w:szCs w:val="9"/>
                <w:color w:val="auto"/>
              </w:rPr>
            </w:pP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Authorized to be</w:t>
            </w: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6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Sold***</w:t>
            </w: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Todd Harris</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2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3/6/2026</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5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12/30/2027</w:t>
            </w: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Alan Fuhrman</w:t>
            </w:r>
          </w:p>
        </w:tc>
        <w:tc>
          <w:tcPr>
            <w:tcW w:w="16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3/20/2026</w:t>
            </w:r>
          </w:p>
        </w:tc>
        <w:tc>
          <w:tcPr>
            <w:tcW w:w="10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5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12/30/2027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Julia Rueb</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2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3/6/2026</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56,975</w:t>
            </w:r>
          </w:p>
        </w:tc>
        <w:tc>
          <w:tcPr>
            <w:tcW w:w="15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10/20/2027</w:t>
            </w: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Vice President, Finance (principal</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Intended to satisfy the affirmative defense of Rule 10b5-1(c)</w:t>
      </w:r>
    </w:p>
    <w:p>
      <w:pPr>
        <w:spacing w:after="0" w:line="27"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of Rule 10b5-1(c)</w:t>
      </w:r>
    </w:p>
    <w:p>
      <w:pPr>
        <w:spacing w:after="0" w:line="9" w:lineRule="exact"/>
        <w:rPr>
          <w:rFonts w:ascii="Times New Roman" w:cs="Times New Roman" w:eastAsia="Times New Roman" w:hAnsi="Times New Roman"/>
          <w:sz w:val="18"/>
          <w:szCs w:val="18"/>
          <w:color w:val="auto"/>
        </w:rPr>
      </w:pPr>
    </w:p>
    <w:p>
      <w:pPr>
        <w:ind w:right="520" w:firstLine="8"/>
        <w:spacing w:after="0" w:line="250"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number of shares that may be sold pursuant to the 10b5-1 arrangement. The number of shares sold is dependent on the satisfaction of certain conditions as set forth in the written plan and the satisfaction of applicable vesting conditions of equity awards.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38"/>
        </w:trPr>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0"/>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8"/>
                <w:szCs w:val="18"/>
                <w:color w:val="auto"/>
              </w:rPr>
            </w:pPr>
          </w:p>
        </w:tc>
        <w:tc>
          <w:tcPr>
            <w:tcW w:w="5600" w:type="dxa"/>
            <w:vAlign w:val="bottom"/>
            <w:gridSpan w:val="13"/>
            <w:vMerge w:val="restart"/>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Certificate of Incorporation</w:t>
              </w:r>
            </w:hyperlink>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0" w:type="dxa"/>
            <w:vAlign w:val="bottom"/>
          </w:tcPr>
          <w:p>
            <w:pPr>
              <w:spacing w:after="0"/>
              <w:rPr>
                <w:sz w:val="18"/>
                <w:szCs w:val="18"/>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0" w:type="dxa"/>
            <w:vAlign w:val="bottom"/>
            <w:gridSpan w:val="1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4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3/22/23</w:t>
            </w:r>
          </w:p>
        </w:tc>
        <w:tc>
          <w:tcPr>
            <w:tcW w:w="12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9"/>
                <w:szCs w:val="19"/>
                <w:color w:val="auto"/>
              </w:rPr>
            </w:pPr>
          </w:p>
        </w:tc>
        <w:tc>
          <w:tcPr>
            <w:tcW w:w="5600" w:type="dxa"/>
            <w:vAlign w:val="bottom"/>
            <w:gridSpan w:val="13"/>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Certificate of Amendment of Amended and Restated Certificate of</w:t>
              </w:r>
            </w:hyperlink>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5/31/24</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Incorporation, dated May 29, 2024</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5600" w:type="dxa"/>
            <w:vAlign w:val="bottom"/>
            <w:gridSpan w:val="1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Bylaws, effective as of October 26, 2023</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10/26/23</w:t>
            </w:r>
          </w:p>
        </w:tc>
        <w:tc>
          <w:tcPr>
            <w:tcW w:w="11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9"/>
                <w:szCs w:val="19"/>
                <w:color w:val="auto"/>
              </w:rPr>
            </w:pPr>
          </w:p>
        </w:tc>
        <w:tc>
          <w:tcPr>
            <w:tcW w:w="5600" w:type="dxa"/>
            <w:vAlign w:val="bottom"/>
            <w:gridSpan w:val="13"/>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Specimen stock certificate evidencing the shares of common stock</w:t>
              </w:r>
            </w:hyperlink>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8/20/21</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9"/>
                <w:szCs w:val="19"/>
                <w:color w:val="auto"/>
              </w:rPr>
            </w:pPr>
          </w:p>
        </w:tc>
        <w:tc>
          <w:tcPr>
            <w:tcW w:w="5600" w:type="dxa"/>
            <w:vAlign w:val="bottom"/>
            <w:gridSpan w:val="1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Investors’ Rights Agreement, dated March 5, 2021,</w:t>
              </w:r>
            </w:hyperlink>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9/9/21</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by and among the Registrant and certain of its stockholders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5600" w:type="dxa"/>
            <w:vAlign w:val="bottom"/>
            <w:gridSpan w:val="13"/>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Pre-Funded Warrant</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2/5/24</w:t>
            </w:r>
          </w:p>
        </w:tc>
        <w:tc>
          <w:tcPr>
            <w:tcW w:w="11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9"/>
                <w:szCs w:val="19"/>
                <w:color w:val="auto"/>
              </w:rPr>
            </w:pPr>
          </w:p>
        </w:tc>
        <w:tc>
          <w:tcPr>
            <w:tcW w:w="5600" w:type="dxa"/>
            <w:vAlign w:val="bottom"/>
            <w:gridSpan w:val="13"/>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Exchange Warrant</w:t>
              </w:r>
            </w:hyperlink>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10/18/24</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required by Rule 13a-14(a) or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Rule 15d-14(a), as adopted pursuant to Section 302 of the Sarbanes-Oxley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13a-14(a) or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Rule 15d-14(a), as adopted pursuant to Section 302 of the Sarbanes-Oxley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60" w:type="dxa"/>
            <w:vAlign w:val="bottom"/>
            <w:gridSpan w:val="10"/>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101.INS</w:t>
            </w: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40" w:firstLine="8"/>
        <w:spacing w:after="0" w:line="260" w:lineRule="auto"/>
        <w:tabs>
          <w:tab w:leader="none" w:pos="4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Harris, Ph.D.</w:t>
            </w:r>
          </w:p>
        </w:tc>
      </w:tr>
      <w:tr>
        <w:trPr>
          <w:trHeight w:val="187"/>
        </w:trPr>
        <w:tc>
          <w:tcPr>
            <w:tcW w:w="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Todd Harris, Ph.D.</w:t>
            </w:r>
          </w:p>
        </w:tc>
      </w:tr>
      <w:tr>
        <w:trPr>
          <w:trHeight w:val="216"/>
        </w:trPr>
        <w:tc>
          <w:tcPr>
            <w:tcW w:w="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and Director</w:t>
            </w:r>
          </w:p>
        </w:tc>
      </w:tr>
      <w:tr>
        <w:trPr>
          <w:trHeight w:val="238"/>
        </w:trPr>
        <w:tc>
          <w:tcPr>
            <w:tcW w:w="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Fuhrman</w:t>
            </w:r>
          </w:p>
        </w:tc>
      </w:tr>
      <w:tr>
        <w:trPr>
          <w:trHeight w:val="187"/>
        </w:trPr>
        <w:tc>
          <w:tcPr>
            <w:tcW w:w="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Alan Fuhrman</w:t>
            </w:r>
          </w:p>
        </w:tc>
      </w:tr>
      <w:tr>
        <w:trPr>
          <w:trHeight w:val="216"/>
        </w:trPr>
        <w:tc>
          <w:tcPr>
            <w:tcW w:w="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432"/>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5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467360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720"/>
          </w:cols>
          <w:pgMar w:left="320" w:top="981" w:right="33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Harris, certify that:</w:t>
      </w:r>
    </w:p>
    <w:p>
      <w:pPr>
        <w:spacing w:after="0" w:line="225" w:lineRule="exact"/>
        <w:rPr>
          <w:sz w:val="20"/>
          <w:szCs w:val="20"/>
          <w:color w:val="auto"/>
        </w:rPr>
      </w:pPr>
    </w:p>
    <w:p>
      <w:pPr>
        <w:ind w:left="440" w:hanging="43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Tyra Biosciences, Inc.;</w:t>
      </w:r>
    </w:p>
    <w:p>
      <w:pPr>
        <w:spacing w:after="0" w:line="225" w:lineRule="exact"/>
        <w:rPr>
          <w:rFonts w:ascii="Times New Roman" w:cs="Times New Roman" w:eastAsia="Times New Roman" w:hAnsi="Times New Roman"/>
          <w:sz w:val="18"/>
          <w:szCs w:val="18"/>
          <w:color w:val="auto"/>
        </w:rPr>
      </w:pPr>
    </w:p>
    <w:p>
      <w:pPr>
        <w:ind w:left="440" w:right="220" w:hanging="436"/>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300" w:hanging="436"/>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6"/>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80" w:right="20" w:hanging="436"/>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right="320" w:hanging="436"/>
        <w:spacing w:after="0" w:line="289" w:lineRule="auto"/>
        <w:tabs>
          <w:tab w:leader="none" w:pos="8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880" w:right="180" w:hanging="436"/>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hanging="436"/>
        <w:spacing w:after="0" w:line="289" w:lineRule="auto"/>
        <w:tabs>
          <w:tab w:leader="none" w:pos="8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440" w:right="400" w:hanging="436"/>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100" w:hanging="436"/>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480" w:hanging="436"/>
        <w:spacing w:after="0" w:line="282"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20" w:val="left"/>
          <w:tab w:leader="none" w:pos="66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2863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884555</wp:posOffset>
            </wp:positionV>
            <wp:extent cx="70377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Fuhrman, certify that:</w:t>
      </w:r>
    </w:p>
    <w:p>
      <w:pPr>
        <w:spacing w:after="0" w:line="225" w:lineRule="exact"/>
        <w:rPr>
          <w:sz w:val="20"/>
          <w:szCs w:val="20"/>
          <w:color w:val="auto"/>
        </w:rPr>
      </w:pPr>
    </w:p>
    <w:p>
      <w:pPr>
        <w:ind w:left="440" w:hanging="43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Tyra Biosciences, Inc.;</w:t>
      </w:r>
    </w:p>
    <w:p>
      <w:pPr>
        <w:spacing w:after="0" w:line="225" w:lineRule="exact"/>
        <w:rPr>
          <w:rFonts w:ascii="Times New Roman" w:cs="Times New Roman" w:eastAsia="Times New Roman" w:hAnsi="Times New Roman"/>
          <w:sz w:val="18"/>
          <w:szCs w:val="18"/>
          <w:color w:val="auto"/>
        </w:rPr>
      </w:pPr>
    </w:p>
    <w:p>
      <w:pPr>
        <w:ind w:left="440" w:right="22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30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80" w:right="2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right="320" w:hanging="436"/>
        <w:spacing w:after="0" w:line="289" w:lineRule="auto"/>
        <w:tabs>
          <w:tab w:leader="none" w:pos="8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880" w:right="18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hanging="436"/>
        <w:spacing w:after="0" w:line="289" w:lineRule="auto"/>
        <w:tabs>
          <w:tab w:leader="none" w:pos="8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440" w:right="40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10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480" w:hanging="436"/>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20" w:val="left"/>
          <w:tab w:leader="none" w:pos="68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28632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884555</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Tyra Biosciences,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420" w:hanging="436"/>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4920" w:val="left"/>
          <w:tab w:leader="none" w:pos="66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2863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Tyra Biosciences,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420" w:hanging="436"/>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4920" w:val="left"/>
          <w:tab w:leader="none" w:pos="68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28632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o"/>
      <w:numFmt w:val="bullet"/>
      <w:start w:val="1"/>
    </w:lvl>
  </w:abstractNum>
  <w:abstractNum w:abstractNumId="6">
    <w:nsid w:val="66EF438D"/>
    <w:multiLevelType w:val="hybridMultilevel"/>
    <w:lvl w:ilvl="0">
      <w:lvlJc w:val="left"/>
      <w:lvlText w:val="•"/>
      <w:numFmt w:val="bullet"/>
      <w:start w:val="1"/>
    </w:lvl>
    <w:lvl w:ilvl="1">
      <w:lvlJc w:val="left"/>
      <w:lvlText w:val="o"/>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197" Type="http://schemas.openxmlformats.org/officeDocument/2006/relationships/hyperlink" Target="https://www.sec.gov/Archives/edgar/data/1863127/000095017023009181/tyra-ex3_1.htm" TargetMode="External"/><Relationship Id="rId198" Type="http://schemas.openxmlformats.org/officeDocument/2006/relationships/hyperlink" Target="https://www.sec.gov/Archives/edgar/data/1863127/000119312524151705/d807421dex31.htm" TargetMode="External"/><Relationship Id="rId199" Type="http://schemas.openxmlformats.org/officeDocument/2006/relationships/hyperlink" Target="https://www.sec.gov/Archives/edgar/data/1863127/000119312523264152/d537796dex31.htm" TargetMode="External"/><Relationship Id="rId200" Type="http://schemas.openxmlformats.org/officeDocument/2006/relationships/hyperlink" Target="https://www.sec.gov/Archives/edgar/data/1863127/000119312521252729/d189651dex41.htm" TargetMode="External"/><Relationship Id="rId201" Type="http://schemas.openxmlformats.org/officeDocument/2006/relationships/hyperlink" Target="https://www.sec.gov/Archives/edgar/data/1863127/000119312521268272/d189651dex42.htm" TargetMode="External"/><Relationship Id="rId202" Type="http://schemas.openxmlformats.org/officeDocument/2006/relationships/hyperlink" Target="https://www.sec.gov/Archives/edgar/data/1863127/000119312524023367/d620082dex41.htm" TargetMode="External"/><Relationship Id="rId203" Type="http://schemas.openxmlformats.org/officeDocument/2006/relationships/hyperlink" Target="https://www.sec.gov/Archives/edgar/data/1863127/000119312524239650/d81486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2026-05-13T07:05:33Z</dcterms:created>
  <dcterms:modified xsi:type="dcterms:W3CDTF">2026-05-13T07:05:33Z</dcterms:modified>
</cp:coreProperties>
</file>