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920" w:hanging="4079"/>
        <w:spacing w:after="0" w:line="299" w:lineRule="auto"/>
        <w:tabs>
          <w:tab w:leader="none" w:pos="364"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36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FROMTO</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TYRA BIOSCIENCES, INC.</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4" w:lineRule="exact"/>
        <w:rPr>
          <w:sz w:val="24"/>
          <w:szCs w:val="24"/>
          <w:color w:val="auto"/>
        </w:rPr>
      </w:pPr>
    </w:p>
    <w:tbl>
      <w:tblPr>
        <w:tblLayout w:type="fixed"/>
        <w:tblInd w:w="1760" w:type="dxa"/>
        <w:tblCellMar>
          <w:top w:w="0" w:type="dxa"/>
          <w:left w:w="0" w:type="dxa"/>
          <w:bottom w:w="0" w:type="dxa"/>
          <w:right w:w="0" w:type="dxa"/>
        </w:tblCellMar>
      </w:tblPr>
      <w:tr>
        <w:trPr>
          <w:trHeight w:val="218"/>
        </w:trPr>
        <w:tc>
          <w:tcPr>
            <w:tcW w:w="414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83-1476348</w:t>
            </w:r>
          </w:p>
        </w:tc>
      </w:tr>
      <w:tr>
        <w:trPr>
          <w:trHeight w:val="135"/>
        </w:trPr>
        <w:tc>
          <w:tcPr>
            <w:tcW w:w="4140" w:type="dxa"/>
            <w:vAlign w:val="bottom"/>
          </w:tcPr>
          <w:p>
            <w:pPr>
              <w:jc w:val="center"/>
              <w:ind w:right="196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3"/>
        </w:trPr>
        <w:tc>
          <w:tcPr>
            <w:tcW w:w="4140" w:type="dxa"/>
            <w:vAlign w:val="bottom"/>
          </w:tcPr>
          <w:p>
            <w:pPr>
              <w:jc w:val="center"/>
              <w:ind w:right="1964"/>
              <w:spacing w:after="0" w:line="133"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020" w:type="dxa"/>
            <w:vAlign w:val="bottom"/>
          </w:tcPr>
          <w:p>
            <w:pPr>
              <w:jc w:val="center"/>
              <w:ind w:left="1966"/>
              <w:spacing w:after="0" w:line="133"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414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2656 State Street</w:t>
            </w:r>
          </w:p>
        </w:tc>
        <w:tc>
          <w:tcPr>
            <w:tcW w:w="3020" w:type="dxa"/>
            <w:vAlign w:val="bottom"/>
          </w:tcPr>
          <w:p>
            <w:pPr>
              <w:spacing w:after="0"/>
              <w:rPr>
                <w:sz w:val="19"/>
                <w:szCs w:val="19"/>
                <w:color w:val="auto"/>
              </w:rPr>
            </w:pPr>
          </w:p>
        </w:tc>
      </w:tr>
      <w:tr>
        <w:trPr>
          <w:trHeight w:val="218"/>
        </w:trPr>
        <w:tc>
          <w:tcPr>
            <w:tcW w:w="414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Carlsbad, California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92008</w:t>
            </w:r>
          </w:p>
        </w:tc>
      </w:tr>
      <w:tr>
        <w:trPr>
          <w:trHeight w:val="166"/>
        </w:trPr>
        <w:tc>
          <w:tcPr>
            <w:tcW w:w="414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(619) 728-4760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4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620" w:type="dxa"/>
            <w:vAlign w:val="bottom"/>
            <w:gridSpan w:val="3"/>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00" w:type="dxa"/>
            <w:vAlign w:val="bottom"/>
            <w:vMerge w:val="restart"/>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4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3"/>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42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Common Stock, $0.0001 par value per share</w:t>
            </w:r>
          </w:p>
        </w:tc>
        <w:tc>
          <w:tcPr>
            <w:tcW w:w="120" w:type="dxa"/>
            <w:vAlign w:val="bottom"/>
          </w:tcPr>
          <w:p>
            <w:pPr>
              <w:spacing w:after="0"/>
              <w:rPr>
                <w:sz w:val="13"/>
                <w:szCs w:val="13"/>
                <w:color w:val="auto"/>
              </w:rPr>
            </w:pPr>
          </w:p>
        </w:tc>
        <w:tc>
          <w:tcPr>
            <w:tcW w:w="17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TYRA</w:t>
            </w: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100" w:type="dxa"/>
            <w:vAlign w:val="bottom"/>
            <w:tcBorders>
              <w:top w:val="single" w:sz="8" w:color="auto"/>
            </w:tcBorders>
          </w:tcPr>
          <w:p>
            <w:pPr>
              <w:jc w:val="center"/>
              <w:ind w:right="748"/>
              <w:spacing w:after="0" w:line="158" w:lineRule="exact"/>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r>
        <w:trPr>
          <w:trHeight w:val="173"/>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18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6"/>
        </w:trPr>
        <w:tc>
          <w:tcPr>
            <w:tcW w:w="708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p>
        </w:tc>
        <w:tc>
          <w:tcPr>
            <w:tcW w:w="410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8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87" w:lineRule="exact"/>
        <w:rPr>
          <w:sz w:val="24"/>
          <w:szCs w:val="24"/>
          <w:color w:val="auto"/>
        </w:rPr>
      </w:pPr>
    </w:p>
    <w:p>
      <w:pPr>
        <w:ind w:right="5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0" w:lineRule="exact"/>
        <w:rPr>
          <w:sz w:val="24"/>
          <w:szCs w:val="24"/>
          <w:color w:val="auto"/>
        </w:rPr>
      </w:pPr>
    </w:p>
    <w:p>
      <w:pPr>
        <w:ind w:right="240"/>
        <w:spacing w:after="0" w:line="239" w:lineRule="auto"/>
        <w:rPr>
          <w:sz w:val="20"/>
          <w:szCs w:val="20"/>
          <w:color w:val="auto"/>
        </w:rPr>
      </w:pPr>
      <w:r>
        <w:rPr>
          <w:rFonts w:ascii="Times New Roman" w:cs="Times New Roman" w:eastAsia="Times New Roman" w:hAnsi="Times New Roman"/>
          <w:sz w:val="14"/>
          <w:szCs w:val="14"/>
          <w:color w:val="auto"/>
        </w:rPr>
        <w:t>The aggregate market value of registrant’s common stock held by non-affiliates of the registrant, computed by reference to the closing price as of the last business day of the registrant’s most recently completed second fiscal quarter, June 30, 2025, was approximately $297.3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25, 2026, the registrant had 53,867,115 shares of common stock ($0.0001 par value) outstanding.</w:t>
      </w:r>
    </w:p>
    <w:p>
      <w:pPr>
        <w:spacing w:after="0" w:line="2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7" w:lineRule="exact"/>
        <w:rPr>
          <w:sz w:val="24"/>
          <w:szCs w:val="24"/>
          <w:color w:val="auto"/>
        </w:rPr>
      </w:pPr>
    </w:p>
    <w:p>
      <w:pPr>
        <w:ind w:right="120"/>
        <w:spacing w:after="0" w:line="243" w:lineRule="auto"/>
        <w:rPr>
          <w:sz w:val="20"/>
          <w:szCs w:val="20"/>
          <w:color w:val="auto"/>
        </w:rPr>
      </w:pPr>
      <w:r>
        <w:rPr>
          <w:rFonts w:ascii="Times New Roman" w:cs="Times New Roman" w:eastAsia="Times New Roman" w:hAnsi="Times New Roman"/>
          <w:sz w:val="14"/>
          <w:szCs w:val="14"/>
          <w:color w:val="auto"/>
        </w:rPr>
        <w:t>Certain sections of the registrant’s definitive proxy statement for the 2025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789940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3"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gridSpan w:val="10"/>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7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7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34"/>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7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434"/>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7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434"/>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7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22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vMerge w:val="continue"/>
          </w:tcPr>
          <w:p>
            <w:pPr>
              <w:spacing w:after="0"/>
              <w:rPr>
                <w:sz w:val="24"/>
                <w:szCs w:val="24"/>
                <w:color w:val="auto"/>
              </w:rPr>
            </w:pPr>
          </w:p>
        </w:tc>
        <w:tc>
          <w:tcPr>
            <w:tcW w:w="8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885"/>
        </w:trPr>
        <w:tc>
          <w:tcPr>
            <w:tcW w:w="1700" w:type="dxa"/>
            <w:vAlign w:val="bottom"/>
          </w:tcPr>
          <w:p>
            <w:pPr>
              <w:spacing w:after="0"/>
              <w:rPr>
                <w:sz w:val="24"/>
                <w:szCs w:val="24"/>
                <w:color w:val="auto"/>
              </w:rPr>
            </w:pPr>
          </w:p>
        </w:tc>
        <w:tc>
          <w:tcPr>
            <w:tcW w:w="780" w:type="dxa"/>
            <w:vAlign w:val="bottom"/>
            <w:tcBorders>
              <w:top w:val="single" w:sz="8" w:color="0000FF"/>
            </w:tcBorders>
            <w:gridSpan w:val="3"/>
          </w:tcPr>
          <w:p>
            <w:pPr>
              <w:spacing w:after="0"/>
              <w:rPr>
                <w:sz w:val="24"/>
                <w:szCs w:val="24"/>
                <w:color w:val="auto"/>
              </w:rPr>
            </w:pPr>
          </w:p>
        </w:tc>
        <w:tc>
          <w:tcPr>
            <w:tcW w:w="3320" w:type="dxa"/>
            <w:vAlign w:val="bottom"/>
            <w:gridSpan w:val="11"/>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 AND MARKET DATA</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Annual Report, including statements regarding our future results of operations and financial position, business strategy, research and development plans, the anticipated timing and phase of development, costs, design and conduct of our ongoing and planned preclinical studies and clinical trials for our product candidates, the potential benefits of regulatory designations, the timing and likelihood of regulatory filings and approvals for our product candidates, the potential to develop product candidates and the safety and therapeutic benefits of our product candidates, our ability to commercialize our product candidates, if approved, the pricing and reimbursement of our product candidates, if approved,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9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“continue” “could,” “contemplate,” “estimate,” “expect,” “intend,” “may,” “plan,” “potential,” “predict,” “project,” “should,” “target,” “will” or "would"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including, without limitation, the risk factors described in Part I, Item 1A, “Risk Factors.”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9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This Annual Report includes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80"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We maintain a website at www.tyra.bio,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next-generation precision medicines for large opportunities in targeted oncology and genetically defined conditions, harnessing the power of Fibroblast Growth Factor Receptor (FGFR) biology.</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Our in-house precision medicine platform, SNÅP, enables rapid and precise drug design through iterative molecular SNÅPshots that help us design and predict which product candidates may demonstrate the highest potency, selectivity and tolerability in the clinic. Through this approach, we have built a wholly-owned pipeline of oral small molecule product candidates focused on targets that have previously been considered difficult-to-drug.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FGFR3 Programs—oral dabogratinib (formerly TYRA-300) for Urothelial Cancers and Skeletal Dysplasia</w:t>
      </w:r>
    </w:p>
    <w:p>
      <w:pPr>
        <w:spacing w:after="0" w:line="227"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Alterations in the protein receptor FGFR3 are a validated driver in multiple indications with large market opportunities: urothelial cancers and skeletal dysplasia conditions. In urothelial cancer, uncontrolled activation of FGFR3 on the cell surface stimulates cellular proliferation. In skeletal dysplasia conditions, increased activity of FGFR3 expressed in growth plate chondrocytes (cartilage cells) results in excessive limitation of long bone growth.</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lead program, oral dabogratinib, was designed to be more selective for FGFR3 over FGFR1, FGFR2, and FGFR4 to minimize off-target side effects, providing potential clinical advantages over less selective first-generation compounds and potentially addressing key unmet needs across both urothelial cancers and skeletal dysplasia conditions. To date, oral dabogratinib has been administered to over 100 participants across multiple clinical studies.</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demonstrated initial clinical proof-of-concept results with oral dabogratinib in the SURF301 study, a Phase 1 proof-of-concept study in metastatic urothelial carcinoma (mUC). Oral dabogratinib demonstrated encouraging anti-tumor activity and was generally well-tolerated, with infrequent FGFR2- and FGFR1-associated toxicities. Response, safety, pharmacokinetics (PK) / pharmacodynamics (PD) and circulating tumor DNA (ctDNA) data from this study were leveraged to select doses that have the potential to achieve our target product profile for efficacy and safety in our Phase 2 trials and beyond.</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are currently advancing oral dabogratinib in three Phase 2 trials for three outsized market indications: SURF303, evaluating the treatment of low-grade upper tract urothelial carcinoma (LG-UTUC); SURF302, evaluating the treatment of intermediate risk non-muscle invasive bladder cancer (IR NMIBC); and BEACH301, evaluating the treatment of achondroplasia (ACH) in children. If we are successful with these Phase 2 studies, we expect to advance oral dabogratinib toward three potential registrational trials in LG-UTUC, IR NMIBC and ACH. We are calling this approach our “dabogratinib 3x3” strategy.</w:t>
      </w:r>
    </w:p>
    <w:p>
      <w:pPr>
        <w:spacing w:after="0" w:line="183"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SURF303 for LG-UTUC: This open-label Phase 2a/b clinical trial was designed as a potential registrational trial to evaluate the efficacy and safety of oral dabogratinib at doses of 60 mg and 80 mg once daily (QD) in participants with FGFR3-altered low-grade upper tract urothelial carcinoma, where approximately 85% of tumors are driven by FGFR3. Study startup is ongoing and the first patient in this study is anticipated to be dosed in 2026.</w:t>
      </w:r>
    </w:p>
    <w:p>
      <w:pPr>
        <w:spacing w:after="0" w:line="176"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SURF302 for IR NMIBC: This open-label Phase 2 clinical trial is evaluating the efficacy and safety of oral dabogratinib at 50 mg and 60 mg QD in participants with FGFR3-altered low-grade, IR NMIBC, where approximately 70% of tumors are driven by FGFR3. We anticipate reporting initial three-month CR data from approximately 10-20 patients per cohort from this study by the end of the first half of 2026.</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94"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BEACH301 for ACH: This study is an open-label, Phase 2 dose-escalation/dose-expansion trial evaluating oral dabogratinib at lower doses (0.125, 0.25, 0.375, 0.50 mg/kg), as compared to the oncology studies, in children ages 3 to 10 with ACH with open growth plates, where approximately 99% of cases are driven by FGFR3. The study is enrolling a safety sentinel cohort of 3 or more participants per dose level in children ages 5 to 10, and a natural history run-in for cohorts 1 and 2 with children ages 3 to 10. Initial results from the safety sentinel cohort, including 6-month average height velocity (AHV) results and interim safety, are on-track and expected to be reported in the second half of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Other Programs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TYRA-430 was designed to be biased for FGFR4 and FGFR3 over the FGFR1 and FGFR2 isoforms specifically to address the FGF19 signaling pathway, while also potentially limiting side effects due to inhibition of FGFR1 and FGFR2, as well as to address acquired resistance mutations that have limited the efficacy of previous FGFR4-specific inhibitors. TYRA-430 is currently being evaluated in SURF431, a global, Phase 1, multicenter, open-label trial, with a focus on achieving clinical proof-of-concept in a cohort of patients with FGF19+ hepatocellular carcinoma (HCC).</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TYRA-200 is an FGFR1/2/3 inhibitor designed to be active against nearly all of the clinically identified acquired resistant mutations that arise during treatment with pan-FGFR inhibitors, which we believe is necessary to address the problem of disease progression due to polyclonal resistance. TYRA-200 is currently being evaluated in SURF201, a global, Phase 1, multicenter, open-label trial, with a focus on achieving clinical proof-of-concept in a cohort of FGFR2-driven intrahepatic cholangiocarcinoma (ICC) resistant to previous FGFR inhibitors.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155575</wp:posOffset>
            </wp:positionV>
            <wp:extent cx="5349240" cy="2657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Our mission is to improve outcomes for patients living with cancer and genetically defined conditions. We are executing on our mission by focusing on advancing our pipeline and building a leading company around FGFR biology. With this strategy, our goal is the discovery, development and commercialization of next-generation precision small molecules against clinically validated targets to treat a wide range of indications currently lacking adequate treatment options.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elements of our strategy to achieve this goal are to:</w:t>
      </w:r>
    </w:p>
    <w:p>
      <w:pPr>
        <w:spacing w:after="0" w:line="185" w:lineRule="exact"/>
        <w:rPr>
          <w:sz w:val="20"/>
          <w:szCs w:val="20"/>
          <w:color w:val="auto"/>
        </w:rPr>
      </w:pPr>
    </w:p>
    <w:p>
      <w:pPr>
        <w:ind w:left="380" w:right="6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oral dabogratinib, toward pivotal studies and commercialization in the United States and certain other territories in urothelial cancers and skeletal dysplasia conditions;</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early-stage clinical pipeline and maintain our position as a leader in our focus area of FGFR biology; and</w:t>
      </w:r>
    </w:p>
    <w:p>
      <w:pPr>
        <w:spacing w:after="0" w:line="184" w:lineRule="exact"/>
        <w:rPr>
          <w:rFonts w:ascii="Times New Roman" w:cs="Times New Roman" w:eastAsia="Times New Roman" w:hAnsi="Times New Roman"/>
          <w:sz w:val="18"/>
          <w:szCs w:val="18"/>
          <w:color w:val="auto"/>
        </w:rPr>
      </w:pPr>
    </w:p>
    <w:p>
      <w:pPr>
        <w:ind w:left="380" w:right="30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Harness the power of our SNÅP platform to expand our pipeline of next-generation precision medicines for oncology and rare disease indications within FGFR biology and potentially other target areas of interest.</w:t>
      </w:r>
    </w:p>
    <w:p>
      <w:pPr>
        <w:spacing w:after="0" w:line="12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All of our assets have been developed in-house and we retain full development and commercialization rights for our pipeline. We intend to maximize the value of our pipeline by retaining development and commercialization rights to our product candidates, indications and geographies that we believe we can ultimately commercialize successfully on our own if they are approved. We will seek to collaborate on product candidates that we believe have promising utility in disease areas or patient populations that are better served by the resources or specific expertise of larger biopharmaceutical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SNÅP Platform</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Our proprietary SNÅP platform enables rapid and precise drug design through iterative molecular SNÅPshots that help us design and predict which product candidates will demonstrate the highest potency, selectivity and tolerability in the clinic. Through this approach, we have developed next-generation precision small molecule candidates with novel structures designed to inhibit the target while avoiding off-target toxicities and resistance mutations.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SNÅP platform is driven by our ability to generate iterative data rapidly and concurrently from the following three key pillars.</w:t>
      </w:r>
    </w:p>
    <w:p>
      <w:pPr>
        <w:spacing w:after="0" w:line="194" w:lineRule="exact"/>
        <w:rPr>
          <w:sz w:val="20"/>
          <w:szCs w:val="20"/>
          <w:color w:val="auto"/>
        </w:rPr>
      </w:pPr>
    </w:p>
    <w:p>
      <w:pPr>
        <w:ind w:left="1140" w:right="20" w:hanging="383"/>
        <w:spacing w:after="0" w:line="262" w:lineRule="auto"/>
        <w:tabs>
          <w:tab w:leader="none" w:pos="11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Protein crystallography</w:t>
      </w:r>
      <w:r>
        <w:rPr>
          <w:rFonts w:ascii="Times New Roman" w:cs="Times New Roman" w:eastAsia="Times New Roman" w:hAnsi="Times New Roman"/>
          <w:sz w:val="18"/>
          <w:szCs w:val="18"/>
          <w:color w:val="auto"/>
        </w:rPr>
        <w:t>. We have developed proprietary protein crystallography techniques that enable us to determine the co-crystal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structures of newly synthesized compounds in target proteins in as little as three days. This enables weekly generation of detailed structural insights on the precise interactions and conformational changes that occur when our potential product candidates bind to a particular target, creating opportunities to further refine the structural design.</w:t>
      </w:r>
    </w:p>
    <w:p>
      <w:pPr>
        <w:spacing w:after="0" w:line="135" w:lineRule="exact"/>
        <w:rPr>
          <w:rFonts w:ascii="Times New Roman" w:cs="Times New Roman" w:eastAsia="Times New Roman" w:hAnsi="Times New Roman"/>
          <w:sz w:val="18"/>
          <w:szCs w:val="18"/>
          <w:b w:val="1"/>
          <w:bCs w:val="1"/>
          <w:color w:val="auto"/>
        </w:rPr>
      </w:pPr>
    </w:p>
    <w:p>
      <w:pPr>
        <w:jc w:val="both"/>
        <w:ind w:left="1140" w:hanging="383"/>
        <w:spacing w:after="0" w:line="268" w:lineRule="auto"/>
        <w:tabs>
          <w:tab w:leader="none" w:pos="11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Cell-based assays</w:t>
      </w:r>
      <w:r>
        <w:rPr>
          <w:rFonts w:ascii="Times New Roman" w:cs="Times New Roman" w:eastAsia="Times New Roman" w:hAnsi="Times New Roman"/>
          <w:sz w:val="18"/>
          <w:szCs w:val="18"/>
          <w:color w:val="auto"/>
        </w:rPr>
        <w:t>. We assess inhibitor potency directly in in vitro target-specific anti-proliferation assays, in addition to enzymatic assays,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enable us to simultaneously understand target potency and cell penetration as well as target-specific cell killing. Our process allows us to generate data on newly synthesized compounds in as little as two days.</w:t>
      </w:r>
    </w:p>
    <w:p>
      <w:pPr>
        <w:spacing w:after="0" w:line="130" w:lineRule="exact"/>
        <w:rPr>
          <w:rFonts w:ascii="Times New Roman" w:cs="Times New Roman" w:eastAsia="Times New Roman" w:hAnsi="Times New Roman"/>
          <w:sz w:val="18"/>
          <w:szCs w:val="18"/>
          <w:b w:val="1"/>
          <w:bCs w:val="1"/>
          <w:color w:val="auto"/>
        </w:rPr>
      </w:pPr>
    </w:p>
    <w:p>
      <w:pPr>
        <w:ind w:left="1140" w:right="100" w:hanging="383"/>
        <w:spacing w:after="0" w:line="286" w:lineRule="auto"/>
        <w:tabs>
          <w:tab w:leader="none" w:pos="11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vivo models</w:t>
      </w:r>
      <w:r>
        <w:rPr>
          <w:rFonts w:ascii="Times New Roman" w:cs="Times New Roman" w:eastAsia="Times New Roman" w:hAnsi="Times New Roman"/>
          <w:sz w:val="18"/>
          <w:szCs w:val="18"/>
          <w:color w:val="auto"/>
        </w:rPr>
        <w:t>. Our direct structural insights and in vitro datasets are complemented by in vivo pharmacologic data generated through in-house animal models that provide us with bioavailability, PK data and anti-tumor activity in as little as five days.</w:t>
      </w:r>
    </w:p>
    <w:p>
      <w:pPr>
        <w:spacing w:after="0" w:line="15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Together, these three pillars of our platform provide a molecular SNÅPshot for our compound candidates. At this time, we are able to generate a molecular SNÅPshot for a compound candidate within one week. We believe that a sharp focus on efficiently generating these three key empirical datasets for compound candidates enables us to balance speed with the robust identification of pivotal insights to rapidly and precisely iterate the design of our novel molecular structures.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Overcoming First Generation FGFR Inhibitor Liabilities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have initially leveraged our SNÅP approach to develop novel small molecules designed to overcome the toxicity and resistance liabilities of prior generation pan-FGFR inhibitors. Four FGFR targeted therapies have been approved by the U.S. Food and Drug Administration (FDA) for oncology: erdafitinib for bladder cancer that has spread or cannot be removed by surgery, and pemigatinib, infigratinib and futibatinib for ICC with FGFR2-fusions or gene rearrangements (infigratinib was later withdrawn from the market effective March 31, 2023). These inhibitors have demonstrated clinical responses, however, response rates and duration of response are limited and come with toxicities driven by the inhibition of FGFR receptors 1, 2 and 4. FGFR1 is expressed in kidney cells where it regulates phosphate and calcium reabsorption, and consequently, inhibition of FGFR1 results in hyperphosphatemia. Inhibition of FGFR2 can result in toxicities that significantly impact quality of life, such as skin and nail toxicities (e.g., onycholysis and hand-foot syndrome), stomatitis, and ocular toxicities such as keratitis and blurred vision. Inhibition of FGFR4 disrupts bile acid metabolism and can result in diarrhea and elevated liver enzymes (AST and ALT). Hyperphosphatemia was a dose-limiting toxicity (DLT) of erdafitinib and was reported in over 70% of patients in the Phase 3 clinical trial conducted in mUC. Overall, Phase 3 AEs resulted in 72% dose interruptions, 69% dose reductions, and 14% treatment discontinuations. By way of example, we believe the safety and tolerability profile of erdafitinib is a key limitation to its efficacy, as demonstrated by the dosing instructions to start at a daily 8 mg dose, and only increase to 9 mg if hyperphosphatemia is not observed. A similarly high rate of FGFR-related toxicities has been reported in clinical trials of other non-isoform selective FGFR inhibitors including pemigatinib, infigratinib and futibatinib in pivotal studies for ICC. In addition to being limited by toxicity, patients can develop acquired drug resistance, ultimately resulting in disease progression and discontinuation of therapy.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FGFR3 Program for Urothelial Carcinoma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Dabogratinib for LG-UTUC and NMIBC</w:t>
      </w:r>
    </w:p>
    <w:p>
      <w:pPr>
        <w:spacing w:after="0" w:line="227"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FGFR3 is a protein receptor expressed on the cell surface that stimulates cellular proliferation upon binding of fibroblast growth factor. Uncontrolled activation of FGFR3 has been implicated in oncogenesis across the spectrum of urothelial carcinoma, and most frequently in the earliest stages of the disease.</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Dabogratinib was designed to be more selective for FGFR3 over FGFR1, FGFR2, and FGFR4, to minimize side effects resulting from inhibition of these related proteins and achieve greater potency against the FGFR3 driver mutation. Dabogratinib established clinical proof-of-concept in SURF301 in mUC, and is currently being studied in the global Phase 2a/b SURF303 trial in patients with LG-UTUC, as well as the global Phase 2 SURF302 trial in patients with IR NMIBC.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Disease background – urologic cancers</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Urothelial carcinoma (UC) is one of the most common malignancies of the genitourinary system. Urothelial carcinoma is classified anatomically, with tumors originating in the ureters and renal pelvis known as upper tract urothelial carcinoma (UTUC) and tumors originating in the lower tract referred to as bladder cancer. Across urothelial carcinoma, tumors are often characterized by histologic grade (low or high) as well as by invasiveness.</w:t>
      </w:r>
    </w:p>
    <w:p>
      <w:pPr>
        <w:spacing w:after="0" w:line="176"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UTUC is estimated to account for 5-10% of urothelial cancer cases and is defined as a rare disease. We estimate that approximately 50% of UTUC tumors are diagnosed at the non-invasive stage and that approximately 40% of non-invasive tumors present with low-grade histology.</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Lower tract urothelial carcinoma, or bladder cancer, is classified into three broad categories: NMIBC where the cancer is restricted to surface lining of the bladder, muscle invasive bladder cancer (MIBC), which is a cancer that has grown deeper into the bladder wall, and mUC, in which cancer has spread beyond the bladder. NMIBC comprises the largest population of bladder cancer patients, representing 70-75% of cases diagnosed annually in the United States. NMIBC can be categorized as low, intermediate and high risk for recurrence or progression, with a significant proportion categorized as intermediate and high risk.</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FGFR3 more commonly drives lower grade and more localized stages of urothelial carcinoma. The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incidence of activating FGFR3 mutations is estimated to be between 80-90% in LG-UTUC, 60-80% in IR NMIBC and 10-20% in mUC, making FGFR3 an attractive target for development and particularly in early-stage disease.</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2022, there were over 740,000 people living with bladder cancer and an estimated 50,000 people living with UTUC in the United States alone. We estimate that in 2025, approximately 185,000 US patients were seeking therapy for first-time treatment or to address a recurrence across LG-UTUC and bladder cancer. Applying FGFR3 alteration incidence to these estimates, we believe that approximately 80,000 FGFR3+ patients, including approximately 3,000 LG-UTUC patients and approximately 35,000 IR NMIBC patients, are addressable across bladder cancer in the United States alone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wp:posOffset>
            </wp:positionV>
            <wp:extent cx="5349240" cy="2383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Potential UTUC and bladder cancer patient populations for our FGFR3 inhibitor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LG-UTUC treatment landscape and unmet need</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Significant unmet need remains in treating patients with LG-UTUC who are at risk of kidney loss and dialysis. The structure of the upper tract, including ureter length, diameter and orientation, and intra-renal anatomy, present challenges with diagnosis and treatment. Repetitive kidney-sparing surgeries are the favored standard of care, but will miss up to 25% of UTUC tumors due to challenging anatomy and frequent multifocality, and comes with the risks of repeat general anesthesia and intra- and post-operative complications. 35–50% of all low grade UTUC tumors will recur within 3 years, with an even higher rate for large tumors. After one or more recurrences, patients often proceed to radical nephroureterectomy, which can result in chronic dialysis and increased cardiovascular morbidity and mortality.</w:t>
      </w:r>
    </w:p>
    <w:p>
      <w:pPr>
        <w:spacing w:after="0" w:line="18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Jelmyto, a mitomycin hydrogel, is the only non-surgical option approved for renal pelvis tumors 5–15mm in size, based on a 71-patient pivotal Phase 2 trial. Uptake has been limited due to modest efficacy (58% CR and 56% 12-month duration of response (DoR), high rates of local AEs (including 58% ureteric obstruction, 34% urinary tract infection (UTI) and 25% renal dysfunction), challenging administration (ureteral catheter with fluoroscopy or nephrostomy tube) and burdensome preparation (more than 40 steps over 45–60 minutes). A few additional locally-administered product candidates are currently in Phase 2 or 3 development for LG-UTUC.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NMIBC treatment landscape and unmet need</w:t>
      </w:r>
    </w:p>
    <w:p>
      <w:pPr>
        <w:spacing w:after="0" w:line="225"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NMIBC is one of the most recurrent of all cancers and current standard of care treatment comes with drawbacks. For low grade lesions, Transurethral Resection of Bladder Tumor (TURBT) with or without adjuvant intravesical chemotherapy is the standard of care, whereas high risk lesions should be treated with either adjuvant BCG or radical cystectomy. Repeat TURBT comes with risks and burden to patients, including the need to undergo general anesthesia and potential for AEs such as bladder perforation. Within the first two years of initial standard of care treatment, intermediate risk NMIBC recurrence rates are as high as 40% at two years. Zusduri, an intravesical chemotherapy hydrogel, is the single novel therapy approved for IR NMIBC, with only other intravesical therapies remaining in development.</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Phase 2 data for erdafitinib in NMIBC suggest the potential for FGFR inhibitors in this indication. In the final Phase 2 analysis, low dose oral erdafitinib demonstrated an 89% CR rate in IR NMIBC patients and notably, the 12-month DoR for those who remained on study drug was 100%. The safety and tolerability results were generally consistent with that known for erdafitinib, despite using a lower 6 mg daily dose in these studies. TAR-210, an erdafitinib-containing device implanted every three months via the urethra, also demonstrated a 90% CR rate in IR patients and 90% recurrence-free survival (RFS) in high-risk papillary patients as presented at AUA 2024. Johnson &amp; Johnson has initiated a Phase 3 trial for TAR-210 in low grade IR NMIBC patients and has not indicated plans to develop oral erdafitinib further in this setting.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solution, oral dabogratinib, in LG-UTUC and NMIBC</w:t>
      </w:r>
    </w:p>
    <w:p>
      <w:pPr>
        <w:spacing w:after="0" w:line="22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believe an orally administered, highly specific FGFR3-selective inhibitor, with minimal effects from other FGFR-related toxicities, has the potential to be highly efficacious and tolerable and represents a potentially large future market opportunity for patients with LG-UTUC and IR NMIBC.</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Designing inhibitors that bind to the ATP-binding site and that can selectively differentiate between FGFR3 and FGFR1 is challenging due to the near-identical amino acid sequence in this site. We utilized the differentiated approach of our SNÅP platform to generate compounds, including oral dabogratinib, that capitalize on subtle conformational differences between FGFR3 and FGFR1 to obtain greater than ten-fold selectivity for FGFR3 versus FGFR1. In comparison, other FGFR inhibitors that are approved or in clinical development such as erdafitinib, pemigatinib, futibatinib and infigratinib, have demonstrated low or no selectivity for FGFR3 over FGFR1 and FGFR2.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Oral dabogratinib clinical data from SURF301 Phase 1 proof-of-concept study</w:t>
      </w:r>
    </w:p>
    <w:p>
      <w:pPr>
        <w:spacing w:after="0" w:line="225"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SURF301 was designed as a proof-of-concept clinical study to determine the recommended Phase 2 dose of oral dabogratinib in cancer and skeletal dysplasia conditions. Treatment with oral dabogratinib was evaluated in patients with solid tumors across ten dose levels, ranging from 10 mg-120 mg QD, including 40 mg and 50 mg BID. This study is no longer recruiting new patients.</w:t>
      </w:r>
    </w:p>
    <w:p>
      <w:pPr>
        <w:spacing w:after="0" w:line="17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In October 2024, we reported interim data showing a 50% response rate (5/10) in FGFR3 positive patients who received 90 mg daily of oral dabogratinib, with a 100% disease control rate, and favorable safety results demonstrating infrequent FGFR2 and 1 associated toxicities.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94"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believe this data suggests that 90 mg QD is the optimal dose for further evaluation in the mUC setting, however, no further development is planned at this time due to our prioritized focus on what we believe are more attractive market opportunities. We expect to publish final Phase 1 results from SURF301 in a future scientific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123190</wp:posOffset>
            </wp:positionV>
            <wp:extent cx="5340350" cy="2734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035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At 90 mg QD, improved anti-tumor activity and tolerability were observed with oral dabogratinib as compared to erdafitinib</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Notably, at dose levels equal to or lower than 60 mg QD, including target dose levels for NMIBC and skeletal conditions, oral dabogratinib exhibited favorable interim safety results as of the data cutoff date. No hyperphosphatemia, ALT or AST increases, discontinuations or dose reductions were reported at doses equal to or below 60 mg QD.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54610</wp:posOffset>
            </wp:positionV>
            <wp:extent cx="5349240" cy="23914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FGFR-related toxicities were infrequent at lower doses</w:t>
      </w: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0" w:name="page11"/>
    <w:bookmarkEnd w:id="10"/>
    <w:p>
      <w:pPr>
        <w:spacing w:after="0" w:line="194"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18"/>
          <w:szCs w:val="18"/>
          <w:color w:val="auto"/>
        </w:rPr>
        <w:t>In the PK/PD analysis in 50 patients as of the data cutoff of August 15, 2024, oral dabogratinib plasma concentrations indicated adequate FGFR3 IC90 target coverage at ≥90 mg QD, the half maximal inhibitory concentration (IC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target coverage at 60 mg QD, with 40 mg QD nearly covering IC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132715</wp:posOffset>
            </wp:positionV>
            <wp:extent cx="5349240" cy="2280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Exposure at doses ≥90 mg and ≥60 mg exceeded FGFR3 IC</w:t>
      </w:r>
      <w:r>
        <w:rPr>
          <w:rFonts w:ascii="Times New Roman" w:cs="Times New Roman" w:eastAsia="Times New Roman" w:hAnsi="Times New Roman"/>
          <w:sz w:val="24"/>
          <w:szCs w:val="24"/>
          <w:b w:val="1"/>
          <w:bCs w:val="1"/>
          <w:color w:val="auto"/>
          <w:vertAlign w:val="subscript"/>
        </w:rPr>
        <w:t>90</w:t>
      </w:r>
      <w:r>
        <w:rPr>
          <w:rFonts w:ascii="Times New Roman" w:cs="Times New Roman" w:eastAsia="Times New Roman" w:hAnsi="Times New Roman"/>
          <w:sz w:val="18"/>
          <w:szCs w:val="18"/>
          <w:b w:val="1"/>
          <w:bCs w:val="1"/>
          <w:color w:val="auto"/>
        </w:rPr>
        <w:t xml:space="preserve"> and IC</w:t>
      </w:r>
      <w:r>
        <w:rPr>
          <w:rFonts w:ascii="Times New Roman" w:cs="Times New Roman" w:eastAsia="Times New Roman" w:hAnsi="Times New Roman"/>
          <w:sz w:val="24"/>
          <w:szCs w:val="24"/>
          <w:b w:val="1"/>
          <w:bCs w:val="1"/>
          <w:color w:val="auto"/>
          <w:vertAlign w:val="subscript"/>
        </w:rPr>
        <w:t>50</w:t>
      </w:r>
      <w:r>
        <w:rPr>
          <w:rFonts w:ascii="Times New Roman" w:cs="Times New Roman" w:eastAsia="Times New Roman" w:hAnsi="Times New Roman"/>
          <w:sz w:val="18"/>
          <w:szCs w:val="18"/>
          <w:b w:val="1"/>
          <w:bCs w:val="1"/>
          <w:color w:val="auto"/>
        </w:rPr>
        <w:t xml:space="preserve"> target coverage, respectively</w:t>
      </w:r>
    </w:p>
    <w:p>
      <w:pPr>
        <w:spacing w:after="0" w:line="233"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ctDNA analysis published in 18 FGFR3+ mUC patients with positive ctDNA at baseline show strong target engagement at 90 mg QD and activity at doses of 40 mg and 60 mg QD.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114300</wp:posOffset>
            </wp:positionV>
            <wp:extent cx="5349240" cy="2700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ctDNA changes in FGFR3+ mUC patients show activity at &gt;40 mg</w:t>
      </w:r>
    </w:p>
    <w:p>
      <w:pPr>
        <w:spacing w:after="0" w:line="229" w:lineRule="exact"/>
        <w:rPr>
          <w:sz w:val="20"/>
          <w:szCs w:val="20"/>
          <w:color w:val="auto"/>
        </w:rPr>
      </w:pPr>
    </w:p>
    <w:p>
      <w:pPr>
        <w:ind w:right="140" w:firstLine="749"/>
        <w:spacing w:after="0" w:line="289" w:lineRule="auto"/>
        <w:rPr>
          <w:sz w:val="20"/>
          <w:szCs w:val="20"/>
          <w:color w:val="auto"/>
        </w:rPr>
      </w:pPr>
      <w:r>
        <w:rPr>
          <w:rFonts w:ascii="Times New Roman" w:cs="Times New Roman" w:eastAsia="Times New Roman" w:hAnsi="Times New Roman"/>
          <w:sz w:val="17"/>
          <w:szCs w:val="17"/>
          <w:color w:val="auto"/>
        </w:rPr>
        <w:t>The totality of response, safety, PK/PD and ctDNA data from this study, as well as data from pan-FGFR inhibitors, were leveraged to select lower doses that we believe have the potential to achieve our target product profiles designed to optimize for efficacy and minimal FGFR 1 / 2 / 4 toxicity for in our Phase 2 studies and beyond. These data were presented in a poster at the ASCO Genitourinary Cancer Symposium meeting in February 2026.</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clinical development plans for oral dabogratinib in LG-UTUC and NMIBC</w:t>
      </w:r>
    </w:p>
    <w:p>
      <w:pPr>
        <w:spacing w:after="0" w:line="225"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We believe that the full development potential for oral dabogratinib may cover the entire spectrum of disease in urothelial carcinoma and may represent a large opportunity given the high prevalence of FGFR3 mutations and the potential to treat earlier disease.</w:t>
      </w:r>
    </w:p>
    <w:p>
      <w:pPr>
        <w:spacing w:after="0" w:line="162"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In November 2025, we announced that an Investigational New Drug application (IND) was cleared by the FDA to enable SURF303, a global, open-label, multicenter Phase 2a/b clinical study evaluating the efficacy and safety of oral dabogratinib in participants with LG-UTUC. In Part A, up to 25 participants are being randomized initially to treatment with oral dabogratinib at 60 mg QD or treatment with oral dabogratinib at 80 mg QD, respectively. Following a review of available efficacy and safety results within Part A, an additional dosing cohort may be evaluated. The primary endpoint is CR rate within six months in FGFR3+ patients. Secondary endpoints include CR within 6 months in all comers, duration of response, safety and tolerability, and conversion of unresectable to resectable disease. Part B was designed as a potential registrational trial and will recruit up to 100 patients at the recommended Phase 2 dose. The first patient in this study is anticipated to be dosed in 2026.</w:t>
      </w:r>
    </w:p>
    <w:p>
      <w:pPr>
        <w:spacing w:after="0" w:line="189" w:lineRule="exact"/>
        <w:rPr>
          <w:sz w:val="20"/>
          <w:szCs w:val="20"/>
          <w:color w:val="auto"/>
        </w:rPr>
      </w:pPr>
    </w:p>
    <w:p>
      <w:pPr>
        <w:ind w:right="80" w:firstLine="749"/>
        <w:spacing w:after="0" w:line="277" w:lineRule="auto"/>
        <w:rPr>
          <w:sz w:val="20"/>
          <w:szCs w:val="20"/>
          <w:color w:val="auto"/>
        </w:rPr>
      </w:pPr>
      <w:r>
        <w:rPr>
          <w:rFonts w:ascii="Times New Roman" w:cs="Times New Roman" w:eastAsia="Times New Roman" w:hAnsi="Times New Roman"/>
          <w:sz w:val="17"/>
          <w:szCs w:val="17"/>
          <w:color w:val="auto"/>
        </w:rPr>
        <w:t>In August 2025, we announced that the first patient was dosed in SURF302, a global, open-label, multicenter Phase 2 clinical study evaluating the efficacy and safety of oral dabogratinib in participants with FGFR3-altered low-grade, IR NMIBC. Up to 30 participants are being randomized initially to treatment with oral dabogratinib at 50 mg QD or treatment with oral dabogratinib at 60 mg QD, respectively. Following a review of available efficacy and safety results, an additional dosing cohort may be evaluated, if necessary. The primary endpoint is CR rate at three months. Secondary endpoints include time to recurrence, the median duration of response, Recurrence Free Survival (RFS), Progression Free Survival (PFS), safety and tolerability.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FGFR3 Program for Skeletal Conditions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Dabogratinib for ACH and Skeletal Conditions</w:t>
      </w:r>
    </w:p>
    <w:p>
      <w:pPr>
        <w:spacing w:after="0" w:line="227"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Alterations in FGFR3 are implicated in skeletal conditions due to its role in regulating bone and cartilage formation. We believe that there is a significant opportunity to develop oral dabogratinib to potentially address the long-term complications associated with these skeletal conditions including ACH, hypochondroplasia (HCH), Turner syndrome, Short Stature Homeobox (SHOX) deficiency, other FGFR3-driven genetic syndromes and idiopathic short stature.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Disease background</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FGFR3 is expressed in growth plate chondrocytes (cartilage cells) where it functions in signaling pathways to limit growth. The G380R mutation in FGFR3, which causes an estimated 99% of ACH, as well as other activating mutations, increases FGFR3 activity, resulting in excessive limitation of growth in the long bones, vertebral bodies and skull base. In children with ACH, the most common form of dwarfism, these growth differences can result in life-long health complications such as sleep apnea, obesity, recurrent ear infections, and bowed legs. The most serious sequelae include spinal stenosis (narrowing of the spinal canal); up to 20% of infants require surgery to address narrowing at the base of the skull (foramen magnum stenosis), which can be life-threatening; in adults, spinal stenosis of the lower back results in chronic pain, necessitating surgery and long-term pain management.</w:t>
      </w:r>
    </w:p>
    <w:p>
      <w:pPr>
        <w:spacing w:after="0" w:line="187"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ACH is an autosomal dominant condition that occurs in approximately 1 in 15,000 to 40,000 newborns worldwide, and it is estimated that there are approximately 3,000 affected individuals under the age of 18 in the United States and approximately 23,000 addressable, affected individuals under the age of 18 worldwide. Approximately 80% of ACH cases arise through a spontaneous mutation of FGFR3, whereas 20% of cases are familial.</w:t>
      </w:r>
    </w:p>
    <w:p>
      <w:pPr>
        <w:spacing w:after="0" w:line="176"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FGFR3 is implicated in multiple additional skeletal conditions, including HCH, which is most commonly caused by the N540K mutation (approximately 70-80%) in the FGFR3 gene. SHOX is a transcription factor for FGFR3 and deletion of the SHOX gene in Turner syndrome and SHOX deficiency commonly presents with short stature.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treatment landscape and unmet need</w:t>
      </w:r>
    </w:p>
    <w:p>
      <w:pPr>
        <w:spacing w:after="0" w:line="225"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ACH had been managed primarily through surgical and physical therapy intervention until the accelerated approval of Voxzogo (vosoritide) in 2021. Voxzogo is a daily injected C-natriuretic peptide (CNP) analog, which acts downstream of FGFR3. In a pivotal study, children treated with 15 mg/kg of Voxzogo achieved 5.66 cm/year in AHV, a 1.40 cm improvement over 4.26 cm baseline. Children in the Phase 2 trial treated with 15 mg/kg achieved</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5.91 cm/year AHV, 1.87 cm improvement over 4.04 cm baseline. Children treated with 30 mg/kg saw a lower change from baseline, suggesting the CNP pathway activity is potentially dose-limited in FGFR3-driven conditions. Yuviwel (TransCon CNP), a prodrug of CNP administered to children with ACH by injection on a weekly basis, showed similar efficacy in Phase 3 and was approved by the FDA in February 2026. BridgeBio is developing infigratinib, a daily oral, low-dose FGFR1/2/3 inhibitor, which achieved 5.96 cm/yr AHV and a 1.74 cm/yr improvement over 4.22 cm/yr baseline in a Phase 3 study. BridgeBio previously published that adult doses above 0.33 mg/kg are limited by hyperphosphatemia and to date they have not exceeded the 0.25 mg/kg dose in clinical studies for pediatric skeletal conditions. BioMarin disclosed that prolonged treatment with Voxzogo could result in a final adult height improvement of 26 cm or more in ACH, potentially 20 cm (approximately 8 inches) less than average height for adult males without ACH, pointing to remaining unmet need. To reach final average male stature, 2.7 cm/yr AHV improvement would be needed over 17 years, and, to our knowledge, no approved or pipeline product candidates have achieved this to-date.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solution, oral dabogratinib, in ACH</w:t>
      </w:r>
    </w:p>
    <w:p>
      <w:pPr>
        <w:spacing w:after="0" w:line="225"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By engaging FGFR3 selectively at higher, safe doses, oral dabogratinib may have the potential to meaningfully improve height, health and functional outcomes beyond what can be achieved with current therapies in development for children with ACH, HCH, Turner syndrome, SHOX deficiency, other FGFR3-driven genetic syndromes and idiopathic short stature. Based on the population size and potential addressable unmet need, we believe ACH alone represents a large future market opportunity for oral dabogratinib.</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the Imagine Institute’s FGFR3Y367C/+ preclinical model, oral dabogratinib administered daily at a 1.2 mg/kg dose for 15 days, increased body length in mice by 17.9% compared to the vehicle (p&lt;0.0001) and increased the length of the femur (+22.6%), tibia (+33.0%) and L4-L6 (+23.5%) in mice (p&lt;0.0001). 1.2 mg/kg in mice roughly equates to a 0.5 mg/kg dose in children and a 40 mg dose in adults. Oral dabogratinib also demonstrated increases in long bone length in the Imagine Institute’s HCH mouse model.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Development plans for oral dabogratinib in ACH</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August 2025, we announced that the first child was dosed in BEACH301, a global, Phase 2, multi-center, open-label clinical trial of oral dabogratinib for children ages 3 to 10 with ACH with open growth plates. The primary objective of the study is to assess safety and tolerability in children with ACH and evaluate change from baseline in annualized growth velocity to determine the dose(s) for further development. Secondary objectives include evaluating change from baseline in height z-score, proportionality and PK.</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study is initially enrolling a safety sentinel cohort of 3 or more children, ages 5 to 10, per dose level (0.125, 0.25, 0.375, 0.50 mg/kg). The study is also enrolling children who are treatment-naïve (Cohort 1) and those who have received prior growth-accelerating therapy (Cohort 2) ages 3-10 at multiple sites across the globe. Cohorts 1 and 2 are anticipated to initiate treatment after completion of safety sentinel dose escalation and a six-month observation period, with each cohort expecting to enroll up to 10 participants per dose level.</w:t>
      </w:r>
    </w:p>
    <w:p>
      <w:pPr>
        <w:spacing w:after="0" w:line="180"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We have cleared the first two doses in the safety sentinel cohort and are currently dosing children at the third safety sentinel dose level of 0.375 mg/kg and we expect to report initial data from the safety sentinel cohort of the BEACH301 study in the second half of 2026.</w:t>
      </w:r>
    </w:p>
    <w:p>
      <w:pPr>
        <w:spacing w:after="0" w:line="162" w:lineRule="exact"/>
        <w:rPr>
          <w:sz w:val="20"/>
          <w:szCs w:val="20"/>
          <w:color w:val="auto"/>
        </w:rPr>
      </w:pPr>
    </w:p>
    <w:p>
      <w:pPr>
        <w:ind w:right="900" w:firstLine="749"/>
        <w:spacing w:after="0" w:line="282" w:lineRule="auto"/>
        <w:rPr>
          <w:sz w:val="20"/>
          <w:szCs w:val="20"/>
          <w:color w:val="auto"/>
        </w:rPr>
      </w:pPr>
      <w:r>
        <w:rPr>
          <w:rFonts w:ascii="Times New Roman" w:cs="Times New Roman" w:eastAsia="Times New Roman" w:hAnsi="Times New Roman"/>
          <w:sz w:val="18"/>
          <w:szCs w:val="18"/>
          <w:color w:val="auto"/>
        </w:rPr>
        <w:t>In July 2023 and January 2024, the FDA granted orphan drug designation and rare pediatric disease designation to oral dabogratinib, respectively, for the treatment of ACH.</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FGF19+ Program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TYRA-430 for Hepatocellular Carcinoma</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FGF19 is a post-prandial enterohepatic hormone that signals through FGFR4 and its associated co-receptor Beta-Klotho (KLB) to exert its normal cellular functions. In a subset of certain cancers, such as HCC, gastric adenocarcinoma, and squamous esophageal carcinoma, FGF19 is aberrantly expressed due to focal chromosomal amplifications or epigenetic mechanisms, promoting tumor cells to become dependent on the FGFR4/KLB/FGF19 oncogenic axis.</w:t>
      </w:r>
    </w:p>
    <w:p>
      <w:pPr>
        <w:spacing w:after="0" w:line="180"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An experiment run by Tao et al (2022) demonstrated a greater dependence of HCC JHH-7 cells on KLB, the common co-receptor for FGFR3 and FGFR4, than on either receptor alone. This is also consistent with the results of the double knock down of FGFR3 and 4 being more deleterious than knock down of either receptor alone, suggesting the need for dual inhibition of FGFR3 or FGFR4.</w:t>
      </w:r>
    </w:p>
    <w:p>
      <w:pPr>
        <w:spacing w:after="0" w:line="176"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TYRA-430 is an investigational FGFR4/3 biased inhibitor for FGF19+/FGFR4-driven cancers that is designed to be agnostic to acquired resistance mechanisms originating from the V550 gatekeeper and the C552 mutations.</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April 2025, we commenced our Phase 1 clinical trial of TYRA-430, SURF431, a multi-center, open label study designed to evaluate the safety, tolerability, and PK of TYRA-430 and determine the optimal dose for further development, the maximum tolerated dose (MTD) and recommended Phase 2 dose (RP2D), as well as evaluate preliminary antitumor activity in advanced HCC and other solid tumors with activating FGF/FGFR pathway aberrations. We believe TYRA-430 has the potential to address a significant unmet need in HCC, where there are no approved biomarker-driven, targeted therapies.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FGFR2 Program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TYRA-200 for ICC</w:t>
      </w:r>
    </w:p>
    <w:p>
      <w:pPr>
        <w:spacing w:after="0" w:line="22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FGFR2 is a protein receptor present on the cell surface that promotes cellular proliferation and transformation upon binding of fibroblast growth factor. Activating gene alterations of FGFR2 have been implicated in the tumorigenesis of multiple solid tumor types.</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TYRA-200 is an investigational, oral, FGFR1/2/3 inhibitor designed to be active against activating FGFR2 gene alterations, as well as clinically important molecular brake and gatekeeper resistance mutations, and selective for FGFR4. We are focusing initial Phase 1 development of TYRA-200 in FGFR2-driven ICC resistant to treatment with prior FGFR inhibitors.</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December 2023, we commenced our Phase 1 clinical trial of TYRA-200, SURF201, a multi-center, open label study designed to evaluate the safety, tolerability, and PK of TYRA-200 and determine the optimal dose for further development, the MTD and RP2D, as well as evaluate preliminary antitumor activity. SURF201 is currently enrolling ICC patients with acquired kinase domain mutations. Positive data in this setting, where other FGFR inhibitors have not succeeded, would potentially provide confidence in our belief that addressing acquired resistance may prolong the duration of responses, and ultimately PFS, in the FGFR-naive setting.</w:t>
      </w:r>
    </w:p>
    <w:p>
      <w:pPr>
        <w:spacing w:after="0" w:line="183"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Beyond FGFR-resistant and FGFR-naive ICC, there is potential for TYRA-200 to extend into metastatic endometrial carcinoma as well as advanced colorectal, breast, ovarian, gastric, and lung cancer.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Discovery Engine</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We continue to leverage the SNÅP platform in the discovery and development of additional, undisclosed preclinical programs. These efforts are focused in the field of FGFR biology as well as other targets that are important drivers for opportunities across precision oncology and genetically defined conditions.</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 w:name="page15"/>
    <w:bookmarkEnd w:id="1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products. While we believe that our technology, technical expertise, and drug development experience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and/or new therapies that may become available in the future.</w:t>
      </w:r>
    </w:p>
    <w:p>
      <w:pPr>
        <w:spacing w:after="0" w:line="183"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financial resources, established presence in the market, expertise in manufacturing, research and development, pre-clinical activities and clinical trial conduct. Additionally, many of our competitors are commercial-stage entities with experience in obtaining regulatory approvals and reimbursement for marketed approved products.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larger and/or established companies. Additional mergers and acquisitions may result in even more resources being concentrated in our competitors.</w:t>
      </w:r>
    </w:p>
    <w:p>
      <w:pPr>
        <w:spacing w:after="0" w:line="18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more effective, have a more favorable safety profile, and are more convenient or less expensive than products that we may develop. Our competitors also may obtain FDA or other foreign regulatory approval(s) for their products more rapidly than us, which could result in our competitors establishing a strong market position before we are able to enter the market or could otherwise make our development more complicated. We believe the key competitive factors affecting the success of all of our programs are likely to be efficacy, including duration of human response and breadth of coverage, safety and patient convenience.</w:t>
      </w:r>
    </w:p>
    <w:p>
      <w:pPr>
        <w:spacing w:after="0" w:line="183"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There are numerous companies developing or marketing treatments for cancer, including many major pharmaceutical and biotechnology companies. These treatments consist of small molecule drug products, biologics, cellular therapies, and traditional chemotherapy.</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For oral dabogratinib in LG-UTUC, the only agent commercially available is Urogen’s Jelmyto, a hydrogel reformulation of mitomycin C, which was approved in April of 2020. Additional agents in Phase 2 or 3 development include Steba Biotech’s TOOKAD Vascular Photodynamic Therapy, Ferring’s nadofaragene firadenovec and Sustained Therapeutics’ ST-02.</w:t>
      </w:r>
    </w:p>
    <w:p>
      <w:pPr>
        <w:spacing w:after="0" w:line="176"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For oral dabogratinib in IR NMIBC, the only agent commercially available beyond intravesical BCG or chemotherapy is Urogen’s Zusduri, a hydrogel reformulation of mitomycin C, which was approved in June of 2025. Additional agents in Phase 3 development include Janssen Pharmaceutical’s TAR-210, CG Oncology’s crestostimogene grenadenorepvec and Ferring’s nadofaragene firadenovec.</w:t>
      </w:r>
    </w:p>
    <w:p>
      <w:pPr>
        <w:spacing w:after="0" w:line="176"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For oral dabogratinib in ACH, BioMarin’s Voxzogo and Ascendis’ Yuviwel (TransCon CNP) are approved for children of any age with open growth plates. BridgeBio’s infigratinib has published topline Phase 3 results. Ascendis published Phase 2 data on TransCon CNP and TransCon Human Growth Hormone and BioMarin is studying BMN-333, a long-acting CNP in Phase 1 development.</w:t>
      </w:r>
    </w:p>
    <w:p>
      <w:pPr>
        <w:spacing w:after="0" w:line="17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For oral dabogratinib in HCH, BioMarin’s vosoritide is in Phase 3 development, BridgeBio’s infigratinib has initiated a Phase 2/3 study and Ascendis has disclosed plans to initiate a clinical study. BioMarin has also initiated a Phase 2 basket trial for vosoritide in children with Turner syndrome, SHOX Deficiency and Noonan Syndrome without sufficient response to human growth hormone, in addition to a Phase 2 study for children with idiopathic short stature.</w:t>
      </w:r>
    </w:p>
    <w:p>
      <w:pPr>
        <w:spacing w:after="0" w:line="180"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For TYRA-430 in HCC, several multi-kinase inhibitors have been approved for the treatment of HCC, but there are currently no approved targeted therapies, including FGFR4-specific inhibitors. In the late line setting, approved, non-targeted treatment options include Bayer’s Stivarga, Exelixis’ Cabometyx, Eli Lilly’s Cyramza,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Merck’s Keytruda and BMS’ Opdivo combined with Yervoy. There are a number of FGFR4 clinical stage programs, with most of the development focused in China, including CStone Pharmaceuticals and Blueprint Medicine’s BLU-554 (fisogatinib), Everest Medicine’s FGF401 and Abbisko Therapeutics’ ABSK-011.</w:t>
      </w:r>
    </w:p>
    <w:p>
      <w:pPr>
        <w:spacing w:after="0" w:line="176"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For TYRA-200 in ICC, there are two pan-FGFR inhibitors available in the United States that are indicated for the treatment of adults with previously treated, unresectable locally advanced or metastatic cholangiocarcinoma with a FGFR2 fusion or other rearrangement: Incyte Corporation’s Pemazyre and Taiho Oncology’s Lytgobi. Additional inhibitors in development include Elevar’s Lirafugratinib, TransThera’s tinengotinib and Cogent’s CGT-4859.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strive to protect the intellectual property and proprietary technology that we consider important to our business through a variety of methods, including seeking and maintaining patents intended to cover our product candidates and compositions, their methods of use and processes for their manufacture, and any other inventions that are important to our business. We rely on know-how and continuing technological innovation to develop and maintain our proprietary position. We also rely on trade secrets and know-how that may be important to the development of our business. We seek to obtain domestic and international patent protection and endeavor to promptly file patent applications for new commercially valuable inventions to expand our intellectual property portfolio.</w:t>
      </w:r>
    </w:p>
    <w:p>
      <w:pPr>
        <w:spacing w:after="0" w:line="18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are building a patent portfolio and have substantial confidential know-how relating to our product candidates and SNÅP platform. As of March 1, 2026, our intellectual property portfolio consists of three granted U.S. patents, 11 pending U.S. provisional applications, 10 pending U.S. nonprovisional applications, 100 pending foreign patent applications, five granted foreign patents and 15 patent applications pursuant to the Patent Cooperation Treaty (PCT), all of which are solely owned by us. We do not license any material patent rights from any third party. Collectively, our patent rights relate to various aspects of our product candidates.</w:t>
      </w:r>
    </w:p>
    <w:p>
      <w:pPr>
        <w:spacing w:after="0" w:line="183" w:lineRule="exact"/>
        <w:rPr>
          <w:sz w:val="20"/>
          <w:szCs w:val="20"/>
          <w:color w:val="auto"/>
        </w:rPr>
      </w:pPr>
    </w:p>
    <w:p>
      <w:pPr>
        <w:ind w:right="480" w:firstLine="749"/>
        <w:spacing w:after="0" w:line="261" w:lineRule="auto"/>
        <w:rPr>
          <w:sz w:val="20"/>
          <w:szCs w:val="20"/>
          <w:color w:val="auto"/>
        </w:rPr>
      </w:pPr>
      <w:r>
        <w:rPr>
          <w:rFonts w:ascii="Times New Roman" w:cs="Times New Roman" w:eastAsia="Times New Roman" w:hAnsi="Times New Roman"/>
          <w:sz w:val="18"/>
          <w:szCs w:val="18"/>
          <w:color w:val="auto"/>
        </w:rPr>
        <w:t>We continually assess and refine our intellectual property strategy as we develop new product candidates and improvements to our SNÅP platform. To that end, we are prepared to file additional patent applications in any appropriate fields if our intellectual property strategy requires such filings, or where we seek to adapt to competition or seize business opportunities. Further, we are prepared to file patent applications, as we consider appropriate under the circumstances, relating to the new technologies that we develop.</w:t>
      </w:r>
    </w:p>
    <w:p>
      <w:pPr>
        <w:spacing w:after="0" w:line="180"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We cannot be sure that patents will be granted with respect to any of our pending patent applications or with respect to any patent applications we may own or license in the future, nor can we be sure that any patents we may own or license in the future will be useful in protecting our technology. Please see the section entitled “Risk Factors—Risks Related to Our Intellectual Property” for additional information on the risks associated with our intellectual property strategy and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Relating to Our FGFR3 Program</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With regard to our FGFR3 product candidates, as of March 1, 2026, we own three pending U.S. provisional applications, four pending U.S. nonprovisional applications, three granted U.S. patent, 10 pending PCT patent applications, 53 pending foreign applications and four granted foreign patents. These patent rights relate to the FGFR3 product candidates’ compositions of matter, formulations containing them, methods of manufacturing, and methods of treating diseases, using our FGFR3 product candidates. Specifically, we have two granted U.S. patents, four granted foreign patents and 28 pending foreign patent applications directed to the composition matter of our leading candidate in the FGFR3 program. We expect any patents issued from these applications to expire between 2040 and 2046 without accounting for any patent term adjustment or extension that may be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Relating to Our FGFR2 Program</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With regard to our FGFR2 program, as of March 1, 2026, we own three pending U.S. provisional applications, two pending U.S. nonprovisional applications, one pending PCT patent application, one granted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foreign patent and 16 pending foreign applications. These patent rights relate to the FGFR2 program’s compositions of matter, formulations containing them, methods of manufacturing, and methods of treating diseases. Specifically, we have one pending U.S. nonprovisional and 15 pending foreign patent applications directed to the composition matter of our leading candidate in the FGFR2 program. We expect any patents issued from these applications to expire between 2040 and 2046 without accounting for any patent term extension that may be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Relating to Other Programs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With regard to our other programs, including the FGFR4 program, as of March 1, 2026, we own five pending U.S. provisional patent applications, four pending U.S. nonprovisional applications, four pending PCT patent applications and 32 pending foreign applications. These patent rights relate to these other programs’ compositions of matter, formulations containing them, methods of manufacturing, and methods of treating diseases. We expect any patents issued from these applications to expire between 2042 and 2046 without accounting for any patent term extension that may be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Scope and Duration of Intellectual Property Protection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laws of the countries in which they are obtained. In most countries in which we file, the patent term is 20 years from the earliest date of filing of a non-provisional patent application. However, the term of United States patents may be extended for delays incurred due to compliance with the FDA requirements or by delays encountered during prosecution that are caused by the USPTO. For example, for drugs that are regulated by the FDA under the Hatch-Waxman Act, the FDA is permitted to extend the term of a patent that covers such drug for up to five years beyond the normal expiration date of the patent, provided that the extended patent term may not exceed fourteen years after the date of approval of the marketing application. In the future, if and when our product candidates receive FDA approval, we expect to apply for patent term extensions on any issued U.S. patents covering those product candidates. We intend to seek patent term extensions for our current and future issued patents in jurisdictions where these are available; however, there is no guarantee that the applicable authorities, including the USPTO and FDA, will agree with our assessment of whether such extensions should be granted, and even if granted, the length of such extensions. Our issued patent and any patents issuing from our pending patent applications are expected to expire on dates ranging from 2040 to 2046, without accounting for potentially available patent term extensions or patent term adjustments.</w:t>
      </w:r>
    </w:p>
    <w:p>
      <w:pPr>
        <w:spacing w:after="0" w:line="219"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 of oncology therapy has emerged in the United States. The patent situation outside of the United States is even more uncertain. Changes in the patent laws and rules, either by legislation, judicial decisions, or regulatory interpretation in the United States and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We cannot be sure that patents will be granted with respect to any of our pending patent applications or with respect to any patent applications filed by us in the future, nor can we be sure that any of our current or future patents will be commercially useful in protecting our product candidates and the methods used to manufacture them. Moreover, our current or future patents may not guarantee us the right to practice our technology in relation to the commercialization of our product candidates.</w:t>
      </w:r>
    </w:p>
    <w:p>
      <w:pPr>
        <w:spacing w:after="0" w:line="194"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area of patent and other intellectual property rights in biotechnology is an evolving one with many risks and uncertainties, and third parties may have blocking patents that could be used to prevent us from commercializing our product candidates and practicing our proprietary technology. Our current or future patents may be challenged, narrowed, circumvented or invalidated, which could limit our ability to stop competitors from</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marketing related product candidates or limit the length of the term of patent protection that we may have for our product candidates. In addition, the rights granted under our current or future issued patents may not provide us with protection or competitive advantages against competitors with similar technology. Furthermore, our competitors may independently develop similar technologies. For these and other reasons, we may have competition for our product candidates. Moreover, because of the extensive time required for development, testing and regulatory review of a potential product, it is possible that before any product candidate can be commercialized, any related patent may expire or remain in force for only a short period following commercialization, thereby reducing any protection afforded by the patent. For this and other risks related to our proprietary technology, inventions, improvements, SNÅP platform and product candidates, please see the section entitled “Risk Factors—Risks Related to Our Intellectual Property.”</w:t>
      </w:r>
    </w:p>
    <w:p>
      <w:pPr>
        <w:spacing w:after="0" w:line="189"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We have filed applications for trademark registrations in connection with our product candidates in various jurisdictions, including the United States. We have filed for trademark protection of the TYRA, TYRA BIOSCIENCES and HEALTH BEYOND HEIGHT marks with the United States Patent and Trademark Office and certain foreign patent and trademark organizations. We have registered trademarks in the United States and other jurisdictions.</w:t>
      </w:r>
    </w:p>
    <w:p>
      <w:pPr>
        <w:spacing w:after="0" w:line="180" w:lineRule="exact"/>
        <w:rPr>
          <w:sz w:val="20"/>
          <w:szCs w:val="20"/>
          <w:color w:val="auto"/>
        </w:rPr>
      </w:pPr>
    </w:p>
    <w:p>
      <w:pPr>
        <w:ind w:right="80" w:firstLine="749"/>
        <w:spacing w:after="0" w:line="252" w:lineRule="auto"/>
        <w:rPr>
          <w:sz w:val="20"/>
          <w:szCs w:val="20"/>
          <w:color w:val="auto"/>
        </w:rPr>
      </w:pPr>
      <w:r>
        <w:rPr>
          <w:rFonts w:ascii="Times New Roman" w:cs="Times New Roman" w:eastAsia="Times New Roman" w:hAnsi="Times New Roman"/>
          <w:sz w:val="18"/>
          <w:szCs w:val="18"/>
          <w:color w:val="auto"/>
        </w:rPr>
        <w:t>We also rely on trade secret protection for our confidential and proprietary information. Although we take steps to protect our confidential and proprietary information as trade secrets, including through contractual means with our employees, consultants, outside scientific collaborators, sponsored researchers and other advisors,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under the commencement of employment or consulting relationships with us. These agreements provide that all confidential information concerning our business or financial affairs developed or made known to the individual during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 Despite these efforts, we cannot provide any assurances that all such agreements have been duly executed, and any of these parties may breach the agreements and disclose our proprietary information, and we may not be able to obtain adequate remedies for such breaches.</w:t>
      </w:r>
    </w:p>
    <w:p>
      <w:pPr>
        <w:spacing w:after="0" w:line="19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For more information, please see the section entitled “Risk Factors—Risks Related to Our Intellectual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rely, and expect to continue to rely, on third parties for the manufacture of our product candidates undergoing preclinical testing, as well as for subsequent clinical testing and commercial manufacture if our product candidates receive marketing approval. We believe this strategy allows us to focus our expertise and resources on the development of our product candidates by eliminating the need for us to invest in our own manufacturing facilities, equipment and personnel.</w:t>
      </w:r>
    </w:p>
    <w:p>
      <w:pPr>
        <w:spacing w:after="0" w:line="180"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We plan to put agreements in place with contract manufacturing organizations for the necessary quantities of active pharmaceutical ingredients (API) and drug product for each of our product candidates, on a project-by-project basis, based on our development needs.</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As we advance our product candidates through development, we will explore adding backup suppliers for the API and drug product for each of our product candidates to protect against any potential supply disruptions.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New Drug Application (NDA) process before it may be legally marketed in the United States.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 the expenditure of substantial time and financial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22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(the FDCA) and its implementing regulations. The process of obtaining regulatory approvals and the subsequent compliance with appropriate federal, state, local and foreign statutes and regulations require the expenditure of substantial time and financial resources. The process required by the FDA before a drug may be marketed in the United States generally involves the following:</w:t>
      </w:r>
    </w:p>
    <w:p>
      <w:pPr>
        <w:spacing w:after="0" w:line="139" w:lineRule="exact"/>
        <w:rPr>
          <w:sz w:val="20"/>
          <w:szCs w:val="20"/>
          <w:color w:val="auto"/>
        </w:rPr>
      </w:pPr>
    </w:p>
    <w:p>
      <w:pPr>
        <w:ind w:left="1140" w:right="48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certain preclinical laboratory tests, animal studies and formulation studies in accordance with FDA’s Good Laboratory Practice (GLP) requirements and other applicable regulations;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each trial may be initiated;</w:t>
      </w:r>
    </w:p>
    <w:p>
      <w:pPr>
        <w:spacing w:after="0" w:line="184"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(GCPs) to establish the safety and efficacy of the proposed drug for its intended use;</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an NDA after completion of all pivotal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98"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Practice (cGMP) or similar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153" w:lineRule="exact"/>
        <w:rPr>
          <w:sz w:val="20"/>
          <w:szCs w:val="20"/>
          <w:color w:val="auto"/>
        </w:rPr>
      </w:pPr>
    </w:p>
    <w:p>
      <w:pPr>
        <w:ind w:left="1140" w:right="320"/>
        <w:spacing w:after="0" w:line="282" w:lineRule="auto"/>
        <w:rPr>
          <w:sz w:val="20"/>
          <w:szCs w:val="20"/>
          <w:color w:val="auto"/>
        </w:rPr>
      </w:pPr>
      <w:r>
        <w:rPr>
          <w:rFonts w:ascii="Times New Roman" w:cs="Times New Roman" w:eastAsia="Times New Roman" w:hAnsi="Times New Roman"/>
          <w:sz w:val="18"/>
          <w:szCs w:val="18"/>
          <w:color w:val="auto"/>
        </w:rPr>
        <w:t>foreign requirements to assure that the facilities, methods and controls are adequate to preserve the drug’s identity, strength, quality and purity;</w:t>
      </w:r>
    </w:p>
    <w:p>
      <w:pPr>
        <w:spacing w:after="0" w:line="135" w:lineRule="exact"/>
        <w:rPr>
          <w:sz w:val="20"/>
          <w:szCs w:val="20"/>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FDA audit of select clinical trial sites to assure compliance with GCP;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particular indications for use in the United States.</w:t>
      </w:r>
    </w:p>
    <w:p>
      <w:pPr>
        <w:spacing w:after="0" w:line="225"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United States, a sponsor must submit an IND to the FDA. An IND is a request for allowance from the FDA to administer an investigational drug product to humans. The central focus of an IND submission is on the general investigational plan and the protocol(s) for clinical studies. The IND also includes results of animal and in vitro studies assessing the toxicology, PK, pharmacology, and 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 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allowance to begin a clinical trial.</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among other things,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85" w:lineRule="exact"/>
        <w:rPr>
          <w:sz w:val="20"/>
          <w:szCs w:val="20"/>
          <w:color w:val="auto"/>
        </w:rPr>
      </w:pPr>
    </w:p>
    <w:p>
      <w:pPr>
        <w:ind w:left="1140" w:right="180" w:hanging="383"/>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53" w:lineRule="exact"/>
        <w:rPr>
          <w:sz w:val="20"/>
          <w:szCs w:val="20"/>
          <w:color w:val="auto"/>
        </w:rPr>
      </w:pPr>
    </w:p>
    <w:p>
      <w:pPr>
        <w:ind w:left="1140" w:right="74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w:t>
      </w:r>
    </w:p>
    <w:p>
      <w:pPr>
        <w:spacing w:after="0" w:line="134" w:lineRule="exact"/>
        <w:rPr>
          <w:rFonts w:ascii="Times New Roman" w:cs="Times New Roman" w:eastAsia="Times New Roman" w:hAnsi="Times New Roman"/>
          <w:sz w:val="18"/>
          <w:szCs w:val="18"/>
          <w:color w:val="auto"/>
        </w:rPr>
      </w:pPr>
    </w:p>
    <w:p>
      <w:pPr>
        <w:ind w:left="1140" w:right="20" w:hanging="383"/>
        <w:spacing w:after="0" w:line="26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labeling.</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some cases, the FDA may require, or sponsors may voluntarily pursue, additional clinical trials after a product is approved to gain more information about the product. These clinical trials, sometimes referred to as Phase 4 studies, may be used to gain additional experience from the treatment of patients in the intended therapeutic indication. In certain instances, the FDA may mandate the performance of Phase 4 clinical trials as a condition of approval of an NDA.</w:t>
      </w:r>
    </w:p>
    <w:p>
      <w:pPr>
        <w:spacing w:after="0" w:line="18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or similar foreign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w:t>
      </w:r>
    </w:p>
    <w:p>
      <w:pPr>
        <w:spacing w:after="0" w:line="22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including results from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the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an NDA within the first 60 days after submission, before accepting it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guidelines that are currently in effect, the FDA has a goal of ten months from the filing date to complete a standard review of an NDA for a drug that is a new molecular entity. This review typically takes twelve months from the date the NDA is submitted to the FDA because the FDA has approximately two months to make a “filing” decision after the application is submitted.</w:t>
      </w:r>
    </w:p>
    <w:p>
      <w:pPr>
        <w:spacing w:after="0" w:line="19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specifications. Additionally, before approving an NDA, the FDA will typically inspect one or more clinical sites to assure compliance with GCPs.</w:t>
      </w:r>
    </w:p>
    <w:p>
      <w:pPr>
        <w:spacing w:after="0" w:line="22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After the FDA evaluates an NDA and conducts any necessary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indicates that the review cycle of the application is complete, and the application will not be approved in its present form. A CRL usually describes all of the deficiencies that the FDA has identified and may require additional clinical data, such as an additional clinical trial or other significant and time-consuming requirements related to clinical trials, nonclinical studies or manufacturing. When the FDA determines that the data supporting the application are inadequate to support approval, the FDA may issue the CRL without first conducting required inspections and/or reviewing proposed labeling. If a CRL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8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post-market studies and surveillance to further assess and monitor the product’s safety and effectiveness after commercialization, and may limit further marketing of the product based on the results of these post-marketing studies.</w:t>
      </w:r>
    </w:p>
    <w:p>
      <w:pPr>
        <w:spacing w:after="0" w:line="192"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For example, the Fast Track program is intended to expedite or facilitate the process for reviewing new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w:t>
      </w:r>
    </w:p>
    <w:p>
      <w:pPr>
        <w:spacing w:after="0" w:line="187"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Additionally, depending on the design of the applicable clinical trials,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confirmatory studies be underway prior to granting any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requires pre-approval of promotional materials as a condition of accelerated approval, which could adversely impact the timing of the commercial launch of the product.</w:t>
      </w:r>
    </w:p>
    <w:p>
      <w:pPr>
        <w:spacing w:after="0" w:line="194"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183"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drug and disease or condition for which it has such designation, the product is entitled to orphan product exclusivity, which means that the FDA may not approve any other applications, to market the same drug for the approved indication or use within such disease or condition for seven years, except in limited circumstances, such as a showing of clinical superiority to the product with orphan drug exclusivity in the relevant indication or if the FDA finds that the holder of the orphan drug exclusivity has not shown that it can assure the availability of sufficient quantities of the orphan drug to meet the needs relating to the approved indication or use of patients with the disease or condition for which the drug was designated. Orphan drug exclusivity does not prevent the FDA from approving a different drug for the same indication or use, or the same drug for a different indication or use. Among the other benefits of orphan drug designation are tax credits for certain research and a waiver of the NDA application user fee.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in the relevant indication or the manufacturer of the approved product is unable to assure sufficient quantities of the product to meet the needs relating to the approved indication or use of patients with the rare disease or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Priority Review Voucher Program</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2012, the U.S.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9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w:t>
      </w:r>
    </w:p>
    <w:p>
      <w:pPr>
        <w:ind w:right="140" w:firstLine="8"/>
        <w:spacing w:after="0" w:line="253"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 diseases or conditions within the meaning of the Orphan Drug Act. Congress has only authorized the Rare Pediatric Disease Priority Review Voucher program until September 30, 2029. Consequently, unless Congress reauthorizes the program, the sponsor of the marketing application for a drug that receives Rare Pediatric Disease Designation will only be eligible to receive a voucher if the FDA grants the designation on or before September 30, 2029.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NDA holders and product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9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43" w:lineRule="exact"/>
        <w:rPr>
          <w:sz w:val="20"/>
          <w:szCs w:val="20"/>
          <w:color w:val="auto"/>
        </w:rPr>
      </w:pPr>
    </w:p>
    <w:p>
      <w:pPr>
        <w:ind w:left="5540" w:right="460" w:hanging="4783"/>
        <w:spacing w:after="0" w:line="783" w:lineRule="auto"/>
        <w:tabs>
          <w:tab w:leader="none" w:pos="11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53"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84" w:lineRule="exact"/>
        <w:rPr>
          <w:rFonts w:ascii="Times New Roman" w:cs="Times New Roman" w:eastAsia="Times New Roman" w:hAnsi="Times New Roman"/>
          <w:sz w:val="18"/>
          <w:szCs w:val="18"/>
          <w:color w:val="auto"/>
        </w:rPr>
      </w:pPr>
    </w:p>
    <w:p>
      <w:pPr>
        <w:ind w:left="1140" w:right="56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84"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Non-patent regulatory exclusivity provisions authorized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containing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94"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regulatory exclusivity or existing patent term if a sponsor conducts clinical trials in children in response to a written request from the FDA and meets other conditions.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If safe and effective use of a drug depends on an in vitro diagnostic, then the FDA may require approval or clearance of that diagnostic, known as a companion diagnostic, at the same time that the FDA approves the therapeutic product. In August 2014, the FDA issued final guidance clarifying the requirements that will apply to approval of therapeutic products and in vitro companion diagnostics. According to the guidance, if FDA determines that a companion diagnostic device is essential to the safe and effective use of a novel therapeutic product or indication, FDA may will not approve the drug or new indication if the companion diagnostic device is not also approved or cleared for that indication. Approval or clearance of the companion diagnostic device will ensure that the device has been adequately evaluated and has adequate performance characteristics in the intended population. The review of in vitro companion diagnostics in conjunction with the review of our product candidates will, therefore, likely involve coordination of review by the FDA’s Center for Drug Evaluation and Research and the FDA’s Center for Devices and Radiological Health Office of In Vitro Diagnostics and Radiological Health.</w:t>
      </w:r>
    </w:p>
    <w:p>
      <w:pPr>
        <w:spacing w:after="0" w:line="18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Under the FDCA, in vitro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generally requires either FDA clearance of a 510(k) premarket notification, or approval of a premarket approval (PMA) application. Under the FDCA, medical devices are classified into one of three classes—Class I, Class II or Class III—depending on the degree of risk associated with each medical device and the extent of manufacturer and regulatory control needed to ensure its safety and effectiveness. While most Class I devices—devices that generally pose a low risk to users—are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or devices that have a new intended use, or use advanced technology that is not substantially equivalent to that of a legally marketed device, are automatically placed in Class III, requiring approval of a PMA unless down-classified in accordance with the “de novo” process, which is a route to market for novel medical devices that are low to moderate risk and are not substantially equivalent to a predicate device.</w:t>
      </w:r>
    </w:p>
    <w:p>
      <w:pPr>
        <w:spacing w:after="0" w:line="194"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To obtain 510(k) clearance, a manufacturer must submit to the FDA a premarket notification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request down-classification of the device through the “de novo” process.</w:t>
      </w:r>
    </w:p>
    <w:p>
      <w:pPr>
        <w:spacing w:after="0" w:line="189" w:lineRule="exact"/>
        <w:rPr>
          <w:sz w:val="20"/>
          <w:szCs w:val="20"/>
          <w:color w:val="auto"/>
        </w:rPr>
      </w:pPr>
    </w:p>
    <w:p>
      <w:pPr>
        <w:ind w:right="100" w:firstLine="749"/>
        <w:spacing w:after="0" w:line="289" w:lineRule="auto"/>
        <w:rPr>
          <w:sz w:val="20"/>
          <w:szCs w:val="20"/>
          <w:color w:val="auto"/>
        </w:rPr>
      </w:pPr>
      <w:r>
        <w:rPr>
          <w:rFonts w:ascii="Times New Roman" w:cs="Times New Roman" w:eastAsia="Times New Roman" w:hAnsi="Times New Roman"/>
          <w:sz w:val="17"/>
          <w:szCs w:val="17"/>
          <w:color w:val="auto"/>
        </w:rPr>
        <w:t>The PMA process is more demanding than the 510(k) premarket notification process, and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Quality Management System Regulation (QMSR), which imposes elaborate testing, control, documentation and other quality assurance requirements.</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post-approval requirements, conditions of approval or other regulatory standards are not maintained or problems are identified following initial marketing.</w:t>
      </w:r>
    </w:p>
    <w:p>
      <w:pPr>
        <w:spacing w:after="0" w:line="194"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QMSR, which currently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Pharmaceutical companies like us are subject to additional healthcare regulation and enforcement by the federal government and by authorities in the states and foreign jurisdictions in which they conduct their business. Such regulation and enforcement may constrain the financial arrangements and relationships through which we research, develop, and ultimately, sell, market and distribute any products for which we obtain marketing approval. Such laws include, without limitation, federal and state anti-kickback, fraud and abuse, and false claims laws, such as the federal Anti-Kickback Statute and the federal civil False Claims Act, as well as federal and state transparency laws and regulations with respect to drug pricing and payments and other transfers of value made by pharmaceutical manufacturers to physicians and other health care providers, such as the federal Physician Payments Sunshine Act.</w:t>
      </w:r>
    </w:p>
    <w:p>
      <w:pPr>
        <w:spacing w:after="0" w:line="187"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such as Medicare and Medicaid, and the curtailment or restructuring of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Coverage and Reimbursement</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our product candidates can be subject to challenge, reduction or denial by third-party payors. For products administered under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supervision of a physician, obtaining coverage and adequate reimbursement may be particularly difficult because of the higher prices often associated with such drugs.</w:t>
      </w:r>
    </w:p>
    <w:p>
      <w:pPr>
        <w:spacing w:after="0" w:line="16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regarding whether to cover any of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w:t>
      </w:r>
    </w:p>
    <w:p>
      <w:pPr>
        <w:spacing w:after="0" w:line="19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Third-party payors are increasingly challenging the price and examining the medical necessity and cost-effectiveness of medical products and services, in addition to their safety and efficacy. Adoption of price controls and cost-containment measures, and adoption of more restrictive policies in jurisdictions with existing controls and measures, could further limit sales of any product that receives approval. Third-party payors may not consider our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Moreover, as a condition of participating in, and having products covered under, certain federal healthcare programs, such as Medicare and Medicaid, if we market a product that is approved, we may become subject to federal laws and regulations that require pharmaceutical manufacturers to calculate and report certain pricing metrics to the government, including the Average Manufacturer Price (AMP) and Best Price under the Medicaid Drug Rebate Program, the Medicare Average Sales Price, the 340B Ceiling Price, and Non-Federal AMP reported to the Department of Veteran Affairs, and with respect to Medicaid, pay statutory rebates on utilization of manufacturers’ products by Medicaid beneficiaries. Compliance with these laws and regulations will require significant resources and may have a material adverse effect on our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jc w:val="both"/>
        <w:ind w:right="720" w:firstLine="749"/>
        <w:spacing w:after="0" w:line="266" w:lineRule="auto"/>
        <w:rPr>
          <w:sz w:val="20"/>
          <w:szCs w:val="20"/>
          <w:color w:val="auto"/>
        </w:rPr>
      </w:pPr>
      <w:r>
        <w:rPr>
          <w:rFonts w:ascii="Times New Roman" w:cs="Times New Roman" w:eastAsia="Times New Roman" w:hAnsi="Times New Roman"/>
          <w:sz w:val="18"/>
          <w:szCs w:val="18"/>
          <w:color w:val="auto"/>
        </w:rPr>
        <w:t>In the United States,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17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the Affordable Care Act (ACA) was enacted in the United States in 2010. Among the provisions of the ACA of importance to our potential product candidates,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the entities eligible for discounts under the 340B drug pricing program; increased the statutory minimum rebates a manufacturer must pay under the Medicaid Drug Rebate Program; and established a Center for Medicare and Medicaid Innovation at CMS to test innovative payment and service delivery models to lower Medicare and Medicaid spending. Since its enactment, there have been judicial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94"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In addition, other legislative changes have been adopted since the ACA was enacted. The Budget Control Act of 2011, among other things, reduced Medicare payments to providers, which went into effect on April 1, 2013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and will remain in effect until 2032, unless additional Congressional action is taken.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This has resulted in several Congressional inquiries and proposed and enacted federal and state regulations designed to, among other things, bring more transparency to product pricing, review the relationship between pricing and manufacturer patient programs, and reform government program reimbursement methodologies for pharmaceutical products. The Inflation Reduction Act of 2022 (IRA) was enacted in 2022. The IRA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The Centers for Medicare &amp; Medicaid Services has published the negotiated prices for the initial ten drugs, which went into effect in January 2026, and the subsequent 15 drugs, which will first be effective in 2027. The Centers for Medicare &amp; Medicaid Services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spacing w:after="0" w:line="19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17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United States.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United States to the lowest price in a group of other countries. In response, multiple manufacturers have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United States that is based on drug prices outside the United States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spacing w:after="0" w:line="190"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In addition, regional healthcare authorities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176"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 The implementation of cost containment measures or other healthcare reforms may prevent us from being able to generate revenue, attain profitability or commercialize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(MA), commercial sales and distribution of our products. The foreign regulatory approval process includes all of the risks associated with FDA approval set forth above, as well as additional country-specific regulation.</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Clinical Trials in the EU</w:t>
      </w:r>
    </w:p>
    <w:p>
      <w:pPr>
        <w:spacing w:after="0" w:line="22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European Union (EU) are subject to significant regulatory controls.</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8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CTR transition period ended on January 31, 2025, and all clinical trials (and related applications) are now fully subject to the provisions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CTR.</w:t>
      </w:r>
    </w:p>
    <w:p>
      <w:pPr>
        <w:spacing w:after="0" w:line="207"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Good Manufacturing Practice (GMP). Other national and EU-wide regulatory requirements may also apply.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 in the EU</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order to market our product candidates in the EU and many other foreign jurisdictions, we must obtain separate regulatory approvals. More concretely, in the EU, medicinal product candidates can only be commercialized after obtaining a MA. To obtain regulatory approval of a product candidate under EU regulatory systems, we must submit a MA application (MAA). The process for doing this depends, among other things, on the nature of the medicinal product. There are two types of MAs:</w:t>
      </w:r>
    </w:p>
    <w:p>
      <w:pPr>
        <w:spacing w:after="0" w:line="180" w:lineRule="exact"/>
        <w:rPr>
          <w:sz w:val="20"/>
          <w:szCs w:val="20"/>
          <w:color w:val="auto"/>
        </w:rPr>
      </w:pPr>
    </w:p>
    <w:p>
      <w:pPr>
        <w:ind w:left="1140" w:right="40" w:hanging="383"/>
        <w:spacing w:after="0" w:line="254"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European Commission through the centralized procedure based on the opinion of the Committee for Medicinal Products for Human Use (CHMP) of the European Medicines Agency (EMA) and are valid throughout the EU. The centralized procedure is compulsory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51" w:lineRule="exact"/>
        <w:rPr>
          <w:rFonts w:ascii="Times New Roman" w:cs="Times New Roman" w:eastAsia="Times New Roman" w:hAnsi="Times New Roman"/>
          <w:sz w:val="18"/>
          <w:szCs w:val="18"/>
          <w:color w:val="auto"/>
        </w:rPr>
      </w:pPr>
    </w:p>
    <w:p>
      <w:pPr>
        <w:ind w:left="1140" w:hanging="383"/>
        <w:spacing w:after="0" w:line="25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8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Under the above described procedures, in order to grant the MA, the EMA or the competent authorities of the EU member states make an assessment of the risk 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 in the EU</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the EU, new products authorized for marketing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Medicinal Products in the EU</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8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Orphan designation must be requested before submitting an MAA. An EU orphan medicinal product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8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orphan exclusivity period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Development</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the EU, MAAs for new medicinal products have to include the results of studies conducted in the pediatric population, in compliance with a PIP agreed with the EMA’s Pediatric Committee (PDCO). The PIP sets out the timing and measures proposed to 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member states and study results are included in the product information, even when negative, the product is eligible for six months’ supplementary protection certificate extension (if any is in effect at the time of approval) or, in the case of orphan medicinal products, a two year extension of the orphan market exclusivity is granted.</w:t>
      </w:r>
    </w:p>
    <w:p>
      <w:pPr>
        <w:spacing w:after="0" w:line="176"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 in the EU</w:t>
      </w:r>
    </w:p>
    <w:p>
      <w:pPr>
        <w:spacing w:after="0" w:line="22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the EU,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(IVD MDs), were regulated by the EU Directive 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(Directive No. 98/79/EC, as amended) (IVDD), which regulated the placing on the market, the European Conformity (CE) marking, the essential requirements, the conformity assessment procedures, the registration obligations for manufacturers and devices as well as the vigilance procedure. IVD MDs had to comply with the requirements provided for in the IVDD, and with further requirements implemented at national level (as the case may be).</w:t>
      </w:r>
    </w:p>
    <w:p>
      <w:pPr>
        <w:spacing w:after="0" w:line="182" w:lineRule="exact"/>
        <w:rPr>
          <w:sz w:val="20"/>
          <w:szCs w:val="20"/>
          <w:color w:val="auto"/>
        </w:rPr>
      </w:pPr>
    </w:p>
    <w:p>
      <w:pPr>
        <w:ind w:right="80" w:firstLine="749"/>
        <w:spacing w:after="0" w:line="270" w:lineRule="auto"/>
        <w:rPr>
          <w:sz w:val="20"/>
          <w:szCs w:val="20"/>
          <w:color w:val="auto"/>
        </w:rPr>
      </w:pPr>
      <w:r>
        <w:rPr>
          <w:rFonts w:ascii="Times New Roman" w:cs="Times New Roman" w:eastAsia="Times New Roman" w:hAnsi="Times New Roman"/>
          <w:sz w:val="17"/>
          <w:szCs w:val="17"/>
          <w:color w:val="auto"/>
        </w:rPr>
        <w:t>The regulation of companion diagnostics is subject to further requirements since Regulation (EU) No 2017/746 (IVDR) became applicable on May 26, 2022. Following subsequent legislative changes, European institutions adopted a “progressive” roll-out of the IVDR to prevent disruption in the supply of in vitro diagnostic medical devices. Therefore, the IVDR applies since May 26, 2022, but there is a tiered system extending the grace period for many devices (depending on their risk classification) before they have to be fully compliant with the regulation. The IVDR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MAA for the medicinal product has been submitted through the centralized procedure. For other substances, the notified body can seek the opinion from national competent authorities or the EMA.</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&amp; Security</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As of February 25, 2026, we had 87 full-time employees, including a total of 21 employees with M.D. or Ph.D. degrees. Of these full-time employees, 67 employees are engaged in research and development.</w:t>
      </w:r>
    </w:p>
    <w:p>
      <w:pPr>
        <w:spacing w:after="0" w:line="162"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None of our employees are represented by labor unions or covered by collective bargaining agreements. We consider our relationship with our employees to be good.</w:t>
      </w:r>
    </w:p>
    <w:p>
      <w:pPr>
        <w:spacing w:after="0" w:line="16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value our employees and regularly benchmark total rewards we provide, such as short and long-term compensation, 401(k) plan participation, health, welfare and quality of life benefits, paid time off and personal leave, against our industry peers to ensure we remain competitive and attractive to potential new hires.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internet address is www.tyra.bio. Our investor relations website is located at https://tyrabio.investorroom.com. We make available free of charge on our investor relations website under “SEC Filings” our annual reports on Form 10-K, quarterly reports on Form 10-Q, current reports on Form 8-K, our directors’ and officers’ Section 16 reports and any amendments to those reports as soon as reasonably practicable after filing or furnishing such materials to the SEC. They are also available for free on the SEC’s website at www.sec.gov.</w:t>
      </w:r>
    </w:p>
    <w:p>
      <w:pPr>
        <w:spacing w:after="0" w:line="180"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We use our investor relations website as a means of disclosing material non-public information and for complying with our disclosure obligations under Regulation FD. Investors should monitor such website, in addition to following our press releases, SEC filings and public conference calls and webcasts. Information relating to our corporate governance is also included on our investor relations website The information in or accessible through the SEC and our website are not incorporated into, and are not considered part of,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the other information contained in this Annual Report, including our financial statements and the related notes and “Management’s Discussion and Analysis of Financial Condition and Results of Operations,” before making a decision to purchase or sell shares of our common stock.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 In this section, we first provide a summary of the principal risks and uncertainties we face and then provide a full set of risk factors and discuss them in greater detail.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Related to Our Business</w:t>
      </w:r>
    </w:p>
    <w:p>
      <w:pPr>
        <w:spacing w:after="0" w:line="229" w:lineRule="exact"/>
        <w:rPr>
          <w:sz w:val="20"/>
          <w:szCs w:val="20"/>
          <w:color w:val="auto"/>
        </w:rPr>
      </w:pPr>
    </w:p>
    <w:p>
      <w:pPr>
        <w:jc w:val="both"/>
        <w:ind w:left="1140" w:right="400" w:hanging="383"/>
        <w:spacing w:after="0" w:line="26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have a limited operating history, have not completed any clinical trials, and have no products approved for commercial sale, which may make it difficult for investors to evaluate our current business and likelihood of success and viability.</w:t>
      </w:r>
    </w:p>
    <w:p>
      <w:pPr>
        <w:spacing w:after="0" w:line="135"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in each period since our inception, and we expect to continue to incur significant net losses for the foreseeable future.</w:t>
      </w:r>
    </w:p>
    <w:p>
      <w:pPr>
        <w:spacing w:after="0" w:line="134"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our objectives relating to discovery, development and commercialization of our product candidates.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153" w:lineRule="exact"/>
        <w:rPr>
          <w:sz w:val="20"/>
          <w:szCs w:val="20"/>
          <w:color w:val="auto"/>
        </w:rPr>
      </w:pPr>
    </w:p>
    <w:p>
      <w:pPr>
        <w:ind w:left="383" w:right="20" w:hanging="383"/>
        <w:spacing w:after="0" w:line="312" w:lineRule="auto"/>
        <w:tabs>
          <w:tab w:leader="none" w:pos="38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substantial additional capital to achieve our goals, and a failure to obtain this necessary capital when needed on acceptable terms, or at all, could force us to delay, limit, reduce or terminate our development programs, commercialization efforts or other operations.</w:t>
      </w:r>
    </w:p>
    <w:p>
      <w:pPr>
        <w:spacing w:after="0" w:line="112" w:lineRule="exact"/>
        <w:rPr>
          <w:rFonts w:ascii="Times New Roman" w:cs="Times New Roman" w:eastAsia="Times New Roman" w:hAnsi="Times New Roman"/>
          <w:sz w:val="17"/>
          <w:szCs w:val="17"/>
          <w:color w:val="auto"/>
        </w:rPr>
      </w:pPr>
    </w:p>
    <w:p>
      <w:pPr>
        <w:ind w:left="383" w:right="60" w:hanging="383"/>
        <w:spacing w:after="0" w:line="266" w:lineRule="auto"/>
        <w:tabs>
          <w:tab w:leader="none" w:pos="3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with three product candidates in clinical development, and our other development programs in the preclinical or discovery stage. If we are unable to successfully develop, obtain marketing approval and ultimately commercialize product candidates, or experience significant delays in doing so, our business will be materially harmed.</w:t>
      </w:r>
    </w:p>
    <w:p>
      <w:pPr>
        <w:spacing w:after="0" w:line="135" w:lineRule="exact"/>
        <w:rPr>
          <w:rFonts w:ascii="Times New Roman" w:cs="Times New Roman" w:eastAsia="Times New Roman" w:hAnsi="Times New Roman"/>
          <w:sz w:val="18"/>
          <w:szCs w:val="18"/>
          <w:color w:val="auto"/>
        </w:rPr>
      </w:pPr>
    </w:p>
    <w:p>
      <w:pPr>
        <w:ind w:left="383" w:hanging="383"/>
        <w:spacing w:after="0" w:line="282" w:lineRule="auto"/>
        <w:tabs>
          <w:tab w:leader="none" w:pos="3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organization, we have never completed any clinical trials or submitted an application for marketing approval and may be unable to do so for any of our product candidates.</w:t>
      </w:r>
    </w:p>
    <w:p>
      <w:pPr>
        <w:spacing w:after="0" w:line="121" w:lineRule="exact"/>
        <w:rPr>
          <w:rFonts w:ascii="Times New Roman" w:cs="Times New Roman" w:eastAsia="Times New Roman" w:hAnsi="Times New Roman"/>
          <w:sz w:val="18"/>
          <w:szCs w:val="18"/>
          <w:color w:val="auto"/>
        </w:rPr>
      </w:pPr>
    </w:p>
    <w:p>
      <w:pPr>
        <w:jc w:val="both"/>
        <w:ind w:left="383" w:right="360" w:hanging="383"/>
        <w:spacing w:after="0" w:line="266" w:lineRule="auto"/>
        <w:tabs>
          <w:tab w:leader="none" w:pos="3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involves a lengthy and expensive process with an uncertain outcome, and the results of preclinical studies and early clinical trials are not necessarily predictive of future results. Our product candidates may not have favorable results in clinical trials, if any, or receive marketing approval on a timely basis, if at all.</w:t>
      </w:r>
    </w:p>
    <w:p>
      <w:pPr>
        <w:spacing w:after="0" w:line="148" w:lineRule="exact"/>
        <w:rPr>
          <w:rFonts w:ascii="Times New Roman" w:cs="Times New Roman" w:eastAsia="Times New Roman" w:hAnsi="Times New Roman"/>
          <w:sz w:val="18"/>
          <w:szCs w:val="18"/>
          <w:color w:val="auto"/>
        </w:rPr>
      </w:pPr>
    </w:p>
    <w:p>
      <w:pPr>
        <w:ind w:left="383" w:right="620" w:hanging="383"/>
        <w:spacing w:after="0" w:line="282" w:lineRule="auto"/>
        <w:tabs>
          <w:tab w:leader="none" w:pos="3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clinical trials, our clinical development activities could be delayed or otherwise adversely affected.</w:t>
      </w:r>
    </w:p>
    <w:p>
      <w:pPr>
        <w:spacing w:after="0" w:line="121" w:lineRule="exact"/>
        <w:rPr>
          <w:rFonts w:ascii="Times New Roman" w:cs="Times New Roman" w:eastAsia="Times New Roman" w:hAnsi="Times New Roman"/>
          <w:sz w:val="18"/>
          <w:szCs w:val="18"/>
          <w:color w:val="auto"/>
        </w:rPr>
      </w:pPr>
    </w:p>
    <w:p>
      <w:pPr>
        <w:ind w:left="383" w:right="80" w:hanging="383"/>
        <w:spacing w:after="0" w:line="261" w:lineRule="auto"/>
        <w:tabs>
          <w:tab w:leader="none" w:pos="3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39" w:lineRule="exact"/>
        <w:rPr>
          <w:rFonts w:ascii="Times New Roman" w:cs="Times New Roman" w:eastAsia="Times New Roman" w:hAnsi="Times New Roman"/>
          <w:sz w:val="18"/>
          <w:szCs w:val="18"/>
          <w:color w:val="auto"/>
        </w:rPr>
      </w:pPr>
    </w:p>
    <w:p>
      <w:pPr>
        <w:ind w:left="383" w:right="60" w:hanging="383"/>
        <w:spacing w:after="0" w:line="266" w:lineRule="auto"/>
        <w:tabs>
          <w:tab w:leader="none" w:pos="3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for the manufacture of our product candidates for preclinical and clinical development.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48" w:lineRule="exact"/>
        <w:rPr>
          <w:rFonts w:ascii="Times New Roman" w:cs="Times New Roman" w:eastAsia="Times New Roman" w:hAnsi="Times New Roman"/>
          <w:sz w:val="18"/>
          <w:szCs w:val="18"/>
          <w:color w:val="auto"/>
        </w:rPr>
      </w:pPr>
    </w:p>
    <w:p>
      <w:pPr>
        <w:ind w:left="383" w:right="120" w:hanging="383"/>
        <w:spacing w:after="0" w:line="266" w:lineRule="auto"/>
        <w:tabs>
          <w:tab w:leader="none" w:pos="3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some of our preclinical studies. If these third parties do not successfully carry out their contractual duties, comply with applicable regulatory requirements or meet expected deadlines, our development programs and our ability to seek or obtain marketing approval for or commercialize our product candidates may be delayed.</w:t>
      </w:r>
    </w:p>
    <w:p>
      <w:pPr>
        <w:spacing w:after="0" w:line="135" w:lineRule="exact"/>
        <w:rPr>
          <w:rFonts w:ascii="Times New Roman" w:cs="Times New Roman" w:eastAsia="Times New Roman" w:hAnsi="Times New Roman"/>
          <w:sz w:val="18"/>
          <w:szCs w:val="18"/>
          <w:color w:val="auto"/>
        </w:rPr>
      </w:pPr>
    </w:p>
    <w:p>
      <w:pPr>
        <w:ind w:left="383" w:right="520" w:hanging="383"/>
        <w:spacing w:after="0" w:line="266" w:lineRule="auto"/>
        <w:tabs>
          <w:tab w:leader="none" w:pos="3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technologies or product candidates more rapidly than we do or their technologies are more effective, our business and our ability to develop and successfully commercialize products may be adversely affected.</w:t>
      </w:r>
    </w:p>
    <w:p>
      <w:pPr>
        <w:spacing w:after="0" w:line="135" w:lineRule="exact"/>
        <w:rPr>
          <w:rFonts w:ascii="Times New Roman" w:cs="Times New Roman" w:eastAsia="Times New Roman" w:hAnsi="Times New Roman"/>
          <w:sz w:val="18"/>
          <w:szCs w:val="18"/>
          <w:color w:val="auto"/>
        </w:rPr>
      </w:pPr>
    </w:p>
    <w:p>
      <w:pPr>
        <w:jc w:val="both"/>
        <w:ind w:left="383" w:right="20" w:hanging="383"/>
        <w:spacing w:after="0" w:line="261" w:lineRule="auto"/>
        <w:tabs>
          <w:tab w:leader="none" w:pos="3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product candidates and other proprietary technologies we develop, or if the scope of the patent protection obtained is not sufficiently broad, our competitors could develop and commercialize products and technology similar or identical to ours, and our ability to successfully commercialize our product candidates and other proprietary technologies we may develop may be adversely affected.</w:t>
      </w:r>
    </w:p>
    <w:p>
      <w:pPr>
        <w:spacing w:after="0" w:line="152" w:lineRule="exact"/>
        <w:rPr>
          <w:rFonts w:ascii="Times New Roman" w:cs="Times New Roman" w:eastAsia="Times New Roman" w:hAnsi="Times New Roman"/>
          <w:sz w:val="18"/>
          <w:szCs w:val="18"/>
          <w:color w:val="auto"/>
        </w:rPr>
      </w:pPr>
    </w:p>
    <w:p>
      <w:pPr>
        <w:ind w:left="383" w:right="160" w:hanging="383"/>
        <w:spacing w:after="0" w:line="282" w:lineRule="auto"/>
        <w:tabs>
          <w:tab w:leader="none" w:pos="3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could be highly volatile, and purchasers of our common stock could incur substantial losses.</w:t>
      </w:r>
    </w:p>
    <w:p>
      <w:pPr>
        <w:spacing w:after="0" w:line="378"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40" w:right="359" w:bottom="1440" w:gutter="0" w:footer="0" w:header="0"/>
        </w:sectPr>
      </w:pPr>
    </w:p>
    <w:bookmarkStart w:id="35" w:name="page36"/>
    <w:bookmarkEnd w:id="3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have a limited operating history, have not completed any clinical trials, and have no products approved for commercial sale, which may make it difficult for investors to evaluate our current business and likelihood of success and viability.</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Investment in drug development is a highly speculative undertaking and involves a substantial degree of risk. We are a biopharmaceutical company formed in 2018 with a limited operating history upon which you can evaluate our business and prospects. We have three product candidates in clinical development. Our other development programs are either in preclinical development or in the drug discovery stage. To date, we have focused primarily on organizing and staffing our company, business planning, raising capital, research and development activities including development of our proprietary SNÅP platform and identifying potential product candidates, establishing our intellectual property portfolio, conducting research and preclinical studies and clinical trials, and providing general and administrative support to these operations. Our approach to the discovery and development of product candidates based on our proprietary SNÅP platform is unproven, and we do not know whether we will be able to develop any product candidates that are successful in clinical development or products of commercial value.</w:t>
      </w:r>
    </w:p>
    <w:p>
      <w:pPr>
        <w:spacing w:after="0" w:line="192"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As an organization, we have not yet completed any clinical trials, obtained regulatory approvals, manufactured a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in each period since our inception, and we expect to continue to incur significant net losses for the foreseeable future.</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Our net losses were $119.9 million and $86.5 million for the years ended December 31, 2025 and 2024, respectively. As of December 31, 2025, we had an accumulated deficit of $371.3 million. Substantially all of our losses have resulted from expenses incurred in connection with our research and development programs and from general and administrative costs associated with our operations. Dabogratinib (formerly TYRA-300), TYRA-430, TYRA-200 and any of our other product candidates will require substantial additional development time and resources before we are able to apply for, or receive, marketing approval and begin generating revenue from product sales. We expect to continue to incur losses for the foreseeable future, and we anticipate these losses will increase substantially as we continue our development of, and seek marketing approval for, and potentially commercialize any of our product candidates and as we seek to discover, develop and market additional potential product candidates.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our objectives relating to discovery, development and commercialization of our product candidates.</w:t>
      </w:r>
    </w:p>
    <w:p>
      <w:pPr>
        <w:spacing w:after="0" w:line="159" w:lineRule="exact"/>
        <w:rPr>
          <w:sz w:val="20"/>
          <w:szCs w:val="20"/>
          <w:color w:val="auto"/>
        </w:rPr>
      </w:pPr>
    </w:p>
    <w:p>
      <w:pPr>
        <w:ind w:right="160" w:firstLine="749"/>
        <w:spacing w:after="0" w:line="274" w:lineRule="auto"/>
        <w:rPr>
          <w:sz w:val="20"/>
          <w:szCs w:val="20"/>
          <w:color w:val="auto"/>
        </w:rPr>
      </w:pPr>
      <w:r>
        <w:rPr>
          <w:rFonts w:ascii="Times New Roman" w:cs="Times New Roman" w:eastAsia="Times New Roman" w:hAnsi="Times New Roman"/>
          <w:sz w:val="17"/>
          <w:szCs w:val="17"/>
          <w:color w:val="auto"/>
        </w:rPr>
        <w:t>To generate revenue and achieve profitability, we must succeed in developing and eventually commercializing product candidates that generate significant revenue. This will require us to be successful in a range of challenging activities, including identifying lead product candidates, completing preclinical studies and clinical trials of our product candidates, discovering additional product candidates, obtaining marketing approval for these product candidates and manufacturing, marketing and selling any products for which we may obtain marketing approval. We are only in the preliminary stages of many of these activities. We may never succeed in these activities and, even if we succeed in commercializing one or more of our product candidates, we may never generate revenues that are significant or large enough to achieve profitability. In addition, we have not yet demonstrated an ability to</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successfully overcome many of the risks and uncertainties frequently encountered by companies in new and rapidly evolving fields, particularly in the biopharmaceutical industry.</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Even if we obtain marketing approval for one or more of our product candidates and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or even continue our operations. A decline in the value of our company could also cause you to lose all or part of your investment.</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achieve our goals, and a failure to obtain this necessary capital when needed on acceptable terms, or at all, could force us to delay, limit, reduce or terminate our development programs, commercialization efforts or other operations.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capital-intensive. We expect our expenses to increase in connection with our ongoing activities, particularly as we conduct our ongoing and planned clinical trials and preclinical studies for our product candidates and other development programs and seek marketing approval for our current product candidates and any future product candidates we may develop. If we obtain marketing approval for any of our product candidates, we also expect to incur significant commercialization expenses related to product manufacturing, marketing, sales and distribution. Because the outcome of any preclinical study or clinical trial is highly uncertain, we cannot reasonably estimate the actual amounts necessary to successfully complete the development and commercialization of our product candidates. 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8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Based upon our current operating plan, we believe that our existing cash, cash equivalents and marketable securities will enable us to fund our operations through at least 2027.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additional collaborations, licenses and other similar arrangements. In addition, we may seek additional capital due to favorable market conditions or liquidity or strategic considerations even if we believe we have sufficient funds for our current or future operating plans. For example, in May 2025, we entered into a Sales Agreement (the Sales Agreement) with TD Securities (USA) LLC (the Agent), pursuant to which we may, from time to time, sell shares of our common stock having an aggregate offering price of up to $150 million in “at the market” offerings through or to the Agent, as sales agent or principal. However, there can be no assurance that the Agent will be successful in consummating any future sales based on prevailing market conditions or in the quantities or at the prices that we deem appropriate. In addition, the Sales Agreement may be terminated by us or the Agent at any time upon specified notice to the other party, or by the Agent at any time in certain circumstances, including the occurrence of a material adverse change. Attempting to secure additional financing may divert our management from our day-to-day activities, which may adversely affect our ability to develop our product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w:t>
      </w:r>
    </w:p>
    <w:p>
      <w:pPr>
        <w:spacing w:after="0" w:line="185" w:lineRule="exact"/>
        <w:rPr>
          <w:sz w:val="20"/>
          <w:szCs w:val="20"/>
          <w:color w:val="auto"/>
        </w:rPr>
      </w:pPr>
    </w:p>
    <w:p>
      <w:pPr>
        <w:ind w:left="1140" w:right="22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expansions, results, costs and timing of, discovery, preclinical studies and clinical trials of our product candidates which we are pursuing or may choose to pursue in the future;</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product candidates and commercial manufacturing if any product candidate is approved;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198"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compliance, and quality systems and hire additional personnel to satisfy our obligations as a public company, including enhanced internal controls over financial reporting;</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product candidate is approved for commercial sale;</w:t>
      </w:r>
    </w:p>
    <w:p>
      <w:pPr>
        <w:spacing w:after="0" w:line="198"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 candidates, including but not limited to clinical trial requirements for approval;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Because we do not expect to generate commercial revenues, if any, from sales of products that we do not expect to be commercially available for many years, if at all, we will need to continue to rely on additional financing to achieve our business objectives. Adequate additional financing may not be available to us on acceptable terms, or at all, </w:t>
      </w:r>
      <w:r>
        <w:rPr>
          <w:rFonts w:ascii="Times New Roman" w:cs="Times New Roman" w:eastAsia="Times New Roman" w:hAnsi="Times New Roman"/>
          <w:sz w:val="18"/>
          <w:szCs w:val="18"/>
          <w:color w:val="231F20"/>
        </w:rPr>
        <w:t>including as a result of financial and credit market deterioration or instability, market-wide liquidity shortages,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geopolitical events or otherwise</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9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w:t>
      </w:r>
      <w:r>
        <w:rPr>
          <w:rFonts w:ascii="Times New Roman" w:cs="Times New Roman" w:eastAsia="Times New Roman" w:hAnsi="Times New Roman"/>
          <w:sz w:val="18"/>
          <w:szCs w:val="18"/>
          <w:b w:val="1"/>
          <w:bCs w:val="1"/>
          <w:i w:val="1"/>
          <w:iCs w:val="1"/>
          <w:color w:val="231F20"/>
        </w:rPr>
        <w:t>portfolio of investments or bank deposits may be subject to market, interest and credit risk that may reduce their value and adversely affect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31F20"/>
        </w:rPr>
        <w:t>business, results of operations and financial condition.</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value of our investments may decline due to increases in interest rates, downgrades of the bonds and other securities included in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commercial money market account portfolio and instability in the global financial markets that reduces the liquidity of securities included in our portfolio. In addition, in the past, the closure of financial institutions and their placement into receivership with the Federal Deposit Insurance Corporation (FDIC) created bank-specific and broader financial institution liquidity risk and concerns. Future adverse developments with respect to specific financial institutions or the broader financial services industry may impair our ability to access capital needed to support near-term working capital needs, whether from our existing investment and deposit accounts and credit facilities or otherwise, and may lead to market-wide liquidity shortages and create additional market and economic uncertainty. Furthermore, from time to time recession and inflation concerns have adversely affected and may in the future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the value of our investments may nevertheless decline, and our ability to fund our near-term and long-term working capital needs to support our business and clinical development plans may be adversely affected. In addition, any decline in available funding or access to our cash and liquidity resources could also result in breaches of our financial and/or contractual obligations or result in violations of federal or state wage and hour laws.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Marketing Approval of Our Product Candidates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with three product candidates in clinical development, and our other development programs in the preclinical or discovery stage. If we are unable to successfully develop, obtain marketing approval and ultimately commercialize product candidates, or experience significant delays in doing so, our business will be materially harmed.</w:t>
      </w:r>
    </w:p>
    <w:p>
      <w:pPr>
        <w:spacing w:after="0" w:line="17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are in the early stages of our clinical development efforts. All of our development programs are either in clinical development or the preclinical or drug discovery stage. We have invested substantially all of our efforts to date in developing our proprietary SNÅP platform, developing dabogratinib, TYRA-430 and TYRA-200, identifying other potential product candidates and conducting preclinical studies and clinical trials. We are relatively early in our clinical trials of our product candidates and will need to progress our other development programs through additional preclinical studies to enable us to submit INDs with the FDA and receive allowance from the FDA to proceed with initiating their clinical development. Our ability to generate product revenues, which we do not expect will occur for many years, if ever, will depend on the successful development and eventual commercialization of our product candidates. The success of our product candidates will depend on several factors, including the following:</w:t>
      </w:r>
    </w:p>
    <w:p>
      <w:pPr>
        <w:spacing w:after="0" w:line="148" w:lineRule="exact"/>
        <w:rPr>
          <w:sz w:val="20"/>
          <w:szCs w:val="20"/>
          <w:color w:val="auto"/>
        </w:rPr>
      </w:pPr>
    </w:p>
    <w:p>
      <w:pPr>
        <w:ind w:left="1140" w:right="50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identification of appropriate patients eligible to enroll, and enrollment of such patients, in clinical trials and completion of clinical trials with favorable results;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9" w:name="page40"/>
    <w:bookmarkEnd w:id="39"/>
    <w:p>
      <w:pPr>
        <w:spacing w:after="0" w:line="153" w:lineRule="exact"/>
        <w:rPr>
          <w:sz w:val="20"/>
          <w:szCs w:val="20"/>
          <w:color w:val="auto"/>
        </w:rPr>
      </w:pPr>
    </w:p>
    <w:p>
      <w:pPr>
        <w:ind w:left="1140" w:right="4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with favorable results, including those compliant with Good Laboratory Practice (GLP) such as toxicology studies, biodistribution studies and minimum effective dose studies in animals;</w:t>
      </w:r>
    </w:p>
    <w:p>
      <w:pPr>
        <w:spacing w:after="0" w:line="134" w:lineRule="exact"/>
        <w:rPr>
          <w:rFonts w:ascii="Times New Roman" w:cs="Times New Roman" w:eastAsia="Times New Roman" w:hAnsi="Times New Roman"/>
          <w:sz w:val="18"/>
          <w:szCs w:val="18"/>
          <w:color w:val="auto"/>
        </w:rPr>
      </w:pPr>
    </w:p>
    <w:p>
      <w:pPr>
        <w:ind w:left="1140" w:right="54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of INDs or of similar regulatory submissions by comparable foreign regulatory authorities for the conduct of clinical trials of our product candidates and our proposed design of future clinical trials;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identification of new product candidates utilizing our SNÅP platform;</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and efficacy to the satisfaction of applicable regulatory authorities;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our third-party manufacturers for, or establishing, commercial manufacturing capabilities;</w:t>
      </w:r>
    </w:p>
    <w:p>
      <w:pPr>
        <w:spacing w:after="0" w:line="184" w:lineRule="exact"/>
        <w:rPr>
          <w:rFonts w:ascii="Times New Roman" w:cs="Times New Roman" w:eastAsia="Times New Roman" w:hAnsi="Times New Roman"/>
          <w:sz w:val="18"/>
          <w:szCs w:val="18"/>
          <w:color w:val="auto"/>
        </w:rPr>
      </w:pPr>
    </w:p>
    <w:p>
      <w:pPr>
        <w:ind w:left="1140" w:right="68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 including new drug applications (NDAs), from the FDA and maintaining such approvals;</w:t>
      </w:r>
    </w:p>
    <w:p>
      <w:pPr>
        <w:spacing w:after="0" w:line="121"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patent and trade secret protection or regulatory exclusivity for our product candidates;</w:t>
      </w:r>
    </w:p>
    <w:p>
      <w:pPr>
        <w:spacing w:after="0" w:line="184"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products following marketing approval, including acceptable results from any post-approval studies or clinical trials agreed to by us or required by the FDA; and</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commercialize our product candidates.</w:t>
      </w:r>
    </w:p>
    <w:p>
      <w:pPr>
        <w:spacing w:after="0" w:line="22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If we are unable to develop, obtain marketing approval for, or, if approved, successfully commercialize our product candidates, we may not be able to generate sufficient revenue to continue our business.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never completed any clinical trials or submitted an application for marketing approval and may be unable to do so for any of our product candidates.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relatively early in our development efforts for our product candidates and we will need to successfully complete our ongoing and planned clinical trials and later-stage and pivotal clinical trials, in order to obtain marketing authorization from the FDA or comparable foreign regulatory authorities to market our product candidates, as well as complete IND-enabling studies for our development programs in the preclinical or discovery stage. Carrying out clinical trials and the submission of a successful NDA is a complicated process. As an organization, while we have commenced clinical trials for certain of our product candidates, we have not previously completed any clinical trials, have limited experience as a company in preparing and submitting marketing applications and have not previously submitted an NDA or other comparable foreign regulatory submission for any product candidate. In addition, we have had limited interactions with the FDA and cannot be certain how many clinical trials of dabogratinib, TYRA-430, TYRA-200 or any other product candidates will be required or how such trials should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marketing approvals of product candidates that we develop. Failure to commence or complete, or delays in, our ongoing or planned clinical trials, could prevent us from, or delay us in submitting NDAs for, and commercializing our product candidates.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90"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and preclinical development involves a lengthy and expensive process with an uncertain outcome, and the results of preclinical studies and early clinical trials are not necessarily predictive of future results. Our product candidates may not have favorable results in clinical trials, if any, or receive marketing approval on a timely basis, if at all.</w:t>
      </w:r>
    </w:p>
    <w:p>
      <w:pPr>
        <w:spacing w:after="0" w:line="17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Clinical and preclinical development is expensive and can take many years to complete, and its outcome is inherently uncertain. We cannot guarantee that any clinical trials or preclinical studies will be conducted as planned or completed on schedule, if at all, and delay or failure can occur at any time during the preclinical study or clinical trial process, including due to factors that are beyond our control. Further, we may not be able to meet expected timeframes for data readouts. Despite promising preclinical or clinical results, any biopharmaceutical company’s product candidate can unexpectedly fail at any stage of preclinical or clinical development, and regulators, such as the FDA or comparable foreign regulatory authorities, may not accept the results as demonstrating the product candidate’s safety and efficacy. The historical failure rate for product candidates in our industry is high.</w:t>
      </w:r>
    </w:p>
    <w:p>
      <w:pPr>
        <w:spacing w:after="0" w:line="18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results from preclinical studies or clinical trials of a product candidate may not predict the results of later clinical trials of the product candidate, and interim, topline, or preliminary results of a clinical trial are not necessarily indicative of final results. Product candidates in later stages of clinical trials may fail to show the desired safety and efficacy characteristics despite having progressed through preclinical studies and initial clinical trials. In particular, while we have conducted certain preclinical studies of our product candidates , we do not know whether our current product candidates or other potential product candidates will perform in current or future clinical trials as they have performed in these prior studies. The positive results we have observed for our product candidates in preclinical animal models may not be predictive of our current or future clinical trials in humans. In addition, while we have previously reported interim results from our ongoing clinical trials and may do so in the future, such results are not necessarily indicative of final results or results from future trials. It is not uncommon to observe results in clinical trials that are unexpected based on preclinical studies and early clinical trials, and many product candidates fail in clinical trials despite very promising early results. If unexpected observations or toxicities are observed in our ongoing or planned trials, or in IND-enabling studies for any future product candidates, such results could delay and possibly prevent or limit clinical trials for our product candidates.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product candidates may fail to demonstrate effectiveness or safety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or ongoing studies. Based upon negative or inconclusive results, we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w:t>
      </w:r>
    </w:p>
    <w:p>
      <w:pPr>
        <w:spacing w:after="0" w:line="18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For the foregoing reasons, we cannot be certain that our ongoing and planned clinical trials and preclinical studies will be successful. In addition, any safety concerns observed in any one of our clinical trials in our targeted indications could impair the development, marketing approval or commercial prospects of our product candidates in those and other targeted indications, such as dabogratinib for oncology and ACH, which could have a material adverse effect on our business,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European Union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contract research organizations (CROs), may impact our developments plans.</w:t>
      </w:r>
    </w:p>
    <w:p>
      <w:pPr>
        <w:spacing w:after="0" w:line="18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oncology, our discovery and preclinical development activities are focused on the development of targeted therapeutics for patients with genomically defined cancers, which is a rapidly evolving area of science, and the approach we are taking to discover and develop drugs based on our SNÅP platform is novel and unproven and may never lead to approved products of commercial value.</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discovery and development of targeted therapeutics for patients with genomically defined cancers is an emerging field, and the scientific discoveries that form the basis for our efforts to discover and develop product candidates are relatively new. Although we believe, based on our preclinical work in oncology, that the genomic alterations targeted by our programs are oncogenic drivers, clinical results may not confirm this hypothesis or may only confirm it for certain alterations or certain tumor types. In addition, even if our approach is successful in showing clinical benefit for acquired resistance mutation-driven cancers for our dabogratinib, TYRA-430 or TYRA-200 product candidates, we may never successfully identify additional oncogenic alterations for other receptor tyrosine kinases using our SNÅP platform, or succeed in identifying additional product candidates to address such alterations. Any product candidates we do discover and advance based on scientific approach may be later shown to have harmful side effects or may have other characteristics that may necessitate additional clinical testing, or make the product candidates unmarketable or unlikely to receive marketing approval. Therefore, we do not know if our approach of discovering and developing product candidates to treat patients with genomically defined cancers will be successful, and if our approach is unsuccessful, we may be forced to abandon our development efforts for a program or programs, which would have a material adverse effect on our business and could potentially cause us to cease operation.</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difficulties or delays in the commencement or completion, or termination or suspension, of our clinical trials could result in increased costs to us, delay or limit our ability to generate revenue and adversely affect our commercial prospects.</w:t>
      </w:r>
    </w:p>
    <w:p>
      <w:pPr>
        <w:spacing w:after="0" w:line="159"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Before we can initiate clinical trials for our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filing required for regulatory allowance before proceeding with clinical development. The FDA or comparable foreign regulatory authorities may require us to conduct additional preclinical studies for any product candidate before it allows us to initiate clinical trials under any IND or similar regulatory filing, which may lead to delays and increase the costs of our preclinical development programs. Moreover, even if these trials begin, issues may arise that could cause regulatory authorities to suspend or terminate such clinical trials. Any such delays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the commencement or completion of our ongoing or planned clinical trials for dabogratinib, TYRA-430, TYRA-200 or any other product candidate, could significantly affect our product development timelines and development costs.</w:t>
      </w:r>
    </w:p>
    <w:p>
      <w:pPr>
        <w:spacing w:after="0" w:line="16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We do not know whether our planned trials will begin on time or be completed on schedule, if at all. The commencement, data readouts and completion of clinical trials can be delayed for a number of reasons, including delays related to:</w:t>
      </w:r>
    </w:p>
    <w:p>
      <w:pPr>
        <w:spacing w:after="0" w:line="119" w:lineRule="exact"/>
        <w:rPr>
          <w:sz w:val="20"/>
          <w:szCs w:val="20"/>
          <w:color w:val="auto"/>
        </w:rPr>
      </w:pPr>
    </w:p>
    <w:p>
      <w:pPr>
        <w:ind w:left="1140" w:right="200" w:hanging="383"/>
        <w:spacing w:after="0" w:line="284"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in vitro data to support the initiation or continuation of clinical trials;</w:t>
      </w:r>
    </w:p>
    <w:p>
      <w:pPr>
        <w:spacing w:after="0" w:line="13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allowance or authorization to commence a trial or reaching a consensus with regulatory authorities on trial design;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84"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34"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reach an agreement with diagnostic companies for the development and use of liquid biopsy companion diagnostic tests in our clinical trials;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(IRBs) (or ethics committees);</w:t>
      </w:r>
    </w:p>
    <w:p>
      <w:pPr>
        <w:spacing w:after="0" w:line="184"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(or ethics committees) refusing to approve, suspending or terminating the trial at an investigational site, precluding enrollment of additional patients, or withdrawing their approval of the trial;</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sufficient appropriately qualified investigators and other professionals to conduct the clinical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candidates for use in clinical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enroll or remain in our trials at the rate we expect, or failing to return for post-treatment follow-up;</w:t>
      </w:r>
    </w:p>
    <w:p>
      <w:pPr>
        <w:spacing w:after="0" w:line="184" w:lineRule="exact"/>
        <w:rPr>
          <w:rFonts w:ascii="Times New Roman" w:cs="Times New Roman" w:eastAsia="Times New Roman" w:hAnsi="Times New Roman"/>
          <w:sz w:val="18"/>
          <w:szCs w:val="18"/>
          <w:color w:val="auto"/>
        </w:rPr>
      </w:pPr>
    </w:p>
    <w:p>
      <w:pPr>
        <w:ind w:left="1140" w:right="58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choosing alternative treatments for the indications for which we are developing our product candidates, or participating in competing clinical trials;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experiencing severe or unexpected drug-related adverse effects;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clinical trials of the same class of agents conducted by other companies;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84"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suspending or limiting manufacturing due to violations of cGMP, or other applicable requirements, including infections or</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43" w:name="page44"/>
    <w:bookmarkEnd w:id="43"/>
    <w:p>
      <w:pPr>
        <w:spacing w:after="0" w:line="153" w:lineRule="exact"/>
        <w:rPr>
          <w:sz w:val="20"/>
          <w:szCs w:val="20"/>
          <w:color w:val="auto"/>
        </w:rPr>
      </w:pPr>
    </w:p>
    <w:p>
      <w:pPr>
        <w:ind w:left="1140" w:right="140"/>
        <w:spacing w:after="0" w:line="312" w:lineRule="auto"/>
        <w:rPr>
          <w:sz w:val="20"/>
          <w:szCs w:val="20"/>
          <w:color w:val="auto"/>
        </w:rPr>
      </w:pPr>
      <w:r>
        <w:rPr>
          <w:rFonts w:ascii="Times New Roman" w:cs="Times New Roman" w:eastAsia="Times New Roman" w:hAnsi="Times New Roman"/>
          <w:sz w:val="17"/>
          <w:szCs w:val="17"/>
          <w:color w:val="auto"/>
        </w:rPr>
        <w:t>cross-contaminations of product candidates in the manufacturing process, or the facility being subject to other enforcement by the FDA or comparable foreign regulatory authorities that result in temporary or permanent manufacturing shut downs or product supply limitations;</w:t>
      </w:r>
    </w:p>
    <w:p>
      <w:pPr>
        <w:spacing w:after="0" w:line="113"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84"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or being suspended or disqualified by the FDA or comparable foreign regulatory authorities, not performing our clinical trials on our anticipated schedule or consistent with the clinical trial protocol, GCPs, or other regulatory requirements;</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or</w:t>
      </w:r>
    </w:p>
    <w:p>
      <w:pPr>
        <w:spacing w:after="0" w:line="198"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our trials are being conducted, by a Data Safety Monitoring Board for our trial or by the FDA or comparable foreign regulatory authorities. These authorities may impose such a suspension or termination due to a number of factors, including failure to conduct the clinical trial in accordance with regulatory requirements or our clinical protocols and to make the appropriate required records, inspection of the clinical trial operations or trial site by the FDA or comparable foreign regulatory authorities resulting in the imposition of a clinical hold, unforeseen safety issues or adverse side effects, failure to demonstrate a benefit from using a clinical trial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8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product candidates, presents additional risks that may delay completion of our clinical trials. These risks include the failure of investigators or enrolled patients in foreign countries to adhere to clinical protocol as a result of differences in healthcare services or cultural customs, managing additional administrative burdens associated with foreign regulatory schemes, as well as political and economic risks, including war, relevant to such foreign countries.</w:t>
      </w:r>
    </w:p>
    <w:p>
      <w:pPr>
        <w:spacing w:after="0" w:line="180" w:lineRule="exact"/>
        <w:rPr>
          <w:sz w:val="20"/>
          <w:szCs w:val="20"/>
          <w:color w:val="auto"/>
        </w:rPr>
      </w:pPr>
    </w:p>
    <w:p>
      <w:pPr>
        <w:jc w:val="both"/>
        <w:ind w:right="380" w:firstLine="749"/>
        <w:spacing w:after="0" w:line="261"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SNÅP platform is innovative and unproven, and we do not know whether we will be able to develop any product candidates that are successful in clinical development or products of commercial value.</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products based on our proprietary SNÅP platform, which is designed to efficiently identify and selectively target vulnerabilities in the mutant proteins that commonly eliminate or reduce the effectiveness of standard-of-care therapies. We have not yet succeeded and may not succeed in demonstrating efficacy and safety for any product candidates in clinical trials or in obtaining marketing approval thereafter. We have not yet completed any clinical trials for any product candidate. Our SNÅP platform utilizes the rapid generation of precise molecular SNÅPshots to continually gain deeper insights into the structure of inhibitor binding sites and how commonly occurring resistance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9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mutations lead to acquired drug resistance to existing therapies, which we believe aids in the prediction of amino acid residues most likely to cause resistance to specific existing therapies. This innovative process may never be successful in identifying additional product candidates with innovative structures that are able to inhibit the target while avoiding those specific residues. Further, because all of our product candidates and discovery programs are based on our SNÅP platform, adverse developments with respect to one of our programs may have a significant adverse impact on the actual or perceived likelihood of success and value of our other development programs.</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addition, the biotechnology and biopharmaceutical industries are characterized by rapidly advancing technologies. Our future success will depend in part on our ability to maintain a competitive position with our innovative approach to compound identification. If we fail to stay at the forefront of technological innovation in utilizing our SNÅP platform, we may be unable to compete effectively.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2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We may not be able to complete clinical trials for our product candidates if we are unable to identify and enroll a sufficient number of eligible patients to participate in these trials as required by the FDA or comparable foreign regulatory authorities. Patient enrollment for our clinical trials may be affected by many factors, including:</w:t>
      </w:r>
    </w:p>
    <w:p>
      <w:pPr>
        <w:spacing w:after="0" w:line="135"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or condition under evaluation;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patients will not complete a clinical trial;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 and</w:t>
      </w:r>
    </w:p>
    <w:p>
      <w:pPr>
        <w:spacing w:after="0" w:line="184"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will be required to identify and enroll a sufficient number of patients for each of our clinical trials.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We may not be able to initiate or continue clinical trials if we are unable to locate a sufficient number of eligible patients to participate in the clinical trials required by the FDA or comparable foreign regulatory authorities. In addition, the process of finding and diagnosing patients may prove costly.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5" w:name="page46"/>
    <w:bookmarkEnd w:id="45"/>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timing of our clinical trials depends, in part, on the speed at which we can recruit patients to participate in our trials, as well as completion of required follow-up periods. The eligibility criteria of our clinical trials, once established, will further limit the pool of available trial participants. If patients are unwilling to participate in our trials for any reason, including the existence of concurrent clinical trials for similar patient populations or the availability of other therapies, or we otherwise have difficulty enrolling a sufficient number of patients, the timeline for recruiting patients, conducting clinical trials and obtaining marketing approval of our product candidates may be delayed. Additionally, because some of our initial clinical trials in oncology will be in patients with relapsed/refractory cancer, these patients are typically in the late stages of their disease and may experience disease progression independent from our product candidates, making them unevaluable for purposes of the clinical trial and requiring additional patient enrollment. Our inability to enroll a sufficient number of patients for any of our clinical trials would result in significant delays or may require us to abandon one or more clinical trials altogether. In addition, we expect to rely on CROs and clinical trial sites to ensure proper and timely conduct of our clinical trials and, while we intend to enter into agreements governing their services, we will have limited influence over their actual performance.</w:t>
      </w:r>
    </w:p>
    <w:p>
      <w:pPr>
        <w:spacing w:after="0" w:line="194"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cannot assure you that our assumptions used in determining expected clinical trial timelines are correct or that we will not experience delays in enrollment, which would result in the delay of completion of such trials beyond our expected timelines.</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7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have not completed the evaluation of any of our product candidates in human clinical trials. It is impossible to predict when or if any product candidates we may develop will prove safe in humans. As is the case with biopharmaceuticals generally, and treatments for cancer and rare diseases in particular, it is likely that there may be side effects and adverse events associated with the use of our product candidates.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marketing approval by the FDA or comparable foreign regulatory authorities. If adverse events or other side effects are observed in any of our clinical trials, we may have difficulty recruiting patients to our clinical trials, patients may drop out of our trials, or we may be required to abandon the trials or our development efforts of one or more product candidates altogether. Any of these occurrences may harm our business, financial condition and prospects significantly.</w:t>
      </w:r>
    </w:p>
    <w:p>
      <w:pPr>
        <w:spacing w:after="0" w:line="188"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Any such undesirable side effects observed in one of our clinical trials in our targeted indications could impair the development, marketing approval or commercial prospects of our product candidates in those and other indications. We, the FDA or other applicable regulatory authorities, or an IRB, may suspend or terminate future clinical trials of a product candidate at any time for various reasons, including a belief that subjects in such trials are being exposed to unacceptable health risks or adverse side effects.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94"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It is possible that as we test our product candidates in larger, longer and more extensive clinical trials, including with different dosing regimens, or as the use of these product candidates becomes more widespread if they receive marketing approval, illnesses, injuries, discomforts and other adverse events that were observed in earlier trials, as well as conditions that did not occur or went undetected in previous trials, may be reported by patients. If such side effects become known later in development or upon approval, if any, such findings may harm our business, financial condition and prospects significantly.</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Patients treated with our products, if approved, may experience previously unreported adverse reactions, and it is possible that the FDA or comparable foreign regulatory authorities may ask for additional safety data as a condition of, or in connection with, our efforts to obtain approval of our product candidates. Even if the side effects do not preclude the product candidate from obtaining or maintaining marketing approval, undesirable side effects may inhibit market acceptance of the approved product due to its tolerability versus other therapies. If safety problems occur or are identified after our products, if any, are available for commercial sale and use, we may make the decision, or be required by regulatory authorities, to amend the labeling of our product candidates, recall our product candidates or even withdraw approval for an approved product.</w:t>
      </w:r>
    </w:p>
    <w:p>
      <w:pPr>
        <w:spacing w:after="0" w:line="18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In addition, if one or more of our product candidates receives marketing approval, and we or others later identify undesirable side effects caused by such product, a number of potentially significant negative consequences could result, including:</w:t>
      </w:r>
    </w:p>
    <w:p>
      <w:pPr>
        <w:spacing w:after="0" w:line="121" w:lineRule="exact"/>
        <w:rPr>
          <w:sz w:val="20"/>
          <w:szCs w:val="20"/>
          <w:color w:val="auto"/>
        </w:rPr>
      </w:pPr>
    </w:p>
    <w:p>
      <w:pPr>
        <w:ind w:left="1140" w:right="820" w:hanging="383"/>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approvals of such product, or seek an injunction against its manufacture or distribution;</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a contraindication;</w:t>
      </w:r>
    </w:p>
    <w:p>
      <w:pPr>
        <w:spacing w:after="0" w:line="184"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134"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distributed, conduct additional clinical trials or change the labeling of a product or be required to conduct additional post-marketing studies or surveillance;</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or</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 or the product could become less competitive and our reputation may suffer.</w:t>
      </w:r>
    </w:p>
    <w:p>
      <w:pPr>
        <w:spacing w:after="0" w:line="225"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5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In the United States, we are not permitted to market our product candidates until we receive marketing approval from the FDA. The process of obtaining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marketing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marketing approval is never guaranteed. Neither we, nor any future collaborator, is permitted to market any of our product candidates in the United States until we receive marketing approval from the FDA.</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or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85"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or our any of our potential future collaborators’ clinical trials;</w:t>
      </w:r>
    </w:p>
    <w:p>
      <w:pPr>
        <w:spacing w:after="0" w:line="198"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authorities for marketing approval;</w:t>
      </w:r>
    </w:p>
    <w:p>
      <w:pPr>
        <w:spacing w:after="0" w:line="121"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121"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34"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potential future collaborators may be unable to demonstrate that a product candidate is safe and effective, and that product candidate’s clinical and other benefits outweigh its safety risks;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84" w:lineRule="exact"/>
        <w:rPr>
          <w:rFonts w:ascii="Times New Roman" w:cs="Times New Roman" w:eastAsia="Times New Roman" w:hAnsi="Times New Roman"/>
          <w:sz w:val="18"/>
          <w:szCs w:val="18"/>
          <w:color w:val="auto"/>
        </w:rPr>
      </w:pPr>
    </w:p>
    <w:p>
      <w:pPr>
        <w:ind w:left="1140" w:right="20" w:hanging="383"/>
        <w:spacing w:after="0" w:line="26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an NDA or other submission or to obtain marketing approval in the United States or elsewhere, and such authorities may impose requirements for additional preclinical studies or clinical trials;</w:t>
      </w:r>
    </w:p>
    <w:p>
      <w:pPr>
        <w:spacing w:after="0" w:line="14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product candidates;</w:t>
      </w:r>
    </w:p>
    <w:p>
      <w:pPr>
        <w:spacing w:after="0" w:line="184"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require additional information, data, qualification, or validation of our manufacturing and testing processes as part of the chemistry, manufacturing, and controls information we submit as part of our application;</w:t>
      </w:r>
    </w:p>
    <w:p>
      <w:pPr>
        <w:spacing w:after="0" w:line="121" w:lineRule="exact"/>
        <w:rPr>
          <w:rFonts w:ascii="Times New Roman" w:cs="Times New Roman" w:eastAsia="Times New Roman" w:hAnsi="Times New Roman"/>
          <w:sz w:val="18"/>
          <w:szCs w:val="18"/>
          <w:color w:val="auto"/>
        </w:rPr>
      </w:pPr>
    </w:p>
    <w:p>
      <w:pPr>
        <w:ind w:left="1140" w:right="58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53" w:lineRule="exact"/>
        <w:rPr>
          <w:sz w:val="20"/>
          <w:szCs w:val="20"/>
          <w:color w:val="auto"/>
        </w:rPr>
      </w:pPr>
    </w:p>
    <w:p>
      <w:pPr>
        <w:ind w:left="1140" w:right="180" w:hanging="383"/>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approval policies or facilities of our third-party manufacturers with which we or any of our current or future collaborators contract for clinical and commercial supplies;</w:t>
      </w:r>
    </w:p>
    <w:p>
      <w:pPr>
        <w:spacing w:after="0" w:line="134"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of such authorities may significantly change in a manner rendering our or any of our potential future collaborators’ clinical data insufficient for approval; or</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Any delays in the marketing approval of our product candidates may negatively impact our ability to successfully position the product candidate in the market or the product candidate may face additional competition from other products.</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With respect to foreign markets, marketing approval procedures vary among countries and, in addition to the foregoing risks, may involve additional product testing, administrative review periods and agreements with pricing authorities. In addition, events raising questions about the safety of certain marketed biopharmaceuticals may result in increased cautiousness by the FDA or comparable foreign regulatory authorities in reviewing new drugs based on safety, efficacy or other regulatory considerations and may result in significant delays in obtaining marketing approvals. Any delay in obtaining, or inability to obtain, applicable marketing approvals would prevent us or any of our potential future collaborators from commercializing our product candidates.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companion diagnostics for biomarkers that enable patient selection, or experience significant delays in doing so, we may not be able to commercialize the product candidate and our ability to generate revenue will be materially impaired.</w:t>
      </w:r>
    </w:p>
    <w:p>
      <w:pPr>
        <w:spacing w:after="0" w:line="15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 key component of our strategy includes the use of companion diagnostics to guide patient selection of our product candidates. We do not have the ability to develop such tests on our own, and so we plan to rely on third parties for the design, development and manufacture of companion diagnostic tests for any of our product candidates that may require such tests. If we enter into such collaborative agreements, we will be dependent on the sustained cooperation and effort of our future collaborators in developing and obtaining approval, certification or clearance for these companion diagnostics. To be successful in developing and commercializing product candidates in combination with these companion diagnostics, we and our future collaborators will need to address a number of scientific, technical, regulatory and logistical challenges.</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generally required premarketing approval for companion diagnostic tests for use with cancer therapies. Various foreign regulatory authorities also regulate in vitro companion diagnostics as medical devices and, under those regulatory frameworks, will likely require the conduct of clinical trials to demonstrate the safety and effectiveness of these companion diagnostics, which we expect will require separate regulatory clearance or approval prior to commercialization.</w:t>
      </w:r>
    </w:p>
    <w:p>
      <w:pPr>
        <w:spacing w:after="0" w:line="18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approval, certification or clearance of a companion diagnostic as part of the therapeutic product’s labeling limits the use of the therapeutic product to only those patients who express certain biomarkers or the specific genomic alteration that the companion diagnostic was developed to detect. If the FDA or comparable foreign regulatory authorities require approval or clearance of a companion diagnostic for any of our product candidates, whether before or concurrently with marketing approval of the product candidate, we and/or our collaborators, may encounter difficulties in developing and obtaining approval, certification or clearance for these companion diagnostics. Any delay or failure by us or potential future collaborators to develop or obtain regulatory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or clearance of a companion diagnostic could delay or prevent approval, certification or continued marketing of our related product candidates.</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Indeed, approval, certification or clearance of companion diagnostics may be subject to further legislative or regulatory reforms notably in the EU, where it continues to undergo legislative changes. On May 25, 2017, the new In Vitro Medical Devices Regulation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applicable on May 26, 2022. Following subsequent legislative changes, European institutions adopted a “progressive” roll-out of the IVDR to prevent disruption in the supply of in vitro diagnostic medical devices. Therefore, the IVDR applies since May 26, 2022, but there is a tiered system extending the grace period for many devices (depending on their risk classification) before they have to be fully compliant with the regulation.</w:t>
      </w:r>
    </w:p>
    <w:p>
      <w:pPr>
        <w:spacing w:after="0" w:line="194"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The regulation of companion diagnostics is subject to further requirements since the IVDR became applicable as it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European Medicine Agency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national competent authorities or the EMA. These modifications may make it more difficult and costly for us to obtain regulatory clearances, approvals or certification for our companion diagnostics or to manufacture, market or distribute our products after clearance, approval or certification is obtained.</w:t>
      </w:r>
    </w:p>
    <w:p>
      <w:pPr>
        <w:spacing w:after="0" w:line="194"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in January 2024, the FDA announced its intention to initiate the process to reclassify most in vitro diagnostic tests (IVDs) that are currently Class III into Class II, including companion diagnostic IVDs. If such reclassification efforts occur, any companion diagnostics that are the subject of the down- classification may no longer require premarket approval, but rather may be marketed pursuant to the generally less burdensome 510(k) clearance process. However, there is no assurance that any companion diagnostic required for our pharmaceutical development programs will benefit from any reclassification, or that such reclassification, even if it does occur, will result in a shorter timeline to development or marketing of the companion diagnostic.</w:t>
      </w:r>
    </w:p>
    <w:p>
      <w:pPr>
        <w:spacing w:after="0" w:line="1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may also be required to conduct additional studies to support a broader claim. Also, to the extent other approved diagnostics are able to broaden their labeling claims to include our approved drug products, we may be forced to abandon any partnered companion diagnostic development plans we undertake or we may not be able to compete effectively upon marketing approval, which could adversely impact our ability to generate revenue from the sale of our approved products and our business operations.</w:t>
      </w:r>
    </w:p>
    <w:p>
      <w:pPr>
        <w:spacing w:after="0" w:line="180"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certification or clearance for, manufacturing and commercializing companion diagnostics similar to those we face with respect to our product candidates themselves, including issues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9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and fail to capitalize on product candidates or indications that may be more profitable or for which there is a greater likelihood of success.</w:t>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 candidates, development programs and specific indications. As a result, we may forgo or delay pursuit of opportunities with other product candidates that could have had greater commercial potential. Our resource allocation decisions may cause us to fail to capitalize on viable potential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collaborations, licenses and other similar arrangements in cases in which it would have been more advantageous for us to retain sole development and commercialization rights to such product candidate.</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designations for any of our product candidates, and we may be unable to maintain the benefits associated with orphan drug designation, including the potential for market exclusivity.</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or biologics for relatively small patient populations as orphan drugs. Under the Orphan Drug Act of 1983,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In the EU, the European Commission grants orphan designation after receiving the opinion of the EMA’s Committee for Orphan Medicinal Products. In the EU,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9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We have received orphan drug designation from the FDA for dabogratinib for the treatment of ACH, and we may seek additional orphan drug designations in the United States and/or the EU for dabogratinib and our other product candidates in qualified patient populations. There can be no assurance that the FDA or European Commission will grant orphan designation for any indication for which we apply, or that we will be able to maintain such designation.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including an NDA, to market the same product for the same approved indication or use within such disease or condition for seven years, except in limited circumstances, such as a showing of clinical superiority to the product with orphan drug exclusivity in the relevant indication or use, or where the manufacturer is unable to assure sufficient product quantity. In the EU,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 The European exclusivity period can be reduced to six years, if, at the end of the fifth year a drug no longer meets the criteria for orphan designation (i.e. the prevalence of the condition has increased above the orphan designation threshold or it is judged that the product is sufficiently profitable so as not to justify maintenance of market exclusivity).</w:t>
      </w:r>
    </w:p>
    <w:p>
      <w:pPr>
        <w:spacing w:after="0" w:line="19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different drugs can be approved for the same indications or uses within the same disease or condition. Even after an orphan drug is approved, the FDA or comparable foreign regulatory authorities can subsequently approve the same drug for the same disease or condition if such regulatory authority concludes that the later drug is clinically superior within the relevant indication because it is shown to be safer, more effective or makes a major contribution to patient care. Orphan drug exclusivity may also be lost if the FDA later determines that the initial request for designation was materially defective. In addition, orphan drug exclusivity does not prevent the FDA from approving competing drugs containing a different active ingredient for the same or similar indication or use within the relevant disease or condition. In addition, if a subsequent drug is approved for marketing for the same or a similar indication or use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spacing w:after="0" w:line="19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successfully develop our product candidates, we may seek Breakthrough Therapy designation or Fast Track designation by the FDA for one or more of our product candidates, but we may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product candidates. A Breakthrough Therapy is defined as a drug or biologic that is intended, alone or in combination with one or more other drugs or biologics, to treat a serious or life- 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An NDA for a Breakthrough Therapy-designated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or life-threatening condition and clinical or preclinical data demonstrate the potential to address unmet medical needs for this condition, the sponsor may apply for Fast Track Designation. The sponsor of a Fast Track product candidate has opportunities for more frequent interactions with the applicable FDA review team during product development and an NDA for a Fast Track product candidate may also be eligible for rolling review.</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Whether to grant Breakthrough Therapy or Fast Track Designation is within the discretion of the FDA. Accordingly, even if we believe one of our product candidates meets the criteria for these designations, the FDA may disagree and instead determine not to make such designation. In any event, the receipt of either of these designations for a product candidate may not result in a faster development process, review or approval compared to product candidates considered for approval under non-expedited FDA review procedures and does not assure ultimate approval by the FDA. In addition, even if one or more of our product candidates qualify for either of these designations, the FDA may later decide that the product candidate no longer meet the conditions for qualification.</w:t>
      </w:r>
    </w:p>
    <w:p>
      <w:pPr>
        <w:spacing w:after="0" w:line="18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obtained a rare pediatric disease designation for dabogratinib for the treatment of ACH, however, there is no guarantee that any FDA approval of dabogratinib will result in issuance of a priority review voucher.</w:t>
      </w:r>
    </w:p>
    <w:p>
      <w:pPr>
        <w:spacing w:after="0" w:line="15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(RPD) that meets certain criteria may qualify for a voucher that can be redeemed to receive a priority review of a subsequent marketing application for a different product. The sponsor of a RPD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RPD drug for which the voucher was awarded is not marketed in the U.S. within one year following the date of approval.</w:t>
      </w:r>
    </w:p>
    <w:p>
      <w:pPr>
        <w:spacing w:after="0" w:line="192"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We have obtained a RPD designation for dabogratinib for the treatment of ACH, however, there is no guarantee that we will be able to obtain a priority review voucher, even if dabogratinib is approved by the FDA for use in ACH patients. For example, the FDA may determine that an NDA, even if ultimately approved, does not meet the eligibility criteria for a priority review voucher, including for the following reasons:</w:t>
      </w:r>
    </w:p>
    <w:p>
      <w:pPr>
        <w:spacing w:after="0" w:line="176" w:lineRule="exact"/>
        <w:rPr>
          <w:sz w:val="20"/>
          <w:szCs w:val="20"/>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no longer meets the definition of a RPD;</w:t>
      </w:r>
    </w:p>
    <w:p>
      <w:pPr>
        <w:spacing w:after="0" w:line="184"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contains an active ingredient (including any ester or salt of the active ingredient) that has been previously approved in another marketing application;</w:t>
      </w:r>
    </w:p>
    <w:p>
      <w:pPr>
        <w:spacing w:after="0" w:line="134"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does not rely on clinical data derived from studies examining a pediatric population and dosages of the drug intended for that population; or</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approved for a different adult indication than the RPD for which the product is designated</w:t>
      </w:r>
    </w:p>
    <w:p>
      <w:pPr>
        <w:spacing w:after="0" w:line="22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Moreover, Congress included a sunset provision in the statute authorizing the RPD priority review voucher program. Under the current statutory sunset provisions, provided the eligibility criteria are otherwise met, the FDA may only award a voucher for an approved RPD product application if the sponsor has RPD designation for the product candidate and the product candidate is approved by September 30, 2029. After September 30, 2029, the FDA may not award a voucher, regardless of an existing designation.</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continue to conduct, clinical trials for certain of our product candidates outside of the United States. However, the FDA and other foreign equivalents may not accept data from such trials, in which case our development plans will be delayed, which could materially harm our business.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have conducted, and may continue to conduct, one or more of our clinical trials for our product candidates outside the United States. Although the FDA may accept data from clinical trials conducted outside the United States, acceptance of this data is subject to certain conditions imposed by the FDA. Where data from foreign clinical trials are intended to as the sole basis for marketing approval in the United States, the FDA will not approve the application on the basis of foreign data alone unless those data are applicable to the U.S. population and U.S. medical practice;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trials that are conducted only at sites outside of the United States and not subject to an IND, the FDA requires the clinical trial to have been conducted in accordance with GCP and the FDA must be able to validate the data from the clinical trial through an on-site inspection if it deems such inspection necessary. For such trials not subject to an IND, the FDA generally does not review the clinical protocols for the trials, and therefore there is an additional potential risk that the FDA could determine that the trial design or protocol for a non-U.S. clinical trial was inadequate, which could require us to conduct additional clinical trials.</w:t>
      </w:r>
    </w:p>
    <w:p>
      <w:pPr>
        <w:spacing w:after="0" w:line="192"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In addition, such foreign trials would be subject to the applicable local laws of the foreign regulatory and legal requirements where the trials are conducted.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 consuming and delay or permanently halt our development of our product candidates.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preclinical studies and clinical trials that we may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preclinical studies and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87"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trial is typically selected from a more extensive amount of available information. Investors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late, final or actual results, or if others, including regulatory authorities, disagree with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conclusions reached, our ability to obtain approval for, and commercialize, any of our product candidates may be harmed, which could harm our business, financial condition, results of operations and prospects.</w:t>
      </w:r>
    </w:p>
    <w:p>
      <w:pPr>
        <w:spacing w:after="0" w:line="15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may in the future seek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9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verify and describe the drug’s clinical benefit. If such post-approval studies fail to confirm the drug’s clinical benefit or are not completed in a timely manner, the FDA may withdraw its approval of the drug on an expedited basis. In addition, the Food and Drug Omnibus Reform Act of 2022 provided the FDA further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 In December 2024, the FDA further issued draft guidance for industry regarding the accelerated approval of drugs and biologics, which among other things, set forth the FDA’s current expectations for accelerated approval endpoints and confirmatory trials as well as the process for withdrawing accelerated approval and in January 2025, the FDA issued draft guidance intended to clarify when a confirmatory trial may be considered underway. The FDA may continue to develop guidance or otherwise change its policies with respect to the accelerated approval pathway that may make it more difficult to seek accelerated approval of any of our product candidates.</w:t>
      </w:r>
    </w:p>
    <w:p>
      <w:pPr>
        <w:spacing w:after="0" w:line="19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9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staffing limitations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ability of the FDA and comparable foreign regulatory activities to review and approve new products can be affected by a variety of factors, including government budget and funding levels, statutory, regulatory and policy changes, the FDA’s and comparable foreign regulatory activities’ ability to hire and retain key personnel and accept the payment of user fees, and other events that may otherwise affect the FDA’s and comparable foreign regulatory activities’ ability to perform routine functions. Average review times at the FDA and comparable foreign regulatory activities have fluctuated in recent years as a result. In addition, government funding of other government agencies that fund research and development activities is subject to the political process, which is inherently fluid and unpredictable. Disruptions at the FDA and comparable foreign regulatory activities may also slow the time necessary for new drugs and biologics or modifications to approved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19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If a prolonged government shutdown occurs, or if funding shortages, staffing limitations or similar factors hinder or prevent the FDA or other regulatory authorities from conducting their regular inspections, reviews, or other regulatory activities, such events could significantly impact the ability of the FDA or other such regulatory authorities to timely review and process our regulatory submissions, which could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safety, efficacy, yield and manufacturing batch size, minimize costs and achieve consistent quality and results. Similarly, in the future we may introduce an alternative formulation of one or more of our product candidates during the course of our ongoing or planned clinical trials. Such changes carry the risk that they will not achieve these intended objectives. Any of these changes could cause our product candidates to perform differently and affect the results of ongoing, planned or future clinical trials conducted with the altered materials. This could delay initiation or completion of clinical trials, require the conduct of bridging studies or clinical trials or the repetition of one or more studies or clinical trials, increase development costs, delay approval of our product candidates and jeopardize our ability to commercialize our product candidates, if approved, and generate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manufacture of our product candidates for preclinical and clinical development.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5" w:lineRule="exact"/>
        <w:rPr>
          <w:sz w:val="20"/>
          <w:szCs w:val="20"/>
          <w:color w:val="auto"/>
        </w:rPr>
      </w:pPr>
    </w:p>
    <w:p>
      <w:pPr>
        <w:ind w:right="900" w:firstLine="749"/>
        <w:spacing w:after="0" w:line="282" w:lineRule="auto"/>
        <w:rPr>
          <w:sz w:val="20"/>
          <w:szCs w:val="20"/>
          <w:color w:val="auto"/>
        </w:rPr>
      </w:pPr>
      <w:r>
        <w:rPr>
          <w:rFonts w:ascii="Times New Roman" w:cs="Times New Roman" w:eastAsia="Times New Roman" w:hAnsi="Times New Roman"/>
          <w:sz w:val="18"/>
          <w:szCs w:val="18"/>
          <w:color w:val="auto"/>
        </w:rPr>
        <w:t>We do not own or operate manufacturing facilities and have no plans to develop our own clinical or commercial-scale manufacturing capabilities. We rely, and expect to continue to rely, on third parties for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manufacture of our product candidates and related raw materials for preclinical and clinical development, as well as for commercial manufacture if any of our product candidates receive marketing approval. The facilities used by third-party manufacturers to manufacture our product candidates must be approved by the FDA or comparable foreign regulatory authorities for the manufacture of our product candidates pursuant to inspections that will be conducted after we submit an NDA to the FDA or any comparable filing to a foreign regulatory authority. We do not control the manufacturing process of, and are completely dependent on, third-party manufacturers for compliance with cGMP or similar foreign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marketing approval for their manufacturing facilities. In addition, we have no control over the ability of third-party manufacturers to maintain adequate quality control, quality assurance, qualified personnel, and accurate and complete recordkeeping. If the FDA or comparable foreign regulatory authorities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or the third-party manufacturers,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w:t>
      </w:r>
    </w:p>
    <w:p>
      <w:pPr>
        <w:spacing w:after="0" w:line="19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on commercially reasonable terms and in compliance with cGMP or similar foreign requirements (where applicable) could adversely affect our business in a number of ways, including:</w:t>
      </w:r>
    </w:p>
    <w:p>
      <w:pPr>
        <w:spacing w:after="0" w:line="121" w:lineRule="exact"/>
        <w:rPr>
          <w:sz w:val="20"/>
          <w:szCs w:val="20"/>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clinical trials of our product candidates under development;</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marketing approvals, for our product candidates;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our product candidates; and</w:t>
      </w:r>
    </w:p>
    <w:p>
      <w:pPr>
        <w:spacing w:after="0" w:line="198"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our product candidates, an inability to meet commercial demands for our product candidates or any other future product candidates.</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we do not have any long-term commitments or supply agreements with our third party manufacturers. We may be unable to establish any agreements with third-party manufacturers or to do so on acceptable terms, which increases the risk of timely obtaining sufficient quantities of our product candidates or such quantifies at an acceptable cost. Even if we are able to establish agreements with third-party manufacturers, reliance on third-party manufacturers entails additional risks, including:</w:t>
      </w:r>
    </w:p>
    <w:p>
      <w:pPr>
        <w:spacing w:after="0" w:line="139" w:lineRule="exact"/>
        <w:rPr>
          <w:sz w:val="20"/>
          <w:szCs w:val="20"/>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specifications;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schedule or at all;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53" w:lineRule="exact"/>
        <w:rPr>
          <w:sz w:val="20"/>
          <w:szCs w:val="20"/>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22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Our product candidates and any products that receive marketing approval may compete with the product candidates and products of other companies for access to manufacturing facilities. There are a limited number of manufacturers that operate under cGMP and similar foreign regulations and that might be capable of manufacturing for us. This could lead to a delay in the manufacture of our product candidates or any products that receive marketing approval, and negatively impact the supply of such product candidates or products for clinical trials or commercialization.</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and any related remedial measures may be costly or time consuming to implement. We do not currently have arrangements in place for redundant supply or a second source for all required raw materials used in the manufacture of our product candidates. If our existing or future third-party manufacturers cannot perform as agreed, we may be required to replace such manufacturers and we may be unable to replace them on a timely basis or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w:t>
      </w:r>
    </w:p>
    <w:p>
      <w:pPr>
        <w:spacing w:after="0" w:line="188"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addition, we currently and may in the future rely on contract manufacturers in China. Such foreign contract manufacturers may be subject to U.S. legislation, sanctions, tariffs,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This and similar laws could have the potential to materially restrict the ability of U.S. biopharmaceutical companies like us to purchase services or products from, or otherwise collaborate with, certain Chinese biotechnology companies “of concern” without losing the ability to contract with, or otherwise receive funding from, the U.S. government.</w:t>
      </w:r>
    </w:p>
    <w:p>
      <w:pPr>
        <w:spacing w:after="0" w:line="190"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In addition, changes by the U.S. and foreign governments in trade policies including the imposition of higher tariffs on imports into the United States and other governmental regulations affecting trade between the United States and other countries where we, our contract manufacturers and/or our CROs conduct business, and any retaliatory actions by other governments, could increase costs, impact the supply of materials and adversely impact our business, financial condition and results of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confidential information, which increases the possibility that confidential information will be misappropriated or disclosed.</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Because we currently plan to rely on third parties to manufacture our product candidates and to perform quality testing, we must, at times, share our proprietary technology and confidential information with them. We seek to protect our proprietary technology, in part, by entering into confidentiality agreements, and, if applicable, material transfer agreements, collaborative research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confidential information and despite our efforts to protect our confidential information,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licenses and other similar arrangements and may not be successful in doing so, and even if we are, we may relinquish valuable rights and may not realize the benefits of such relationships.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may seek to enter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We may have to relinquish valuable rights to our future revenue streams, research programs or product candidates, or grant licenses on terms that may not be favorable to us, as part of any such arrangement, and such arrangements may restrict us from entering into additional agreements with other potential collaborators. We cannot be certain that, following a collaboration, license or strategic transaction, we will achieve an economic benefit that justifies such transaction.</w:t>
      </w:r>
    </w:p>
    <w:p>
      <w:pPr>
        <w:spacing w:after="0" w:line="18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Even if we are successful in our efforts to establish such collaborations, the terms that we agree upon may not be favorable to us, and we may not be able to maintain such collaborations if, for example, the development or approval of a product candidate is delayed, the safety of a product candidate is questioned or the sales of an approved product candidate are unsatisfactory.</w:t>
      </w:r>
    </w:p>
    <w:p>
      <w:pPr>
        <w:spacing w:after="0" w:line="176"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we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9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some of our preclinical studies. If these third parties do not successfully carry out their contractual duties, comply with applicable regulatory requirements or meet expected deadlines, our development programs and our ability to seek or obtain marketing approval for or commercialize our product candidates may be delayed.</w:t>
      </w:r>
    </w:p>
    <w:p>
      <w:pPr>
        <w:spacing w:after="0" w:line="175"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are dependent on third parties to conduct our clinical trials and some of our preclinical studies. Specifically, we have used and relied on, or intend to use and rely on, medical institutions, clinical investigators, CROs, contract development and manufacturing organizations, and consultants to conduct some of our preclinical studies and to conduct clinical trials in accordance with our clinical protocols and regulatory requirements. These CROs, investigators and other third parties play a significant role in the conduct and timing of these preclinical studies and clinical trials and subsequent collection and analysis of data. While we have and will have agreements governing the activities of our CROs, investigators and other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our CROs and other third parties does not relieve us of our regulatory responsibilities. We and our CROs are required to comply with GLP and GCP requirements, which are regulations and guidelines enforced by the FDA or comparable foreign regulatory authorities for all of our product candidates in preclinical and clinical development. Regulatory authorities enforce these requirements through periodic inspections of trial sponsors, principal investigators, trial sites, and other third parties. If we or any of our CROs, trial sites or other third parties fail to comply with applicable GLP or GCP or other requirements, the clinical data generated in our clinical trials may be deemed unreliable, and the FDA or comparable foreign regulatory authorities may require us to perform additional preclinical studies or clinical trials before approving our marketing applications. In addition, our clinical trials must be conducted with products produced under cGMP regulations or similar foreign requirements. Our failure to comply with these regulations may require us to repeat clinical trials, which would delay the marketing approval process.</w:t>
      </w:r>
    </w:p>
    <w:p>
      <w:pPr>
        <w:spacing w:after="0" w:line="196"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There is no guarantee that any of our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may also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product candidates.</w:t>
      </w:r>
    </w:p>
    <w:p>
      <w:pPr>
        <w:spacing w:after="0" w:line="19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investigator or other third party contractor commences work. As a result, delays occur, which can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80"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Following potential approval of any our product candidates, the FDA may impose significant restrictions on a product’s indicated uses or marketing or impose ongoing requirements for potentially costly and time consuming post-approval studies, post-market surveillance or clinical trials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recordkeeping, and other activities relating to our products will be subject to extensive and ongoing regulatory requirements. These requirements include submissions of safety and other post-marketing information and reports, registration, as well as continued compliance with cGMP (and similar requirements outside the United States) and GCP requirements for any clinical trials that we conduct post- approval. Manufacturers of approved products and their facilities are subject to continual review and periodic, unannounced inspections by the FDA and other regulatory authorities for compliance with cGMP or similar foreign regulations and standards. Later discovery of previously unknown problems with our products, including additional adverse events or adverse events of unanticipated severity or frequency, or with our third-party manufacturers or manufacturing processes, or failure to comply with regulatory requirements, may result in, among other things:</w:t>
      </w:r>
    </w:p>
    <w:p>
      <w:pPr>
        <w:spacing w:after="0" w:line="157" w:lineRule="exact"/>
        <w:rPr>
          <w:sz w:val="20"/>
          <w:szCs w:val="20"/>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product recalls;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revenues, civil money penalties, warning letters, untitled letters or holds on clinical trials;</w:t>
      </w:r>
    </w:p>
    <w:p>
      <w:pPr>
        <w:spacing w:after="0" w:line="184" w:lineRule="exact"/>
        <w:rPr>
          <w:rFonts w:ascii="Times New Roman" w:cs="Times New Roman" w:eastAsia="Times New Roman" w:hAnsi="Times New Roman"/>
          <w:sz w:val="18"/>
          <w:szCs w:val="18"/>
          <w:color w:val="auto"/>
        </w:rPr>
      </w:pPr>
    </w:p>
    <w:p>
      <w:pPr>
        <w:ind w:left="1140" w:right="38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products;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62"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 addition, if any of our product candidates are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a product candidate, physicians may nevertheless, in their independent medical judgment, prescribe it to their patients in a manner that is inconsistent with the approved label. The FDA does not regulate the behavior of physicians in their choice of treatments but the FDA does restrict manufacturer’s communications on the subject of off-label use of their products. If we are found to have promoted such off-label uses, we may become subject to significant liability. The FDA, the Department of Justice, and other governmental authorities actively enforce the laws and regulations prohibiting the promotion of off-label uses, and a company that is found to have improperly promoted off-label uses may be subject to significant sanctions. For example, the federal government has levied large civil and criminal fines against companies for alleged improper promotion and has enjoined several companies from engaging in off-label promotion. The FDA has also requested that companies enter into corporate integrity agreements, consent decrees or permanent injunctions under which specified promotional conduct is changed or curtailed.</w:t>
      </w:r>
    </w:p>
    <w:p>
      <w:pPr>
        <w:spacing w:after="0" w:line="19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0"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162"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or if we are not able to maintain regulatory compliance, we may be subject to enforcement action and we may not achieve or sustain profitability, which would adversely affect our business, prospects, financial condition and results of operations.</w:t>
      </w:r>
    </w:p>
    <w:p>
      <w:pPr>
        <w:spacing w:after="0" w:line="17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 candidates will depend upon the degree of market acceptance of such product candidates by physicians, patients, healthcare payors and others in the medical community.</w:t>
      </w:r>
    </w:p>
    <w:p>
      <w:pPr>
        <w:spacing w:after="0" w:line="15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Our product candidates may not be commercially successful. Even if any of our product candidates receive marketing approval, they may not gain market acceptance among physicians, patients, healthcare payors or the medical community. The commercial success of any of our current or future product candidates will depend significantly on the broad adoption and use of the resulting product by physicians and patients for approved indications. The degree of market acceptance of our products will depend on a number of factors, including:</w:t>
      </w:r>
    </w:p>
    <w:p>
      <w:pPr>
        <w:spacing w:after="0" w:line="139" w:lineRule="exact"/>
        <w:rPr>
          <w:sz w:val="20"/>
          <w:szCs w:val="20"/>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compared to other more-established products;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 candidates are approved;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drug for the relevant indication by healthcare providers and their patients;</w:t>
      </w:r>
    </w:p>
    <w:p>
      <w:pPr>
        <w:spacing w:after="0" w:line="198"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products, as well as the cost of treatment with our products in relation to alternative treatments and therapies;</w:t>
      </w:r>
    </w:p>
    <w:p>
      <w:pPr>
        <w:spacing w:after="0" w:line="121"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2" w:name="page63"/>
    <w:bookmarkEnd w:id="62"/>
    <w:p>
      <w:pPr>
        <w:spacing w:after="0" w:line="153" w:lineRule="exact"/>
        <w:rPr>
          <w:sz w:val="20"/>
          <w:szCs w:val="20"/>
          <w:color w:val="auto"/>
        </w:rPr>
      </w:pPr>
    </w:p>
    <w:p>
      <w:pPr>
        <w:ind w:left="1140" w:right="2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products in the absence of sufficient third-party coverage and adequate reimbursement;</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and the prevalence and severity of any adverse effects;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competitive drugs;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of our current or potential future collaborators’ sales and marketing strategies;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225"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17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75"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have no internal sales, marketing or distribution capabilities, nor have we commercialized a product. If any of our product candidates ultimately receives marketing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9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75"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Adequate coverage and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levels of reimbursement for our products by third-party payors will have an effect on our ability to successfully commercialize those products. Moreover, we are initially developing dabogratinib for the treatment of pediatric ACH, NMIBC and LG-UTUC, TYRA-430 for advanced HCC and other solid tumors with activating FGF/FGFR pathway aberrations, and TYRA-200 for FGFR2-driven ICC resistant to previous FGFR inhibitors. Some of these indications target a small patient population. In order for products that are designed to treat smaller patient populations to be commercially viable, the reimbursement for such products must be higher, on a relative basis, to account for the lack of volume. Accordingly, we will need to implement a coverage and reimbursement strategy for any approved product candidate with a smaller patient population that accounts for the smaller potential market size. Even if we obtain coverage for a given product by a third-party payor, the resulting reimbursement payment rates may not be adequate or may require co-payments that patients find unacceptably high.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 or elsewhere will be available for any product that we may develop, and any reimbursement that may become available may be decreased or eliminated in the future.</w:t>
      </w:r>
    </w:p>
    <w:p>
      <w:pPr>
        <w:spacing w:after="0" w:line="19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8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once approved. In addition, in the event that we or third parties develop companion diagnostic tests for use with our product candidates, if approved, such companion diagnostic tests will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tests.</w:t>
      </w:r>
    </w:p>
    <w:p>
      <w:pPr>
        <w:spacing w:after="0" w:line="19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once approved.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9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amount that we are able to charge for our products. Accordingly, in markets outside the United States, the reimbursement for our products, once approved, may be reduced compared with the United States and may be insufficient to generate commercially reasonable revenue and profits.</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once approved.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technologies or product candidates more rapidly than we do or their technologies are more effective, our business and our ability to develop and successfully commercialize products may be adversely affected.</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or product candidates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particular, there is intense competition in the precision oncology field. Our competitors include larger and better-funded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patients for clinical trials and in identifying and in-licensing new product candidates. Smaller or early stage companies may also prove to be significant competitors, particularly through collaborative arrangements with large and established companies.</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expect to face competition from existing products and products in development for each of our product candidates. There are three currently marketed pan-FGFR inhibitors: Incyte Corporation’s Pemazyre (pemigatinib), Taiho’s Lytgobi (futibatinib) approved in FGFR2 gene rearrangements in cholangiocarcinoma, and Janssen Biotech, Inc.’s Balversa (erdafitinib), approved in specific FGFR3 gene alterations. There are a number of other isoform-specific FGFR inhibitors such as Elevar Therapeutics’ and Relay Therapeutics, Inc.’s lirafugratinib (RLY-4008), Cogent Biosciences’ CGT4859, TransThera’s tinengotinib and Lilly’s Loxo Oncology’s isoform-selective FGFR3 inhibitor compound, LOXO-435 (LOX-24350). There are currently no approved FGFR4 inhibitors, but there remain a number of FGFR4 programs in clinical development in China, including Abbisko’s ABSK011. BioMarin Pharmaceutical’s Voxzogo, a once daily injectable C-natriuretic peptide (CNP) analog and Ascendis’ CNP pro-drug (TransCon CNP) are approved in the United States for children with ACH. There are a number of other experimental therapies in development for ACH, including QED Therapeutics’ low dose pan-FGFR inhibitor (infigratinib).</w:t>
      </w:r>
    </w:p>
    <w:p>
      <w:pPr>
        <w:spacing w:after="0" w:line="188"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marketing approval for any product candidate, we will face competition based on many different factors, including the safety and effectiveness of our products, the ease with which our products can be administered and the extent to which patients accept relatively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new routes of administration,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or technological approaches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precise incidence and prevalence for all the diseases or conditions we aim to address with our product candidates are unknown. Our projections of both the number of people who have these diseases or conditions, as well as the subset of people with these diseases or conditions who have the potential to benefit from treatment with our product candidates, are based on our beliefs and estimates. These estimates have been derived from a variety of sources, including the scientific literature, surveys of clinics, patient foundations or market research, and may prove to be incorrect. Further, new trials may change the estimated incidence or prevalence of these indications. The total addressable market across all of our product candidates will ultimately depend upon, among other things, the diagnosis criteria included in the final label for each of our product candidates which receives marketing approval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results of operations and our business. Further, even if we obtain significant market share for our product candidates, because some of our potential target populations are very small, we may never achieve profitability despite obtaining such significant market share.</w:t>
      </w:r>
    </w:p>
    <w:p>
      <w:pPr>
        <w:spacing w:after="0" w:line="1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59"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We are not permitted to market or promote any of our product candidates before we receive marketing approval from applicable regulatory authorities in foreign markets, and we may never receive such marketing approvals for any of our product candidates. To obtain separate marketing approval in many other countries we must comply with numerous and varying regulatory requirements regarding safety and efficacy and governing, among other things, clinical trials, commercial sales, pricing and distribution of our product candidates. If we obtain marketing approval of our product candidates and ultimately commercialize our products in foreign markets, we would be subject to additional risks and uncertainties, including:</w:t>
      </w:r>
    </w:p>
    <w:p>
      <w:pPr>
        <w:spacing w:after="0" w:line="147" w:lineRule="exact"/>
        <w:rPr>
          <w:sz w:val="20"/>
          <w:szCs w:val="20"/>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or war in particular foreign economies and markets;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53" w:lineRule="exact"/>
        <w:rPr>
          <w:sz w:val="20"/>
          <w:szCs w:val="20"/>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98"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84"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fluctuations may occur due to a variety of factors, many of which are outside of our control, including, but not limited to:</w:t>
      </w:r>
    </w:p>
    <w:p>
      <w:pPr>
        <w:spacing w:after="0" w:line="166" w:lineRule="exact"/>
        <w:rPr>
          <w:sz w:val="20"/>
          <w:szCs w:val="20"/>
          <w:color w:val="auto"/>
        </w:rPr>
      </w:pPr>
    </w:p>
    <w:p>
      <w:pPr>
        <w:ind w:left="1140" w:right="20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marketing approval and commercialization activities relating to our product candidates, which may change from time to time;</w:t>
      </w:r>
    </w:p>
    <w:p>
      <w:pPr>
        <w:spacing w:after="0" w:line="134"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candidates, if approved, and potential future drugs that compete with our products;</w:t>
      </w:r>
    </w:p>
    <w:p>
      <w:pPr>
        <w:spacing w:after="0" w:line="12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third-party manufacturers;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approved products, which may vary significantly;</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84"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Such a stock price decline could occur even when we have met any previously publicly stated revenue or earnings guidance we may provide.</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manage and motivate highly qualified management, clinical and scientific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8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San Diego County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continue to grow the size and capabilities of our organization, and we may experience difficulties in managing this growth.</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of February 25, 2026, we had 87 full-time employees , including 67 employees engaged in research and development. In order to successfully implement our development and commercialization plans and strategies, we expect to need to continue to add significant additional managerial, operational, sales, marketing, financial and other personnel. Future growth will impose significant added responsibilities on members of management, including:</w:t>
      </w:r>
    </w:p>
    <w:p>
      <w:pPr>
        <w:spacing w:after="0" w:line="139" w:lineRule="exact"/>
        <w:rPr>
          <w:sz w:val="20"/>
          <w:szCs w:val="20"/>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retaining and motivating our current and additional employees;</w:t>
      </w:r>
    </w:p>
    <w:p>
      <w:pPr>
        <w:spacing w:after="0" w:line="198" w:lineRule="exact"/>
        <w:rPr>
          <w:rFonts w:ascii="Times New Roman" w:cs="Times New Roman" w:eastAsia="Times New Roman" w:hAnsi="Times New Roman"/>
          <w:sz w:val="18"/>
          <w:szCs w:val="18"/>
          <w:color w:val="auto"/>
        </w:rPr>
      </w:pPr>
    </w:p>
    <w:p>
      <w:pPr>
        <w:ind w:left="1140" w:right="120" w:hanging="383"/>
        <w:spacing w:after="0" w:line="312" w:lineRule="auto"/>
        <w:tabs>
          <w:tab w:leader="none" w:pos="11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internal development efforts effectively, including the preclinical, clinical, the FDA or comparable foreign regulatory authorities’ review process for product candidates, while complying with any contractual obligations to contractors and other third parties;</w:t>
      </w:r>
    </w:p>
    <w:p>
      <w:pPr>
        <w:spacing w:after="0" w:line="99"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increasing operational and managerial complexity;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94"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if approved, commercialize our product candidates and, accordingly, may not achieve our research, development and commercialization goals.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federal, state and foreign healthcare laws and regulations, which could increase compliance costs, and our failure to comply with these laws and regulations could harm our results of operations and financial condition.</w:t>
      </w:r>
    </w:p>
    <w:p>
      <w:pPr>
        <w:spacing w:after="0" w:line="15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 without limitation:</w:t>
      </w:r>
    </w:p>
    <w:p>
      <w:pPr>
        <w:spacing w:after="0" w:line="139" w:lineRule="exact"/>
        <w:rPr>
          <w:sz w:val="20"/>
          <w:szCs w:val="20"/>
          <w:color w:val="auto"/>
        </w:rPr>
      </w:pPr>
    </w:p>
    <w:p>
      <w:pPr>
        <w:ind w:left="1140" w:right="360" w:hanging="383"/>
        <w:spacing w:after="0" w:line="25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is a criminal law that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 Kickback Statute or specific intent to violate it in order to have committed a violation;</w:t>
      </w:r>
    </w:p>
    <w:p>
      <w:pPr>
        <w:spacing w:after="0" w:line="160" w:lineRule="exact"/>
        <w:rPr>
          <w:rFonts w:ascii="Times New Roman" w:cs="Times New Roman" w:eastAsia="Times New Roman" w:hAnsi="Times New Roman"/>
          <w:sz w:val="18"/>
          <w:szCs w:val="18"/>
          <w:color w:val="auto"/>
        </w:rPr>
      </w:pPr>
    </w:p>
    <w:p>
      <w:pPr>
        <w:ind w:left="1140" w:hanging="383"/>
        <w:spacing w:after="0" w:line="25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146" w:lineRule="exact"/>
        <w:rPr>
          <w:rFonts w:ascii="Times New Roman" w:cs="Times New Roman" w:eastAsia="Times New Roman" w:hAnsi="Times New Roman"/>
          <w:sz w:val="18"/>
          <w:szCs w:val="18"/>
          <w:color w:val="auto"/>
        </w:rPr>
      </w:pPr>
    </w:p>
    <w:p>
      <w:pPr>
        <w:ind w:left="1140" w:right="80" w:hanging="383"/>
        <w:spacing w:after="0" w:line="258"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42" w:lineRule="exact"/>
        <w:rPr>
          <w:rFonts w:ascii="Times New Roman" w:cs="Times New Roman" w:eastAsia="Times New Roman" w:hAnsi="Times New Roman"/>
          <w:sz w:val="18"/>
          <w:szCs w:val="18"/>
          <w:color w:val="auto"/>
        </w:rPr>
      </w:pPr>
    </w:p>
    <w:p>
      <w:pPr>
        <w:ind w:left="1140" w:hanging="383"/>
        <w:spacing w:after="0" w:line="274" w:lineRule="auto"/>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and</w:t>
      </w:r>
    </w:p>
    <w:p>
      <w:pPr>
        <w:spacing w:after="0" w:line="145" w:lineRule="exact"/>
        <w:rPr>
          <w:rFonts w:ascii="Times New Roman" w:cs="Times New Roman" w:eastAsia="Times New Roman" w:hAnsi="Times New Roman"/>
          <w:sz w:val="17"/>
          <w:szCs w:val="17"/>
          <w:color w:val="auto"/>
        </w:rPr>
      </w:pPr>
    </w:p>
    <w:p>
      <w:pPr>
        <w:ind w:left="1140" w:right="340" w:hanging="383"/>
        <w:spacing w:after="0" w:line="289" w:lineRule="auto"/>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biopharmaceutical and biotechnology companies to comply with the industry’s voluntary compliance</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9" w:name="page70"/>
    <w:bookmarkEnd w:id="69"/>
    <w:p>
      <w:pPr>
        <w:spacing w:after="0" w:line="153" w:lineRule="exact"/>
        <w:rPr>
          <w:sz w:val="20"/>
          <w:szCs w:val="20"/>
          <w:color w:val="auto"/>
        </w:rPr>
      </w:pPr>
    </w:p>
    <w:p>
      <w:pPr>
        <w:ind w:left="1140" w:right="140"/>
        <w:spacing w:after="0" w:line="261" w:lineRule="auto"/>
        <w:rPr>
          <w:sz w:val="20"/>
          <w:szCs w:val="20"/>
          <w:color w:val="auto"/>
        </w:rPr>
      </w:pPr>
      <w:r>
        <w:rPr>
          <w:rFonts w:ascii="Times New Roman" w:cs="Times New Roman" w:eastAsia="Times New Roman" w:hAnsi="Times New Roman"/>
          <w:sz w:val="18"/>
          <w:szCs w:val="18"/>
          <w:color w:val="auto"/>
        </w:rPr>
        <w:t>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and biotechnology companies to report information on the pricing of certain drug products; and some state and local laws require the registration or pharmaceutical sales representatives.</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certain arrangements with physicians who receive stock or stock options as compensation for services provided to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w:t>
      </w:r>
    </w:p>
    <w:p>
      <w:pPr>
        <w:spacing w:after="0" w:line="18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our future collaborators and our service providers may be subject to a variety of privacy and data security laws and contractual obligations, which could increase compliance costs and our failure to comply with them could subject us to potentially significant fines or penalties and otherwise harm our business. We are subject to laws and regulations governing the privacy and security of sensitive information, including confidential business and health-related information. The global data protection landscape is rapidly evolving, and we may be affected by or 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information. Guidance on implementation and compliance practices are often updated or otherwise revised.</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as well as their covered subcontractors.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be subject to significant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addition, certain state laws and regulations govern the privacy, processing and security of health-related and other personal information in certain circumstances, some of which are more stringent than HIPAA and many of which differ from each other in significant ways and may not have the same effect, thus complicating compliance efforts. By way of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in Europe, we are subject to the European Union General Data Protection Regulation, (EU GDPR) and to the United Kingdom General Data Protection Regulation and Data Protection Act 2018 (collectively, the UK GDPR) (the EU GDPR and UK GDPR together referred to as the GDPR). Companies that must comply with the GDPR face increased compliance obligations and risk, including more robust regulatory enforcement of data protection requirements and potential fines for noncompliance of up to €20 million / £17.5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96"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As we continue to expand into other foreign countries and jurisdictions, we may be subject to additional laws and regulations that may affect how we conduct business.</w:t>
      </w:r>
    </w:p>
    <w:p>
      <w:pPr>
        <w:spacing w:after="0" w:line="16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healthcare reform measures may increase the difficulty and cost for us to obtain marketing approval for and commercialize our product candidates and may affect the prices we may set.</w:t>
      </w:r>
    </w:p>
    <w:p>
      <w:pPr>
        <w:spacing w:after="0" w:line="15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80"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For example, the Affordable Care Act (ACA) was enacted in the United States in 2010. Among the provisions of the ACA of importance to our potential product candidates,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the entities eligible for discounts under the 340B drug pricing program; increased the statutory minimum rebates a manufacturer must pay under the Medicaid Drug Rebate Program; and established a Center for Medicare and Medicaid Innovation at CMS to test innovative payment and service delivery models to lower Medicare and Medicaid spending. Since its enactment, there have been judicial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9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The Budget Control Act of 2011, among other things, reduced Medicare payments to providers, which went into effect on April 1, 2013 and will remain in effect until 2032, unless additional Congressional action is taken.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180"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80"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(IRA) was enacted in 2022. The IRA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The Centers for Medicare &amp; Medicaid Services has published the negotiated prices for the initial ten drugs, which went into effect in January 2026, and the subsequent 15 drugs, which will first be effective in 2027. The Centers for Medicare &amp; Medicaid Services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176"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United States.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United States to the lowest price in a group of other countries. In response, multiple manufacturers have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United States that is based on drug prices outside the United States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At the state level, legislatures have increasingly passed legislation and implemented regulations designed to control pharmaceutical and biological product pricing, including price or patient reimbursement constraints, discounts, restrictions on certain product access, marketing cost disclosure, drug price reporting and other transparency measures.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our product candidates, if approved.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20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7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 consuming or costly.</w:t>
      </w:r>
    </w:p>
    <w:p>
      <w:pPr>
        <w:spacing w:after="0" w:line="15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and any of our third-party suppliers and potential future collaborators will use biological materials, potent chemical agents and may use hazardous materials, including chemicals and biological agents and compounds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9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marketing approvals could be suspended.</w:t>
      </w:r>
    </w:p>
    <w:p>
      <w:pPr>
        <w:spacing w:after="0" w:line="19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80"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may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trials of our product candidates and will face an even greater risk if we commercialize our product candidates.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35" w:lineRule="exact"/>
        <w:rPr>
          <w:sz w:val="20"/>
          <w:szCs w:val="20"/>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if approved;</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our management’s time and our resources;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53" w:lineRule="exact"/>
        <w:rPr>
          <w:sz w:val="20"/>
          <w:szCs w:val="20"/>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financial impact;</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currently hold $10 million of product liability insurance coverage. We may need to increase our insurance coverage as we initiate additional clinical trials or if we commence commercialization of our product candidates, if ever. Insurance coverage is increasingly expensive. Our inability to obtain and retain sufficient product liability insurance at an acceptable cost to protect against potential product liability claims could prevent or inhibit the commercialization of our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including product liability insurance. Some of the policies we currently maintain include property, general liability, employment benefits liability, business automobile workers’ compensation, directors’ and officers’, employment practices and fiduciary liability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7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any of our potential future collaborators will be required to report to regulatory authorities if any of our product candidates or approved products in clinical trials cause or contribute to certain adverse medical events, and any failure to do so would result in sanctions that would materially harm our business.</w:t>
      </w:r>
    </w:p>
    <w:p>
      <w:pPr>
        <w:spacing w:after="0" w:line="175"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FDA or comparable foreign regulatory authorities would require that we and potential future collaborators report certain information about adverse medical events relating to any product that is approved or product candidate in clinical trials. The timing of our obligation to report would be triggered by the date we become aware of the adverse event as well as the nature of the event. We and any of our potential future collaborators or CROs may fail to report adverse events within the prescribed timeframe. If we or any of our potential future collaborators or CROs fail to comply with such reporting obligations, the FDA or a comparable foreign regulatory authority could take action, including criminal prosecution, the imposition of civil monetary penalties, seizure of our products or delay in approval or clearance of future products.</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any of our CROs, other contractors or consultants or potential future collaborators, may fail or suffer security breaches, which could result in a material disruption of our product development programs, harm our reputation, significant fines, penalties and liability and loss of customers or sales.</w:t>
      </w:r>
    </w:p>
    <w:p>
      <w:pPr>
        <w:spacing w:after="0" w:line="17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collect, store, transmit and otherwise process large amounts of confidential information including, without limitation, intellectual property, proprietary business information, preclinical and clinical trial data, health-related information and personal information (collectively, Confidential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Information). We face evolving cybersecurity risks that threaten the confidentiality, integrity and availability of our information technology systems and Confidential Information. Despite the implementation of security measures, our information technology systems (including infrastructure) and those of our current and any future CROs and other contractors, consultants and collaborators are vulnerable to attack, damage or interruption from diverse threat actors, such as state-sponsored organizations, opportunistic hackers and hacktivists, as well as through diverse attack vectors, including computer viruses and malware (e.g. ransomware), malicious code, denial-of-service attacks, cyberattacks or cyber-intrusions over the Internet, phishing and other social engineering attacks, misconfigurations, “bugs” or other vulnerabilities, fraud, unauthorized access or use, natural disasters, terrorism, war, and telecommunication and electrical failures. Our systems are also subject to compromise from internal threats, such as theft, misuse, unauthorized access or other improper or accidental actions by employees, vendors and other third parties with otherwise legitimate access to our systems. Third parties may also attempt to fraudulently induce our employees and contractors into disclosing sensitive information such as usernames, passwords or other information, or otherwise compromise the security of our electronic systems, networks, and/ or physical facilities in order to gain access to our data.</w:t>
      </w:r>
    </w:p>
    <w:p>
      <w:pPr>
        <w:spacing w:after="0" w:line="194"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Cyberattacks are expected to accelerate on a global basis in frequency and magnitude as threat actors are becoming increasingly sophisticated in using techniques and tools – including artificial intelligence – that circumvent security controls, evade detection and remove forensic evidence. As a result, we may be unable to detect, investigate, remediate or recover from future attacks or incidents, or to avoid a material adverse impact to our information technology systems, Confidential Information or business. Given the unpredictability of the timing, nature and scope of information technology disruptions, there can be no assurance that our or our third-party partners’ and service providers’ cybersecurity risk management programs and processes, including any related policies, controls or procedures, will be fully implemented, complied with or effective in protecting our information technology systems and Confidential Information. The latency of a cyberattack is often measured in months, but could be years, and we may not be able to detect such a compromise in a timely manner. New techniques may not be identified until they are launched against a target, and we may be unable to anticipate these techniques or detect an incident, assess its severity or impact, react or appropriately respond in a timely manner or implement adequate preventative measures, resulting in potential data loss or other damage to our information technology systems.</w:t>
      </w:r>
    </w:p>
    <w:p>
      <w:pPr>
        <w:spacing w:after="0" w:line="194"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or our third party service provider’s operations or result in the unauthorized disclosure of or access to Confidential Information (violating certain privacy laws such as the GDPR),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governmental authorities, supervisory bodies, the media and other parties of security breaches involving particular personally identifiable information, which could result from breaches experienced by us or by our vendors, contractors, or organizations with which we have formed strategic relationships. Also, due to the continued hybrid working environment, many of our employees are working remotely. As a result, we may have increased cyber security and data security risks, due to increased use of home wi-fi networks and virtual private networks, as well as increased disbursement of physical machines. While we implement information technology controls to reduce the risk of a cyber security or data security breach, there is no guarantee that these measures will be adequate to safeguard all systems, especially with an increased number of employees working remotely. Furthermore, any integration of artificial intelligence in our or any third party’s operations, products or services is expected to pose new or unknown cybersecurity risks and challenges.</w:t>
      </w:r>
    </w:p>
    <w:p>
      <w:pPr>
        <w:spacing w:after="0" w:line="190"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Any security breach or other incident, whether real or perceived, could impact our reputation, impact the availability, integrity or confidentiality of our data, result in legal claims or proceedings (such as class actions), harm customer confidence, hurt our expansion into new markets, cause us to incur remediation costs or cause us to lose existing customers. For example, the loss of clinical trial data from clinical trials could result in delays in our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marketing approval efforts and significantly increase our costs to recover or reproduce the data. We also rely on third parties to manufacture our product candidates, and similar events relating to their computer systems could also have a material adverse effect on our business. To the extent that any real or perceived disruption or security breach affects our systems (or those of our third-party collaborators, service providers, contractors or consultants) or were to result in a loss of or accidental, unlawful or unauthorized access to, use of, release of, or other processing of Confidential Information, or damage to, our data or applications, or inappropriate disclosure of Confidential Information, we could incur liability, the further development and commercialization of our product candidates could be delayed, and we could be subject to significant incident response, system restoration or remediation and future compliance costs, as well as significant fines, penalties or liabilities for any noncompliance to certain privacy and security laws. We maintain cyber liability insurance; however, this insurance may not be sufficient to cover the financial, legal, business or reputational losses that may result from an interruption or breach of our systems.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litigation, government investigations and enforcement actions.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operate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product seizure, equitable remedies, including disgorgement, injunctive relief and/or other sanctions against us, and remediation of any such findings could have an adverse effect on our business operations.</w:t>
      </w:r>
    </w:p>
    <w:p>
      <w:pPr>
        <w:spacing w:after="0" w:line="18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Legal proceedings, government investigations and enforcement actions can be expensive and time consuming. An adverse outcome resulting from any such proceeding, investigations or enforcement actions could result in significant damages awards, fines, penalties, exclusion from the federal healthcare programs, healthcare or regulatory debarment, injunctive relief, product recalls, reputational damage and modifications of our business practices, which could have a material adverse effect on our business and results of operations.</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recording and reporting of true, complete and accurate information to such authorities, (ii) manufacturing standards, including cGMP requirements or similar foreign requirements, (iii) federal and state data privacy, 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consequences or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and adverse developments with respect to financial institutions and associated liquidity risk may have serious adverse consequences on our business, financial condition and stock price.</w:t>
      </w:r>
    </w:p>
    <w:p>
      <w:pPr>
        <w:spacing w:after="0" w:line="15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including changes related to the U.S. and foreign governments in tariffs and trade policies affecting trade between the United States and other countries. The financial markets and the global economy may also be adversely affected by the current or anticipated impact of military conflict, terrorism or other geopolitical events. Sanctions imposed by the United States and other countries in response to such conflicts may also adversely impact the financial markets and the global economy, and any economic countermeasures by affected countries and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changes in tariffs and trade policies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financial performance and stock price and could require us to delay or abandon clinical development plans.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materially adversely affect our financial condition, results of operations and cash flows.</w:t>
      </w:r>
    </w:p>
    <w:p>
      <w:pPr>
        <w:spacing w:after="0" w:line="229"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or interpreted, changed, modified or applied adversely to us, any of which could adversely affect our business operations and financial performance. The likelihood of specific changes in tax law being enacted or implemented is unclear. We are currently unable to predict whether such changes will occur. If such changes are enacted or implemented, we are currently unable to predict the ultimate impact on our business. We urge our investors to consult with their legal and tax advisors with respect to any changes in tax law and the potential tax consequences of investing in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To the extent that we continue to generate net operating losses (NOLs), such NOLs will carry forward and, subject to limitations, offset future taxable income, if any, until such unused NOL carryforwards expire (if subject to expiration). At December 31, 2025, we had U.S. federal and state NOL carryforwards of approximately $188.7 million and $67.3 million, respectively.</w:t>
      </w:r>
    </w:p>
    <w:p>
      <w:pPr>
        <w:spacing w:after="0" w:line="18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U.S. federal NOLs generated in periods after December 31, 2017 may be carried forward indefinitely but may only be used to offset 80% of our taxable income in years beginning after December 31, 2020.</w:t>
      </w:r>
    </w:p>
    <w:p>
      <w:pPr>
        <w:spacing w:after="0" w:line="16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NOL carryforwards and other tax attributes are subject to review and possible adjustment by the U.S. Internal Revenue Service and state tax authorities. Under Section 382 of the U.S. Internal Revenue Code of 1986, as amended (the Code), our U.S. federal NOL carryforwards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NOL carryforwards and other tax attributes to offset future taxable income or tax liabilities may be limited as a result of ownership changes, including potential changes in connection with our initial public offering (IPO) or any other offerings. Similar rules may apply under state tax laws. We have not yet determined the amount of the cumulative change in our ownership resulting from our IPO or other transactions, or any resulting limitations on our ability to utilize our NOL carryforwards and other tax attributes.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product candidates and other proprietary technologies we develop, or if the scope of the patent protection obtained is not sufficiently broad, our competitors could develop and commercialize products and technology similar or identical to ours, and our ability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successfully commercialize our product candidates and other proprietary technologies we may develop may be adversely affected.</w:t>
      </w:r>
    </w:p>
    <w:p>
      <w:pPr>
        <w:spacing w:after="0" w:line="229" w:lineRule="exact"/>
        <w:rPr>
          <w:sz w:val="20"/>
          <w:szCs w:val="20"/>
          <w:color w:val="auto"/>
        </w:rPr>
      </w:pPr>
    </w:p>
    <w:p>
      <w:pPr>
        <w:ind w:firstLine="749"/>
        <w:spacing w:after="0" w:line="277" w:lineRule="auto"/>
        <w:rPr>
          <w:sz w:val="20"/>
          <w:szCs w:val="20"/>
          <w:color w:val="auto"/>
        </w:rPr>
      </w:pPr>
      <w:r>
        <w:rPr>
          <w:rFonts w:ascii="Times New Roman" w:cs="Times New Roman" w:eastAsia="Times New Roman" w:hAnsi="Times New Roman"/>
          <w:sz w:val="17"/>
          <w:szCs w:val="17"/>
          <w:color w:val="auto"/>
        </w:rPr>
        <w:t>Our success depends in large part on our ability to obtain and maintain patent protection in the United States and other countries with respect to our product candidates and other proprietary technologies we may develop as well as our ability to operate without infringing upon the proprietary rights of others. We seek to protect our proprietary position, in part, by filing patent applications in the United States and abroad relating to our product candidates and other proprietary technologies we may develop. If we are unable to obtain or maintain patent protection with respect to our product candidates and other proprietary technologies we may develop, our business, financial condition, results of operations and prospects could be materially harmed.</w:t>
      </w:r>
    </w:p>
    <w:p>
      <w:pPr>
        <w:spacing w:after="0" w:line="16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protection. We cannot predict whether the patent applications we are currently pursuing will issue as patents in any particular jurisdiction or whether the claims of any of our issued patents will provide sufficient protection against competitors or other third parties.</w:t>
      </w:r>
    </w:p>
    <w:p>
      <w:pPr>
        <w:spacing w:after="0" w:line="180"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CROs,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pending patent applications, or that we were the first to file for patent protection of such inventions.</w:t>
      </w:r>
    </w:p>
    <w:p>
      <w:pPr>
        <w:spacing w:after="0" w:line="194"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and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patent applications may not result in patents being issued which protect our product candidates and other proprietary technologies we may develop or which effectively prevent others from commercializing competitive technologies and products.</w:t>
      </w:r>
    </w:p>
    <w:p>
      <w:pPr>
        <w:spacing w:after="0" w:line="180"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Moreover, the claim coverage in a patent application can be significantly reduced before the patent is granted. Even if they issue, our pending patent applications may not issue in a form that will provide us with any meaningful protection, prevent competitors or other third parties from competing with us or otherwise provide us with any competitive advantage, and patents issuing from our patent applications may be challenged, narrowed, circumvented or invalidated by third parties. Consequently, we do not know whether our product candidates and other proprietary technology will be protectable or remain protected by valid and enforceable patents. Our competitors or other third parties may be able to circumvent our existing patent or patents issuing from our patent applications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product candidates, patents protecting the product candidates might expire before or shortly after such product candidates are commercialized.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0" w:name="page81"/>
    <w:bookmarkEnd w:id="8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our intellectual property may not provide us with sufficient rights to exclude others from commercializing products similar or identical to ours.</w:t>
      </w:r>
    </w:p>
    <w:p>
      <w:pPr>
        <w:spacing w:after="0" w:line="22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(USPTO) or become involved in opposition, derivation, revocation, reexamination, post- grant and inter partes review, or other similar proceedings challenging our patent rights. An adverse determination in any such submission, proceeding or litigation could reduce the scope of, or invalidate or render unenforceable, our patent rights, allow third parties to commercialize our product candidates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Substantive examination is just beginning on our pending patent applications, which makes it difficult to forecast the extent of any future patent right.</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cannot be certain that the claims in our U.S. pending patent applications or corresponding international patent applications, or patent applications in certain foreign territories, will be considered patentable by the USPTO. Patent claims are subject to revision during prosecution and pending patent applications cannot be enforced against third parties practicing the technology claimed in such applications unless, and until, patents issue from such applications, and then only to the extent the issued claims cover the third party’s technology. There can be no assurance that our patent applications will result in patents being issued or that issued patents will afford sufficient protection against competitors with similar technology. For example, examiners at a patent office may uncover prior art of which we were not previously aware, and if this cited prior art encompasses our claimed inventions, it may restrict patentability or prevent allowance of any pending patent claims. Furthermore, the patent prosecution process is expensive, time-consuming, and often a multi-year process. We and any future licensors may not be able to file and prosecute all necessary or desirable patent applications at a reasonable cost or in a timely manner or in all jurisdictions where protection may be commercially advantageous. Therefore, we cannot be certain that we will own any issued patents or develop a patent portfolio, which could have a material adverse effect on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29"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and other proprietary technologies we may develop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intellectual property and proprietary rights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generally. In India, unlike the United States, there is no link between regulatory approval for a drug and its patent status.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U.S. and other jurisdictions.</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future issued patents or those of any future licensors. For example, the United States and foreign government actions related to Russia’s war with Ukraine may limit or prevent filing, prosecution, and maintenance of patent applications in Russia. Government actions may also prevent maintenance of issued patents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92"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83"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a Unitary Patent and Unified Patent Court (UPC) system was implemented in Europe on June 1, 2023, which has become a common forum for challenging patents in the pharmaceutical space. This new regime may present uncertainties for our ability to protect and enforce our patent rights against competitors in Europe. Under the UPC, all European patents, including those issued prior to ratification of the European Patent Package, will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2" w:name="page83"/>
    <w:bookmarkEnd w:id="82"/>
    <w:p>
      <w:pPr>
        <w:spacing w:after="0" w:line="190"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there could be delays at the USPTO caused by staffing cuts and other U.S. government actions as a result of the U.S. Department of Government Efficiency or other executive actions to reduce the size of the U.S. government.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Since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(i) file any patent application related to our product candidates and other proprietary technologies we may develop or (ii) invent any of the inventions claimed in our patent applications. There remains many subsisting issued patents and some pending patent applications in the U.S. that were filed prior to enactment of the America Invents Act, and are therefore subject to the pre-America Invents Act U.S. patent laws, which may have relevance to our freedom-to-operate or ability to obtain patent issuances.</w:t>
      </w:r>
    </w:p>
    <w:p>
      <w:pPr>
        <w:spacing w:after="0" w:line="19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patents issuing from those patent applications, all of which could have a material adverse effect on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For example, the scope of patentable subject matter under 35 U.S.C. § 101 has evolved significantly over the past several years as the Court of Appeals for the Federal Circuit and the Supreme Court issued various opinions, and the USPTO modified its guidance for practitioners on multiple occasions.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ability to protect and enforce our intellectual property in the future.</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relating to our product candidates and other proprietary technologies we may develop could be found invalid or unenforceable if challenged in court or before administrative bodies in the United States or abroad.</w:t>
      </w:r>
    </w:p>
    <w:p>
      <w:pPr>
        <w:spacing w:after="0" w:line="15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If we initiated legal proceedings against a third party to enforce a patent relating to our product candidates and other proprietary technologies we may develop,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derivation proceedings, and equivalent proceedings in foreign jurisdictions (e.g., opposition proceedings). Such proceedings could result in the revocation of, cancellation of or amendment to our patents in such a way that they no longer cover our product candidates and other proprietary technologies we may develop.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and other proprietary technologies we may develop. Such a loss of patent protection would have a material adverse impact on our business, financial condition, results of operations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and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229"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 we may develop, one or more of our patents or patents issuing from our U.S. patent applications may be eligible for limited patent term extension under the Drug Price Competition and Patent Term Restoration Action of</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4" w:name="page85"/>
    <w:bookmarkEnd w:id="84"/>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1984 (the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any clinical trials, the period of time during which we could market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 rights, trade secrets, or other intellectual property as an inventor or co-inventor.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our product candidates and other proprietary technologies we may develop, we also rely on trade secrets and confidentiality agreements to protect our unpatented know-how, technology, and other proprietary information and to maintain our competitive position. With respect to our development programs, we consider trade secrets and know-how to be one of our important sources of intellectual property, including our extensive knowledge of crystallography structure-based drug design.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CROs,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our product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product candidates and other proprietary technologies we may develop. Even if we are successful in defending against such claims, litigation could result in substantial costs and be a distraction to our management and other employees. We may need to share our proprietary information, including trade secrets, with our current and future business partners, collaborators, contractors and others located in countries at heightened risk of theft of trade secrets, including through direct intrusion by private parties or foreign actors, and those affiliated with or controlled by state actors. Any of the foregoing could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rights to any product candidate we may develop through acquisitions and in-licenses.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currently solely own intellectual property covering our product candidates. Other pharmaceutical companies and academic institutions may also have filed or are planning to file patent applications potentially relevant to our business. In order to avoid infringing these third-party patents, we may find it necessary or prudent to obtain licenses to such patents from such third-party intellectual property holders. However, we may be unable to secure such licenses or otherwise acquire or in-license any compositions, methods of use, processes or other intellectual property rights from third parties that we identify as necessary for our product candidates and other proprietary technologies we may develop. 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8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Some of our employees, consultants and advisors are currently or were previously employed at universities or other biopharmaceutical or biotechnology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against us or our collaborators may prevent or delay the development and commercialization of our product candidates and other proprietary technologies we may develop.</w:t>
      </w:r>
    </w:p>
    <w:p>
      <w:pPr>
        <w:spacing w:after="0" w:line="15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biopharmaceutical and biotechnology industries, as well as administrative proceedings for challenging patents, including derivation and reexamination proceedings before the USPTO or oppositions and other comparable proceedings in foreign jurisdictions. As discussed above, as a result of the America Invests Act, procedures including inter partes review and post-grant review have been implemented. The America Invents Act adds uncertainty to the possibility of challenge to our patents in the future.</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owned by third parties exist in the fields in which we are commercializing or plan to commercialize our product candidates and in which we are developing other proprietary technologies. As the biopharmaceutical and biotechnology industries expand and more patents are issued, the risk increases that our product candidates and commercializing activities may give rise to claims of infringement of the patent rights of others. We cannot assure you that our product candidates and other proprietary technologies we may develop will not infringe existing or future patents owned by third parties. We may not be aware of patents that have already been issued and that a third party, for example, a competitor in the fields in which we are developing our product candidates,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planned products. As such, patents owned by third parties of which we are aware are monitored in the relevant pharmaceutical markets. In addition, because patent applications can take many years to issue and may be confidential for 18 months or more after filing, there may be currently pending patent applications that may later result in issued patents that we may infringe.</w:t>
      </w:r>
    </w:p>
    <w:p>
      <w:pPr>
        <w:spacing w:after="0" w:line="190"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In this case, the holders of such patents may be able to block our ability to commercialize the infringing products or technologies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w:t>
      </w:r>
    </w:p>
    <w:p>
      <w:pPr>
        <w:spacing w:after="0" w:line="176"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In that event, we would be unable to further develop and commercialize our product candidate or technologies, which could harm our business significantly. Further, we cannot predict whether any required license would be available at all or whether it would be available on commercially reasonable terms. In the event that we could not obtain a license, we may be unable to further develop our product candidate and commercialize our future product, if approved,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9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Engaging in litigation defending against third parties alleging infringement of patent and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have a material adverse effect on our business, financial condition or results of operations.</w:t>
      </w:r>
    </w:p>
    <w:p>
      <w:pPr>
        <w:spacing w:after="0" w:line="183"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If we do not prevail in the patent proceedings the third parties may assert a claim of patent infringement directed at our product candidates.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5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Third parties, such as a competitor, may infringe, misappropriate, or otherwise violate our current or future issued patents and other intellectual property rights. In a patent infringement proceeding, a court may decide that a patent owned by us is invalid or unenforceable or may refuse to stop the other party from using the invention at issue on the grounds that the patent does not cover the technology in question or that the other party’s use of our patented technology falls under the safe harbor to patent infringement under 35 U.S.C. § 271(e)(1). In addition, our patent rights may become involved in inventorship, priority or validity disputes. To counter or defend against such claims can be expensive and time 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addition, the uncertainties associated with litigation could compromise our ability to raise the funds necessary to continue any clinical trials, continue our internal research programs, in-license needed technology or other product candidates, or enter into development partnerships that would help us bring our product candidates to market. In such cases, we may decide that the more prudent course of action is to simply monitor the situation or initiate or seek some other non-litigious action or solution.</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declared generic or determined to be infringing on other marks. During trademark registration proceedings, we may receive rejections of our applications by the USPTO or in other foreign jurisdictions. Although we are given an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9" w:name="page90"/>
    <w:bookmarkEnd w:id="89"/>
    <w:p>
      <w:pPr>
        <w:spacing w:after="0" w:line="19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1" w:lineRule="exact"/>
        <w:rPr>
          <w:sz w:val="20"/>
          <w:szCs w:val="20"/>
          <w:color w:val="auto"/>
        </w:rPr>
      </w:pPr>
    </w:p>
    <w:p>
      <w:pPr>
        <w:ind w:left="1140" w:right="24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 or utilize similar technology but that are not covered by the claims of the patents that we may license or may own;</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current or future patents;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our inventions;</w:t>
      </w:r>
    </w:p>
    <w:p>
      <w:pPr>
        <w:spacing w:after="0" w:line="184"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patent applications will not lead to issued patents;</w:t>
      </w:r>
    </w:p>
    <w:p>
      <w:pPr>
        <w:spacing w:after="0" w:line="184" w:lineRule="exact"/>
        <w:rPr>
          <w:rFonts w:ascii="Times New Roman" w:cs="Times New Roman" w:eastAsia="Times New Roman" w:hAnsi="Times New Roman"/>
          <w:sz w:val="18"/>
          <w:szCs w:val="18"/>
          <w:color w:val="auto"/>
        </w:rPr>
      </w:pPr>
    </w:p>
    <w:p>
      <w:pPr>
        <w:ind w:left="1140" w:right="58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issuing from our current or future patent applications may be held invalid or unenforceable, including as a result of legal challenges by our competitors or other third parties;</w:t>
      </w:r>
    </w:p>
    <w:p>
      <w:pPr>
        <w:spacing w:after="0" w:line="12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53" w:lineRule="exact"/>
        <w:rPr>
          <w:sz w:val="20"/>
          <w:szCs w:val="20"/>
          <w:color w:val="auto"/>
        </w:rPr>
      </w:pPr>
    </w:p>
    <w:p>
      <w:pPr>
        <w:ind w:left="1140" w:right="100" w:hanging="38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for patent protection in order to maintain certain trade secrets or know-how, and a third party may subsequently file a patent application covering such intellectual property.</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in-license or use third-party proprietary component and process rights. For example, our product candidates may require specific formulations to work effectively and efficiently, we may develop product candidates containing our compounds and pre-existing pharmaceutical compounds, or we may be required by the FDA or comparable foreign regulatory authorities to obtain marketing authorization of companion diagnostic test or tests for use with our product candidates, any of which could require us to obtain rights to use intellectual property held by third parties. For example, we are working with diagnostic companies to develop and utilize companion diagnostic tests to aid in identifying appropriate patients in our SURF302 Phase 2 clinical trial, and we will need to engage additional diagnostic partners across all our oncology programs to identify appropriate patients for study inclusion.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97"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Additionally, we might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83"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1" w:name="page92"/>
    <w:bookmarkEnd w:id="9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229"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p>
    <w:p>
      <w:pPr>
        <w:spacing w:after="0" w:line="139" w:lineRule="exact"/>
        <w:rPr>
          <w:sz w:val="20"/>
          <w:szCs w:val="20"/>
          <w:color w:val="auto"/>
        </w:rPr>
      </w:pPr>
    </w:p>
    <w:p>
      <w:pPr>
        <w:ind w:left="1140" w:right="300" w:hanging="383"/>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preclinical studies and clinical trials, and the results of trials of our competitors or those of other companies in our market sector;</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future clinical trials;</w:t>
      </w:r>
    </w:p>
    <w:p>
      <w:pPr>
        <w:spacing w:after="0" w:line="184"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approval of our product candidates, or limitations to specific label indications or patient populations for its use, or changes or delays in the regulatory review process;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foreign countries;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develop, acquire or license additional product candidates;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clinical trial results, product approvals and other developments regarding our competitors;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collaborators or other strategic partners;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84"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 or fluctuations in the valuation of such other companies;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insiders and stockholders;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w:t>
      </w:r>
    </w:p>
    <w:p>
      <w:pPr>
        <w:spacing w:after="0" w:line="184"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geopolitical and market conditions, events or factors, many of which are beyond our control, including war and terrorism, inflation and interest rate changes and financial institution instability;</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2" w:name="page93"/>
    <w:bookmarkEnd w:id="92"/>
    <w:p>
      <w:pPr>
        <w:spacing w:after="0" w:line="153" w:lineRule="exact"/>
        <w:rPr>
          <w:sz w:val="20"/>
          <w:szCs w:val="20"/>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w:t>
      </w:r>
    </w:p>
    <w:p>
      <w:pPr>
        <w:spacing w:after="0" w:line="225"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our management’s attention and resources, which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trading market for our common stock may not be maintained.</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can provide no assurance that we will be able to maintain an active trading market for our common stock. If an active market for our common stock is not sustained, it may be difficult for you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7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significantly influence all matters submitted to stockholders for approval.</w:t>
      </w:r>
    </w:p>
    <w:p>
      <w:pPr>
        <w:spacing w:after="0" w:line="15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Our executive officers, directors and greater than 5% stockholders, in the aggregate, own a significant amount of our outstanding common stock. Furthermore, certain of our current directors were appointed by our principal stockholders. As a result, such persons or their appointees to our board of directors, acting together,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5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by our executive officers, directors and principal stockholders in the public market or the perception that these sales might occur could significantly reduce the market price of our common stock and impair our ability to raise adequate capital through the sale of additional equity securities.</w:t>
      </w:r>
    </w:p>
    <w:p>
      <w:pPr>
        <w:spacing w:after="0" w:line="176"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In addition, certain of our existing stockholders are entitled to rights with respect to the registration of their shares under the Securities Act. Registration of these shares under the Securities Act would result in the shares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becoming freely tradable without restriction under the Securities Act, except for shares held by affiliates, as defined in Rule 144 under the Securities Act. Also, in connection with the private placement of our common stock in February 2024, we filed a registration statement for the resale by certain holders of our common stock and pre-funded warrants. Any sales of securities by these stockholders could have a material adverse effect on the trading price of our common stock.</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 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47" w:lineRule="exact"/>
        <w:rPr>
          <w:sz w:val="20"/>
          <w:szCs w:val="20"/>
          <w:color w:val="auto"/>
        </w:rPr>
      </w:pPr>
    </w:p>
    <w:p>
      <w:pPr>
        <w:ind w:left="1140" w:hanging="383"/>
        <w:spacing w:after="0" w:line="312" w:lineRule="auto"/>
        <w:tabs>
          <w:tab w:leader="none" w:pos="11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12" w:lineRule="exact"/>
        <w:rPr>
          <w:rFonts w:ascii="Times New Roman" w:cs="Times New Roman" w:eastAsia="Times New Roman" w:hAnsi="Times New Roman"/>
          <w:sz w:val="17"/>
          <w:szCs w:val="17"/>
          <w:color w:val="auto"/>
        </w:rPr>
      </w:pPr>
    </w:p>
    <w:p>
      <w:pPr>
        <w:ind w:left="1140" w:right="40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the Sarbanes-Oxley Act;</w:t>
      </w:r>
    </w:p>
    <w:p>
      <w:pPr>
        <w:spacing w:after="0" w:line="121" w:lineRule="exact"/>
        <w:rPr>
          <w:rFonts w:ascii="Times New Roman" w:cs="Times New Roman" w:eastAsia="Times New Roman" w:hAnsi="Times New Roman"/>
          <w:sz w:val="18"/>
          <w:szCs w:val="18"/>
          <w:color w:val="auto"/>
        </w:rPr>
      </w:pPr>
    </w:p>
    <w:p>
      <w:pPr>
        <w:ind w:left="1140" w:right="340" w:hanging="383"/>
        <w:spacing w:after="0" w:line="266"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98"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8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is required to devote substantial time to new compliance initiatives.</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and “pay versus performance” disclosure requirements that will apply to us when we cease to be an emerging growth company. Stockholder activism, changes in the political environment and the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rules and regulations applicable to public companies have substantially increased our legal and financial compliance costs and made some activities more time 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spacing w:after="0" w:line="17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We are also subject to other U.S. laws and regulations governing export controls, as well as economic sanctions and embargoes on certain countries and persons. Any violations of the laws and regulations described above may result in substantial civil and criminal fines and penalties, imprisonment, the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5" w:name="page96"/>
    <w:bookmarkEnd w:id="9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of export or import privileges, debarment, tax reassessments, breach of contract and fraud litigation, reputational harm and other consequences.</w:t>
      </w:r>
    </w:p>
    <w:p>
      <w:pPr>
        <w:spacing w:after="0" w:line="22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product candidates. Our ability to obtain clinical supplies of our product candidates could be disrupted if the operations of these suppliers were affected by a man-made or natural disaster or other business interruption. In addition, our corporate headquarters is located in Carlsbad,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arising from pandemic and epidemic diseases.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Future pandemics or other public health epidemics have the potential to present substantial public health and economic challenges and affect our employees, patients, physicians and other healthcare providers, communities and business operations, as well as the U.S. and global economies and financial markets. A pandemic or epidemic poses the risk that we or our employees, contractors, including our CROs, suppliers, collaborators and other partners may be prevented from conducting business activities for an indefinite period of time, including due to spread of the disease within these groups or due to shutdowns that may be requested or mandated by governmental authorities. While it is not possible at this time to estimate the impact on our business of pandemic or epidemic disease outbreaks, such outbreaks could: disrupt the supply chain and the manufacture or shipment of drug substances and finished drug products for our product candidates for use in our research, preclinical studies and clinical trials, delay, limit or prevent our employees and CROs from continuing research and development activities; impede our clinical trial initiation and recruitment and the ability of patients to continue in clinical trials, including the risk that participants enrolled in our clinical trials will contract the pandemic or epidemic disease in question, while the clinical trial is ongoing, which could impact the results of the clinical trial, including by increasing the number of observed adverse events; and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 Future pandemics or epidemics could also potentially affect the business of the FDA or comparable foreign regulatory authorities, which could result in delays in meetings related to planned or ongoing clinical trials. Any future pandemic or epidemic disease outbreak may have an adverse impact on global economic conditions which could have an adverse effect on our business and financial condition, including impairing our ability to raise capital when needed. The extent to which any future pandemic or epidemic disease could impact our results will depend on future developments that are highly uncertain and cannot be predicted.</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5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upon the effectiveness of our internal control over financial reporting.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independent registered public accounting firm are unable to conclude that our internal control over financial reporting is effective, investors may lose confidence in our financial reporting and the trading price of our common stock may decline.</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35" w:lineRule="exact"/>
        <w:rPr>
          <w:sz w:val="20"/>
          <w:szCs w:val="20"/>
          <w:color w:val="auto"/>
        </w:rPr>
      </w:pPr>
    </w:p>
    <w:p>
      <w:pPr>
        <w:ind w:left="1140" w:right="120" w:hanging="383"/>
        <w:spacing w:after="0" w:line="282"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7" w:name="page98"/>
    <w:bookmarkEnd w:id="97"/>
    <w:p>
      <w:pPr>
        <w:spacing w:after="0" w:line="153" w:lineRule="exact"/>
        <w:rPr>
          <w:sz w:val="20"/>
          <w:szCs w:val="20"/>
          <w:color w:val="auto"/>
        </w:rPr>
      </w:pPr>
    </w:p>
    <w:p>
      <w:pPr>
        <w:jc w:val="both"/>
        <w:ind w:left="1140" w:right="240" w:hanging="383"/>
        <w:spacing w:after="0" w:line="266"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48" w:lineRule="exact"/>
        <w:rPr>
          <w:rFonts w:ascii="Times New Roman" w:cs="Times New Roman" w:eastAsia="Times New Roman" w:hAnsi="Times New Roman"/>
          <w:sz w:val="18"/>
          <w:szCs w:val="18"/>
          <w:color w:val="auto"/>
        </w:rPr>
      </w:pPr>
    </w:p>
    <w:p>
      <w:pPr>
        <w:ind w:left="1140" w:right="38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remove a director for cause, and the prohibition on removal of directors without cause;</w:t>
      </w:r>
    </w:p>
    <w:p>
      <w:pPr>
        <w:spacing w:after="0" w:line="121" w:lineRule="exact"/>
        <w:rPr>
          <w:rFonts w:ascii="Times New Roman" w:cs="Times New Roman" w:eastAsia="Times New Roman" w:hAnsi="Times New Roman"/>
          <w:sz w:val="18"/>
          <w:szCs w:val="18"/>
          <w:color w:val="auto"/>
        </w:rPr>
      </w:pPr>
    </w:p>
    <w:p>
      <w:pPr>
        <w:jc w:val="both"/>
        <w:ind w:left="1140" w:right="20" w:hanging="383"/>
        <w:spacing w:after="0" w:line="266"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98"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21"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21"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134"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21" w:lineRule="exact"/>
        <w:rPr>
          <w:rFonts w:ascii="Times New Roman" w:cs="Times New Roman" w:eastAsia="Times New Roman" w:hAnsi="Times New Roman"/>
          <w:sz w:val="18"/>
          <w:szCs w:val="18"/>
          <w:color w:val="auto"/>
        </w:rPr>
      </w:pPr>
    </w:p>
    <w:p>
      <w:pPr>
        <w:ind w:left="1140" w:right="260" w:hanging="383"/>
        <w:spacing w:after="0" w:line="266"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and biotechnology companies have experienced significant stock price volatility in recent years. If we face such litigation, it could result in substantial costs and a diversion of our management’s attention and resources, which could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We implement reasonable administrative, technical and procedural safeguards to manage cybersecurity risks, including enforcing single sign-on or multi-factor authentication where supported or appropriate. We engage third-party cybersecurity experts to assess the security of our network. In addition, we engage a third-party to perform internal audits of our IT General Controls (ITGCs).</w:t>
      </w:r>
    </w:p>
    <w:p>
      <w:pPr>
        <w:spacing w:after="0" w:line="180"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(NIST CSF). This does not imply that we meet any particular technical standards,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9" w:name="page100"/>
    <w:bookmarkEnd w:id="99"/>
    <w:p>
      <w:pPr>
        <w:spacing w:after="0" w:line="19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specifications, or requirements, only that we use the NIST CSF as a guide to help us identify, assess, and manage cybersecurity risks relevant to our business.</w:t>
      </w:r>
    </w:p>
    <w:p>
      <w:pPr>
        <w:spacing w:after="0" w:line="162" w:lineRule="exact"/>
        <w:rPr>
          <w:sz w:val="20"/>
          <w:szCs w:val="20"/>
          <w:color w:val="auto"/>
        </w:rPr>
      </w:pPr>
    </w:p>
    <w:p>
      <w:pPr>
        <w:jc w:val="both"/>
        <w:ind w:right="640" w:firstLine="74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designed to be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but are not limited to the following:</w:t>
      </w:r>
    </w:p>
    <w:p>
      <w:pPr>
        <w:spacing w:after="0" w:line="225" w:lineRule="exact"/>
        <w:rPr>
          <w:sz w:val="20"/>
          <w:szCs w:val="20"/>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w:t>
      </w:r>
    </w:p>
    <w:p>
      <w:pPr>
        <w:spacing w:after="0" w:line="184"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(i) our cybersecurity risk assessment processes, (ii) our security controls, and (iii) our response to cybersecurity incidents;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98"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based on our assessment of their criticality to our operations and respective risk profile, suppliers, and vendors that have access to our critical systems and information.</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 </w:t>
      </w:r>
      <w:r>
        <w:rPr>
          <w:rFonts w:ascii="Times New Roman" w:cs="Times New Roman" w:eastAsia="Times New Roman" w:hAnsi="Times New Roman"/>
          <w:sz w:val="18"/>
          <w:szCs w:val="18"/>
          <w:i w:val="1"/>
          <w:iCs w:val="1"/>
          <w:color w:val="auto"/>
        </w:rPr>
        <w:t>Our information technology systems, or those of any of our CROs, other contractors or consultants or potential future collaborators, may fail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suffer security breaches, which could result in a material disruption of our product development programs, harm our reputation, significant fines, penalties and liability and loss of customers or sales.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function and has delegated to the audit committee (the Committee) oversight of cybersecurity risks, including oversight of management’s implementation of our cybersecurity risk management program.</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Committee receives quarterly reports from management on our cybersecurity risks. In addition, management updates the Committee where it deems appropriate, regarding any cybersecurity incidents it considers to be significant or potentially significant.</w:t>
      </w:r>
    </w:p>
    <w:p>
      <w:pPr>
        <w:spacing w:after="0" w:line="162"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The Committee reports to the full board of directors regarding its activities, including those related to cybersecurity. The full board of directors may also periodically receive briefings from management on our cyber risk management program. Board members may receive presentations on cybersecurity topics from our Chief Financial Officer (CFO), internal security staff or external experts as part of the board of director’s continuing education on topics that impact public companies. Our IT Senior Director, is primarily responsible for assessing and managing our material risks from cybersecurity threats. Our IT Senior Director has primary responsibility for our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overall cybersecurity risk management program and supervises our retained external cybersecurity consultants. Our IT Senior Director has over 25 years of IT and cybersecurity experience.</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Our IT Senior Director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information technology environment.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corporate headquarters are located in Carlsbad, California, where we lease approximately 13,065 square feet of laboratory and office space. Our headquarters consist of approximately 4,734 square feet of original space (the Original Space) and 8,331 square feet of space in an adjacent building (the Expansion Space). The lease for the Expansion Space commenced in November 2023. The lease for the Original Space and Expansion Space will end 120 months after the commencement date (November 2023) of the Expansion Space lease, subject to certain renewal options granted to us. We believe that our existing and planned expansion facilities are adequate for our current needs and that suitable additional or alternative space will be available in the future on commercially reasonable terms, if required.</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additional information, see Note 9, Leases, to the financial statements included in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6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76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“TYRA”.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As of February 25, 2026, there were approximately 21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1" w:name="page102"/>
    <w:bookmarkEnd w:id="10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the board of directors deems relevant, and subject to the restrictions contained in any future financing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Item 12 of Part III of this Annual Report for information about our equity compensation plans which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 and Affiliated Purchasers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included elsewhere in this Annual Report on Form 10-K. This discussion contains forward-looking statements that involve risks and uncertainties, including those described in the section entitled “Forward Looking Statements and Market Data.” Our actual results and the timing of selected events could differ materially from those discussed below. Factors that could cause or contribute to such differences include, but are not limited to, those identified below and those set forth under the section entitled “Risk Factors” or in other parts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next-generation precision medicines for large opportunities in targeted oncology and genetically defined conditions, harnessing the power of Fibroblast Growth Factor Receptor (FGFR) biology.</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Our in-house precision medicine platform, SNÅP, enables rapid and precise drug design through iterative molecular SNÅPshots that help us design and predict which product candidates may demonstrate the highest potency, selectivity and tolerability in the clinic. Through this approach, we have built a wholly-owned pipeline of oral small molecule product candidates focused on targets that have previously been considered difficult-to-drug.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FGFR3 Programs—oral dabogratinib (formerly TYRA-300) for Urothelial Cancers and Skeletal Dysplasia</w:t>
      </w:r>
    </w:p>
    <w:p>
      <w:pPr>
        <w:spacing w:after="0" w:line="227"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Alterations in the protein receptor FGFR3 are a validated driver in multiple indications with large market opportunities: urothelial cancers and skeletal dysplasia conditions. In urothelial cancer, uncontrolled activation of FGFR3 on the cell surface stimulates cellular proliferation. In skeletal dysplasia conditions, increased activity of FGFR3 expressed in growth plate chondrocytes (cartilage cells) results in excessive limitation of long bone growth.</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lead program, oral dabogratinib, was designed to be more selective for FGFR3 over FGFR1, FGFR2, and FGFR4 to minimize off-target side effects, providing potential clinical advantages over less selective first-generation compounds and potentially addressing key unmet needs across both urothelial cancers and skeletal dysplasia conditions. To date, oral dabogratinib has been administered to over 100 participants across multiple clinical studies.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94"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demonstrated initial clinical proof-of-concept results with oral dabogratinib in the SURF301 study, a Phase 1 proof-of-concept study in metastatic urothelial carcinoma (mUC). Oral dabogratinib demonstrated encouraging anti-tumor activity and was generally well-tolerated, with infrequent FGFR2- and FGFR1-associated toxicities. Response, safety, pharmacokinetics (PK) / pharmacodynamics (PD) and circulating tumor DNA (ctDNA) data from this study were leveraged to select doses that have the potential to achieve our target product profile for efficacy and safety in our Phase 2 trials and beyond.</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are currently advancing oral dabogratinib in three Phase 2 trials for three outsized market indications: SURF303, evaluating the treatment of low-grade upper tract urothelial carcinoma (LG-UTUC); SURF302, evaluating the treatment of intermediate risk non-muscle invasive bladder cancer (IR NMIBC); and BEACH301, evaluating the treatment of achondroplasia (ACH) in children. If we are successful with these Phase 2 studies, we expect to advance oral dabogratinib toward three potential registrational trials in LG-UTUC, IR NMIBC and ACH. We are calling this approach our “dabogratinib 3x3” strategy.</w:t>
      </w:r>
    </w:p>
    <w:p>
      <w:pPr>
        <w:spacing w:after="0" w:line="183"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SURF303 for LG-UTUC: This open-label Phase 2a/b clinical trial was designed as a potential registrational trial to evaluate the efficacy and safety of oral dabogratinib at doses of 60 mg and 80 mg once daily (QD) in participants with FGFR3-altered low-grade upper tract urothelial carcinoma, where approximately 85% of tumors are driven by FGFR3. Study startup is ongoing and the first patient in this study is anticipated to be dosed in 2026.</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SURF302 for IR NMIBC: This open-label Phase 2 clinical trial is evaluating the efficacy and safety of oral dabogratinib at 50 mg and 60 mg QD in participants with FGFR3-altered low-grade IR NMIBC, where approximately 70% of tumors are driven by FGFR3. We anticipate reporting initial three-month CR data from approximately 10-20 patients per cohort from this study by the end of the first half of 2026.</w:t>
      </w:r>
    </w:p>
    <w:p>
      <w:pPr>
        <w:spacing w:after="0" w:line="176"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BEACH301 for ACH: This study is an open-label, Phase 2 dose-escalation/dose-expansion trial evaluating oral dabogratinib at lower doses (0.125, 0.25, 0.375, 0.50 mg/kg), as compared to the oncology studies, in children ages 3 to 10 with ACH with open growth plates, where approximately 99% of cases are driven by FGFR3. The study is enrolling a safety sentinel cohort of 3 or more participants per dose level in children ages 5 to 10, and a natural history run-in for cohorts 1 and 2 with children ages 3 to 10. Initial results from the safety sentinel cohort, including 6-month average height velocity (AHV) results and interim safety, are on-track and expected to be reported in the second half of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Other Programs</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TYRA-430 was designed to be biased for FGFR4 and FGFR3 over the FGFR1 and FGFR2 isoforms specifically to address the FGF19 signaling pathway, while also potentially limiting side effects due to inhibition of FGFR1 and FGFR2, as well as to address acquired resistance mutations that have limited the efficacy of previous FGFR4-specific inhibitors. TYRA-430 is currently being evaluated in SURF431, a global, Phase 1, multicenter, open-label trial, with a focus on achieving clinical proof-of-concept in a cohort of patients with FGF19+ hepatocellular carcinoma (HCC).</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TYRA-200 is an FGFR1/2/3 inhibitor designed to be active against nearly all of the clinically identified acquired resistant mutations that arise during treatment with pan-FGFR inhibitors, which we believe is necessary to address the problem of disease progression due to polyclonal resistance. TYRA-200 is currently being evaluated in SURF201, a global, Phase 1, multicenter, open-label trial, with a focus on achieving clinical proof-of-concept in a cohort of FGFR2-driven intrahepatic cholangiocarcinoma (ICC) resistant to previous FGFR inhibitors.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Overview</w:t>
      </w:r>
    </w:p>
    <w:p>
      <w:pPr>
        <w:spacing w:after="0" w:line="22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and the issuance of common stock and pre-funded common stock warrants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3" w:name="page104"/>
    <w:bookmarkEnd w:id="103"/>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through a private placement. Our net losses for the years ended December 31, 2025 and 2024 were $119.9 million and $86.5 million, respectively. As of December 31, 2025, we had an accumulated deficit of $371.3 million. As of December 31, 2025, we had cash, cash equivalents, and marketable securities of $256.0 million.</w:t>
      </w:r>
    </w:p>
    <w:p>
      <w:pPr>
        <w:spacing w:after="0" w:line="176"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if and as we continue to develop and conduct clinical trials for our product candidates, continue our research and development activities for future product candidates, expand our clinical and regulatory capabilities, add operational and management information systems and hire additional personnel, expand and protect our intellectual property, establish marketing, sales, distribution and other commercialization capabilities if we obtain approval for any of our product candidates and incur additional costs associated with operating as a public company.</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Based on our current operating plan, we believe that our cash, cash equivalents and marketable securities as of December 31, 2025 will be sufficient to fund our operating expenses and capital expenditures through at least 2027. We have never generated any revenue and do not expect to generate any revenue from product sales unless and until we successfully complete the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To date, our research and development expenses consist primarily of external and internal costs related to the development of our SNÅP platform and our product candidates and development programs. Our research and development expenses primarily include:</w:t>
      </w:r>
    </w:p>
    <w:p>
      <w:pPr>
        <w:spacing w:after="0" w:line="162" w:lineRule="exact"/>
        <w:rPr>
          <w:sz w:val="20"/>
          <w:szCs w:val="20"/>
          <w:color w:val="auto"/>
        </w:rPr>
      </w:pPr>
    </w:p>
    <w:p>
      <w:pPr>
        <w:ind w:left="900" w:hanging="51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including:</w:t>
      </w:r>
    </w:p>
    <w:p>
      <w:pPr>
        <w:spacing w:after="0" w:line="185" w:lineRule="exact"/>
        <w:rPr>
          <w:sz w:val="20"/>
          <w:szCs w:val="20"/>
          <w:color w:val="auto"/>
        </w:rPr>
      </w:pPr>
    </w:p>
    <w:p>
      <w:pPr>
        <w:ind w:left="1540" w:right="40" w:hanging="514"/>
        <w:spacing w:after="0" w:line="266"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conducting clinical trials, including investigator grants and site payments for time and pass-through expenses and expenses incurred under agreements with contract research organizations (CROs), central laboratories and other vendors and service providers engaged to conduct our trials;</w:t>
      </w:r>
    </w:p>
    <w:p>
      <w:pPr>
        <w:spacing w:after="0" w:line="148" w:lineRule="exact"/>
        <w:rPr>
          <w:rFonts w:ascii="Times New Roman" w:cs="Times New Roman" w:eastAsia="Times New Roman" w:hAnsi="Times New Roman"/>
          <w:sz w:val="18"/>
          <w:szCs w:val="18"/>
          <w:color w:val="auto"/>
        </w:rPr>
      </w:pPr>
    </w:p>
    <w:p>
      <w:pPr>
        <w:ind w:left="1540" w:right="840" w:hanging="514"/>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discovery and preclinical development of our product candidates, including under agreements with third parties, such as consultants and CROs;</w:t>
      </w:r>
    </w:p>
    <w:p>
      <w:pPr>
        <w:spacing w:after="0" w:line="12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consultants for chemistry, manufacturing and controls (CMC) development, and other services;</w:t>
      </w:r>
    </w:p>
    <w:p>
      <w:pPr>
        <w:spacing w:after="0" w:line="184" w:lineRule="exact"/>
        <w:rPr>
          <w:rFonts w:ascii="Times New Roman" w:cs="Times New Roman" w:eastAsia="Times New Roman" w:hAnsi="Times New Roman"/>
          <w:sz w:val="18"/>
          <w:szCs w:val="18"/>
          <w:color w:val="auto"/>
        </w:rPr>
      </w:pPr>
    </w:p>
    <w:p>
      <w:pPr>
        <w:ind w:left="1540" w:right="660" w:hanging="514"/>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compounds for use in our preclinical studies, including under agreements with third parties, such as consultants and third-party manufacturers; and</w:t>
      </w:r>
    </w:p>
    <w:p>
      <w:pPr>
        <w:spacing w:after="0" w:line="13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drug development regulatory requirements;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4" w:lineRule="exact"/>
        <w:rPr>
          <w:sz w:val="20"/>
          <w:szCs w:val="20"/>
          <w:color w:val="auto"/>
        </w:rPr>
      </w:pPr>
    </w:p>
    <w:p>
      <w:pPr>
        <w:ind w:left="900" w:hanging="51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w:t>
      </w:r>
    </w:p>
    <w:p>
      <w:pPr>
        <w:spacing w:after="0" w:line="185" w:lineRule="exact"/>
        <w:rPr>
          <w:sz w:val="20"/>
          <w:szCs w:val="20"/>
          <w:color w:val="auto"/>
        </w:rPr>
      </w:pPr>
    </w:p>
    <w:p>
      <w:pPr>
        <w:ind w:left="1540" w:right="320" w:hanging="514"/>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recruiting costs, travel and share-based compensation expenses for employees engaged in research and development functions;</w:t>
      </w:r>
    </w:p>
    <w:p>
      <w:pPr>
        <w:spacing w:after="0" w:line="13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acquiring, developing and manufacturing preclinical study materials; and</w:t>
      </w:r>
    </w:p>
    <w:p>
      <w:pPr>
        <w:spacing w:after="0" w:line="184" w:lineRule="exact"/>
        <w:rPr>
          <w:rFonts w:ascii="Times New Roman" w:cs="Times New Roman" w:eastAsia="Times New Roman" w:hAnsi="Times New Roman"/>
          <w:sz w:val="18"/>
          <w:szCs w:val="18"/>
          <w:color w:val="auto"/>
        </w:rPr>
      </w:pPr>
    </w:p>
    <w:p>
      <w:pPr>
        <w:ind w:left="1540" w:right="600" w:hanging="514"/>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indirect expenses, which include allocated expenses for rent and maintenance of facilities and supplies.</w:t>
      </w:r>
    </w:p>
    <w:p>
      <w:pPr>
        <w:spacing w:after="0" w:line="162"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program-specific basis. However, we do not track internal costs, such as personnel-related expenses, stock-based compensation expense, facility-related costs and supplies and certain external consultant costs on a program-specific basis because these costs are deployed across multiple programs under development.</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into later phases of clinical trials or through preclinical studies into and through clinical trials, continue to discover and develop additional product candidates and expand our pipeline, maintain, expand, protect and enforce our intellectual property portfolio and hire additional personnel.</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future research and development expenses may vary significantly based on a wide variety of factors, such as:</w:t>
      </w:r>
    </w:p>
    <w:p>
      <w:pPr>
        <w:spacing w:after="0" w:line="185" w:lineRule="exact"/>
        <w:rPr>
          <w:sz w:val="20"/>
          <w:szCs w:val="20"/>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discovery and preclinical development activities and clinical trials;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each of our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appropriate patients eligible for our clinical trials;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53" w:lineRule="exact"/>
        <w:rPr>
          <w:sz w:val="20"/>
          <w:szCs w:val="20"/>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including the FDA and non-U.S. regulators;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 if any;</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personnel;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including war and terrorism;</w:t>
      </w:r>
    </w:p>
    <w:p>
      <w:pPr>
        <w:spacing w:after="0" w:line="184"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the financial markets, the global economy, the supply chain and our expenses due to tariffs and trade policies, pandemic or epidemic diseases, geopolitical instability, inflation, interest rates and other factors; and</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strategic collaborations or other arrangements.</w:t>
      </w:r>
    </w:p>
    <w:p>
      <w:pPr>
        <w:spacing w:after="0" w:line="22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employee salaries, bonuses, benefits, and stock-based compensation charges for personnel in executive, finance and other administrative functions. Other significant general and administrative expenses include legal fees relating to intellectual property and corporate matters, allocated facility-related costs, professional fees for accounting, tax, business development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additional personnel, audit, legal, regulatory and tax-related services associated with maintaining compliance with exchange listing and the Securities and Exchange Commission (SEC) requirements, director and officer insurance costs, and investor and public relations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income consists primarily of interest income from cash, cash equivalents and marketable securities and accretion income from marketable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6" w:name="page107"/>
    <w:bookmarkEnd w:id="10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2025 and 2024</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jc w:val="right"/>
              <w:ind w:right="6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4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102,928</w:t>
            </w:r>
          </w:p>
        </w:tc>
        <w:tc>
          <w:tcPr>
            <w:tcW w:w="180" w:type="dxa"/>
            <w:vAlign w:val="bottom"/>
          </w:tcPr>
          <w:p>
            <w:pPr>
              <w:spacing w:after="0"/>
              <w:rPr>
                <w:sz w:val="18"/>
                <w:szCs w:val="18"/>
                <w:color w:val="auto"/>
              </w:rPr>
            </w:pPr>
          </w:p>
        </w:tc>
        <w:tc>
          <w:tcPr>
            <w:tcW w:w="8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80,077</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(132,762)</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(104,177)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(28,585)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5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(119,947)</w:t>
            </w:r>
          </w:p>
        </w:tc>
        <w:tc>
          <w:tcPr>
            <w:tcW w:w="82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(86,481)</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(33,466)</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-882015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-882015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-316230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-316230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development program for the periods indicated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0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 by program:</w:t>
            </w:r>
          </w:p>
        </w:tc>
        <w:tc>
          <w:tcPr>
            <w:tcW w:w="10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Dabogratinib (TYRA-300</w:t>
            </w:r>
            <w:r>
              <w:rPr>
                <w:rFonts w:ascii="Times New Roman" w:cs="Times New Roman" w:eastAsia="Times New Roman" w:hAnsi="Times New Roman"/>
                <w:sz w:val="24"/>
                <w:szCs w:val="24"/>
                <w:color w:val="auto"/>
                <w:vertAlign w:val="superscript"/>
              </w:rPr>
              <w:t>ACH</w:t>
            </w:r>
            <w:r>
              <w:rPr>
                <w:rFonts w:ascii="Times New Roman" w:cs="Times New Roman" w:eastAsia="Times New Roman" w:hAnsi="Times New Roman"/>
                <w:sz w:val="18"/>
                <w:szCs w:val="18"/>
                <w:color w:val="auto"/>
              </w:rPr>
              <w:t>)</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9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Dabogratinib (TYRA-300</w:t>
            </w:r>
            <w:r>
              <w:rPr>
                <w:rFonts w:ascii="Times New Roman" w:cs="Times New Roman" w:eastAsia="Times New Roman" w:hAnsi="Times New Roman"/>
                <w:sz w:val="24"/>
                <w:szCs w:val="24"/>
                <w:color w:val="auto"/>
                <w:vertAlign w:val="superscript"/>
              </w:rPr>
              <w:t>NMIBC</w:t>
            </w:r>
            <w:r>
              <w:rPr>
                <w:rFonts w:ascii="Times New Roman" w:cs="Times New Roman" w:eastAsia="Times New Roman" w:hAnsi="Times New Roman"/>
                <w:sz w:val="18"/>
                <w:szCs w:val="18"/>
                <w:color w:val="auto"/>
              </w:rPr>
              <w:t>)</w:t>
            </w:r>
          </w:p>
        </w:tc>
        <w:tc>
          <w:tcPr>
            <w:tcW w:w="10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Dabogratinib (TYRA-300</w:t>
            </w:r>
            <w:r>
              <w:rPr>
                <w:rFonts w:ascii="Times New Roman" w:cs="Times New Roman" w:eastAsia="Times New Roman" w:hAnsi="Times New Roman"/>
                <w:sz w:val="24"/>
                <w:szCs w:val="24"/>
                <w:color w:val="auto"/>
                <w:vertAlign w:val="superscript"/>
              </w:rPr>
              <w:t>UTUC</w:t>
            </w: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Dabogratinib (TYRA-300</w:t>
            </w:r>
            <w:r>
              <w:rPr>
                <w:rFonts w:ascii="Times New Roman" w:cs="Times New Roman" w:eastAsia="Times New Roman" w:hAnsi="Times New Roman"/>
                <w:sz w:val="24"/>
                <w:szCs w:val="24"/>
                <w:color w:val="auto"/>
                <w:vertAlign w:val="superscript"/>
              </w:rPr>
              <w:t>mUC</w:t>
            </w:r>
            <w:r>
              <w:rPr>
                <w:rFonts w:ascii="Times New Roman" w:cs="Times New Roman" w:eastAsia="Times New Roman" w:hAnsi="Times New Roman"/>
                <w:sz w:val="18"/>
                <w:szCs w:val="18"/>
                <w:color w:val="auto"/>
              </w:rPr>
              <w:t>)</w:t>
            </w:r>
          </w:p>
        </w:tc>
        <w:tc>
          <w:tcPr>
            <w:tcW w:w="10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(4,729)</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TYRA-430</w:t>
            </w:r>
          </w:p>
        </w:tc>
        <w:tc>
          <w:tcPr>
            <w:tcW w:w="1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TYRA-200</w:t>
            </w:r>
          </w:p>
        </w:tc>
        <w:tc>
          <w:tcPr>
            <w:tcW w:w="10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FGFR discovery</w:t>
            </w:r>
          </w:p>
        </w:tc>
        <w:tc>
          <w:tcPr>
            <w:tcW w:w="1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10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Personnel costs</w:t>
            </w:r>
          </w:p>
        </w:tc>
        <w:tc>
          <w:tcPr>
            <w:tcW w:w="10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36,218</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Facilities and other costs</w:t>
            </w:r>
          </w:p>
        </w:tc>
        <w:tc>
          <w:tcPr>
            <w:tcW w:w="1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80" w:type="dxa"/>
            <w:vAlign w:val="bottom"/>
            <w:tcBorders>
              <w:top w:val="single" w:sz="8" w:color="auto"/>
              <w:bottom w:val="single" w:sz="8" w:color="auto"/>
            </w:tcBorders>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102,928</w:t>
            </w:r>
          </w:p>
        </w:tc>
        <w:tc>
          <w:tcPr>
            <w:tcW w:w="2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80,077</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-24765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$102.9 million and $80.1 million for the years ended December 31, 2025 and 2024, respectively. The increase of $22.8 million was primarily driven by:</w:t>
      </w:r>
    </w:p>
    <w:p>
      <w:pPr>
        <w:spacing w:after="0" w:line="162" w:lineRule="exact"/>
        <w:rPr>
          <w:sz w:val="20"/>
          <w:szCs w:val="20"/>
          <w:color w:val="auto"/>
        </w:rPr>
      </w:pPr>
    </w:p>
    <w:p>
      <w:pPr>
        <w:ind w:left="900" w:right="80" w:hanging="518"/>
        <w:spacing w:after="0" w:line="266"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$17.0 million increase in external costs, including an $11.5 million increase related to development activities for oral dabogratinib, reflecting ongoing BEACH301 and SURF302 clinical trials and start-up costs for SURF303, as well as a $3.4 million increase in development expenditures for SURF431; and</w:t>
      </w:r>
    </w:p>
    <w:p>
      <w:pPr>
        <w:spacing w:after="0" w:line="135"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$5.8 million in compensation and other personnel expenses.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$29.8 million and $24.1 million for the years ended December 31, 2025 and 2024, respectively. The increase of $5.7 million was primarily related to higher compensation and other personnel expenses, including an increase in non-cash stock-based compensation costs of $3.7 million, driven by headcount growth.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Other income was $12.8 million and $17.7 million for the years ended December 31, 2025 and 2024, respectively. The decrease of $4.9 million was due to lower interest rates and reduced balances in cash, cash equivalents and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On October 3, 2022, we entered into an ATM Sales Agreement (the 2022 Sales Agreement) with Virtu Americas LLC (the 2022 Sales Agent), under which we could have, from time to time, sold shares of our common stock having an aggregate offering price of up to $150.0 million in “at the market” offerings through the 2022 Sales Agent. We did not sell any shares under the 2022 Sales Agreement. In connection with the 2025 Sales Agreement (as defined below), effective May 8, 2025, we terminated the 2022 Sales Agreement.</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On May 8, 2025, we entered into a Sales Agreement (the 2025 Sales Agreement) with TD Securities (USA) LLC (the 2025 Sales Agent), under which we may, from time to time, sell shares of our common stock having an aggregate offering price of up to $150.0 million in “at the market” offerings through the 2025 Sales Agent. Sales of the shares of common stock, if any, will be made at prevailing market prices at the time of sale or as otherwise agreed with the 2025 Sales Agent. The 2025 Sales Agent will receive a commission from us of up to 3.0% of the gross proceeds of any shares of common stock sold under the 2025 Sales Agreement. As of December 31, 2025, we had not sold any shares under the 2025 Sales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440" w:type="dxa"/>
            <w:vAlign w:val="bottom"/>
          </w:tcPr>
          <w:p>
            <w:pPr>
              <w:spacing w:after="0"/>
              <w:rPr>
                <w:sz w:val="18"/>
                <w:szCs w:val="18"/>
                <w:color w:val="auto"/>
              </w:rPr>
            </w:pPr>
          </w:p>
        </w:tc>
        <w:tc>
          <w:tcPr>
            <w:tcW w:w="18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6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84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(95,142)</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(69,774)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(25,368)</w:t>
            </w: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6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72,463</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(98,403)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170,866</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(194,037)</w:t>
            </w:r>
          </w:p>
        </w:tc>
      </w:tr>
      <w:tr>
        <w:trPr>
          <w:trHeight w:val="20"/>
        </w:trPr>
        <w:tc>
          <w:tcPr>
            <w:tcW w:w="4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6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(14,579)</w:t>
            </w:r>
          </w:p>
        </w:tc>
        <w:tc>
          <w:tcPr>
            <w:tcW w:w="42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(48,539)</w:t>
            </w: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increase of $25.4 million in net cash used in operating activities for the year ended December 31, 2025, compared to the same period in 2024, was primarily due to an increase of $33.5 million in net loss and a decrease in net changes in operating assets and liabilities of $0.9 million, offset by an increase of $5.2 million in non-cash stock-based compensation expense and a decrease of $3.8 million in non-cash net accretion on marketable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increase of $170.9 million in net cash provided by investing activities for the year ended December 31, 2025, compared to the same period in 2024, was driven by a reduction in purchases of marketable securities of $162.4 million, a $8.0 million increase in maturities of marketable securities, and a $0.5 million decrease in capital expenditures for property and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decrease of $194.0 million in net cash provided by financing activities for the year ended December 31, 2025, compared to the same period in 2024, was primarily due to the $199.6 million in net proceeds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from the 2024 Private Placement received during the year ended December 31, 2024. This decrease was partially offset by an increase of $5.6 million in proceeds from issuances of common stock under benefit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Our material cash requirements consist of expected operating expenses to conduct our clinical trials and other research and development activities, personnel-related expenses and operating lease obligations.</w:t>
      </w:r>
    </w:p>
    <w:p>
      <w:pPr>
        <w:spacing w:after="0" w:line="16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Our primary uses of cash to date have been to fund our research and development activities, including with respect to dabogratinib, TYRA-430, TYRA-200 and other research programs, business planning, establishing and maintaining our intellectual property portfolio, hiring personnel, raising capital, and providing general and administrative support for these operations.</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December 31, 2025 will be sufficient to meet our anticipated operating expenses and capital expenditures through at least 2027.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85" w:lineRule="exact"/>
        <w:rPr>
          <w:sz w:val="20"/>
          <w:szCs w:val="20"/>
          <w:color w:val="auto"/>
        </w:rPr>
      </w:pPr>
    </w:p>
    <w:p>
      <w:pPr>
        <w:ind w:left="1140" w:right="300" w:hanging="383"/>
        <w:spacing w:after="0" w:line="266"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148"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current or future product candidates, including commercial scale manufacturing if any product candidate is approved;</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current or future product candidates;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198"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121"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personnel, as well as retaining personnel;</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current or future product candidate is approved;</w:t>
      </w:r>
    </w:p>
    <w:p>
      <w:pPr>
        <w:spacing w:after="0" w:line="198"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 and</w:t>
      </w:r>
    </w:p>
    <w:p>
      <w:pPr>
        <w:spacing w:after="0" w:line="184"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issues with any of the above, including that the risk of each may be exacerbated by tariffs or trade policies, any future pandemics or epidemic diseases, potential geopolitical instability, war, terrorism, inflation or rising interest rates.</w:t>
      </w:r>
    </w:p>
    <w:p>
      <w:pPr>
        <w:spacing w:after="0" w:line="162"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equity offerings, debt financings or other capital sources, including</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9" w:name="page110"/>
    <w:bookmarkEnd w:id="109"/>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94"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We lease our corporate office and laboratory space in Carlsbad, California. As of December 31, 2025, total future aggregate operating lease commitments were $7.8 million, with approximately $0.9 million due in 2026, and the remaining due in periods from 2027 through 2033. These obligations are further described in Note 9 to our audited financial statements.</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addition, we enter into agreements and purchase orders in the normal course of business with vendors for the provision of goods and services. These agreements may include certain provisions for termination, with notice, which typically consist of payments for services provided or expenses incurred through the date of cancellation. We believe that our non-cancelable obligations under these agreements are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(GAAP). The preparation of these financial statements requires us to make estimates and judgments that affect the reported amounts of assets, liabilities, revenue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87"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1 to our financial statements included elsewhere in this filing, we believe the following accounting policies and estimates to be most critical to the preparation of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external and internal costs associated with the Company’s research and development activities, including its discovery and research efforts and the preclinical and clinical development of its product candidates. Research and development costs are expensed in the period incurred.</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clinical research organizations, clinical manufacturing organizations, clinical sites and other vendors and consultants. Payments for these activities are based on the terms of the individual agreements, which may differ from the pattern of costs incurred, and payments made in advance of or after the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the progress of the services, including the phase or completion of events, invoices received and contracted costs. The Company holds discussions with applicable personnel and outside service providers as to the progress of clinical trials, or the services completed. Significant judgments and estimates may be made in determining the status and timing of services performed, and actual results could differ from the Company’s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0" w:name="page111"/>
    <w:bookmarkEnd w:id="110"/>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estimates. Nonrefundable advance payments for goods and services, including fees for process development, are deferred and recognized as expenses in the period that the related goods are consumed or services are performed.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1 to our financial statements appearing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60" w:firstLine="749"/>
        <w:spacing w:after="0" w:line="276" w:lineRule="auto"/>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of 2012, as amended (JOBS Act). We will remain an emerging growth company until the earliest to occur of: (i) the last day of the fiscal year in which we have more than $1.235 billion in annual revenue;</w:t>
      </w:r>
    </w:p>
    <w:p>
      <w:pPr>
        <w:spacing w:after="0" w:line="1" w:lineRule="exact"/>
        <w:rPr>
          <w:sz w:val="20"/>
          <w:szCs w:val="20"/>
          <w:color w:val="auto"/>
        </w:rPr>
      </w:pPr>
    </w:p>
    <w:p>
      <w:pPr>
        <w:ind w:left="280" w:hanging="272"/>
        <w:spacing w:after="0"/>
        <w:tabs>
          <w:tab w:leader="none" w:pos="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 million of equity securities held by non-affiliates; (iii) the date on which we have</w:t>
      </w:r>
    </w:p>
    <w:p>
      <w:pPr>
        <w:spacing w:after="0" w:line="9"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more than $1.0 billion in non-convertible debt securities during the prior three-year period; and (iv) December 31, 2026. As a result of this status, we have taken advantage of reduced reporting requirements in this Annual Report on Form 10-K and may elect to take advantage of other reduced reporting requirements in our future filings with the SEC. In particular, in this Annual Report on Form 10-K, we have provided only two years of audited financial statements and have not included all of the executive compensation-related information that would be required if we were not an emerging growth company.</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if either (i) the market value of our stock held by non-affiliates is less than $250 million measured on the last business day of our second fiscal quarter or (ii) our annual revenue was less than $100 million during the most recently completed fiscal year and the market value of our stock held by non-affiliates is less than $700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and other matters.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18"/>
          <w:szCs w:val="18"/>
          <w:color w:val="auto"/>
        </w:rPr>
        <w:t>We are exposed to market risk based on changes in interest rates. Our cash, cash equivalents and marketable securities were $256.0 million as of December 31, 2025 and consisted of cash, money market funds and securities issued by the U.S. government and its agencies. Due to the short-term nature of these instruments, we believe that we do not have any material exposure to changes in the fair value of our portfolio. However, declines in interest rates would reduce future interest income and cash flow. A hypothetical 10% relative change in interest rates during the periods presented would not have had a material impact on our financial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expenses are generally denominated in U.S. dollars. However, we have entered into a limited number of contracts with vendors for research and development services that are denominated in foreign currencies. We are subject to foreign currency transaction gains or losses on our contracts denominated in foreign currencies. As of December 31, 2025, foreign currency transaction gains and losses have not been material to our financial statements, and we have not had a formal hedging program with respect to foreign currency. A hypothetical 10% increase or decrease in exchange rates during any of the periods presented would not have had a material impact on our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has had a material effect on our financial results during the periods presented.</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12" w:name="page113"/>
    <w:bookmarkEnd w:id="11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860" w:type="dxa"/>
            <w:vAlign w:val="bottom"/>
          </w:tcPr>
          <w:p>
            <w:pPr>
              <w:spacing w:after="0"/>
              <w:rPr>
                <w:sz w:val="20"/>
                <w:szCs w:val="20"/>
                <w:color w:val="auto"/>
              </w:rPr>
            </w:pPr>
          </w:p>
        </w:tc>
      </w:tr>
      <w:tr>
        <w:trPr>
          <w:trHeight w:val="418"/>
        </w:trPr>
        <w:tc>
          <w:tcPr>
            <w:tcW w:w="5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42)</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196"/>
        </w:trPr>
        <w:tc>
          <w:tcPr>
            <w:tcW w:w="526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Balance Sheets</w:t>
            </w:r>
          </w:p>
        </w:tc>
        <w:tc>
          <w:tcPr>
            <w:tcW w:w="120" w:type="dxa"/>
            <w:vAlign w:val="bottom"/>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20"/>
        </w:trPr>
        <w:tc>
          <w:tcPr>
            <w:tcW w:w="11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196"/>
        </w:trPr>
        <w:tc>
          <w:tcPr>
            <w:tcW w:w="37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Operations and Comprehensive Loss</w:t>
            </w:r>
          </w:p>
        </w:tc>
        <w:tc>
          <w:tcPr>
            <w:tcW w:w="1680" w:type="dxa"/>
            <w:vAlign w:val="bottom"/>
            <w:gridSpan w:val="2"/>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196"/>
        </w:trPr>
        <w:tc>
          <w:tcPr>
            <w:tcW w:w="5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Statements of Stockholders’ Equity</w:t>
            </w:r>
          </w:p>
        </w:tc>
        <w:tc>
          <w:tcPr>
            <w:tcW w:w="5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256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w:t>
            </w:r>
          </w:p>
        </w:tc>
        <w:tc>
          <w:tcPr>
            <w:tcW w:w="2820" w:type="dxa"/>
            <w:vAlign w:val="bottom"/>
            <w:gridSpan w:val="3"/>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190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196"/>
        </w:trPr>
        <w:tc>
          <w:tcPr>
            <w:tcW w:w="5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5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885"/>
        </w:trPr>
        <w:tc>
          <w:tcPr>
            <w:tcW w:w="11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6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112</w:t>
            </w:r>
          </w:p>
        </w:tc>
      </w:tr>
      <w:tr>
        <w:trPr>
          <w:trHeight w:val="763"/>
        </w:trPr>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Tyra Biosciences,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Tyra Biosciences, Inc. (the Company) as of December 31, 2025 and 2024, the related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77,387</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91,966</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249,475</w:t>
            </w:r>
          </w:p>
        </w:tc>
        <w:tc>
          <w:tcPr>
            <w:tcW w:w="100" w:type="dxa"/>
            <w:vAlign w:val="bottom"/>
          </w:tcPr>
          <w:p>
            <w:pPr>
              <w:spacing w:after="0"/>
              <w:rPr>
                <w:sz w:val="18"/>
                <w:szCs w:val="18"/>
                <w:color w:val="auto"/>
              </w:rPr>
            </w:pPr>
          </w:p>
        </w:tc>
      </w:tr>
      <w:tr>
        <w:trPr>
          <w:trHeight w:val="216"/>
        </w:trPr>
        <w:tc>
          <w:tcPr>
            <w:tcW w:w="6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347,463</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tcPr>
          <w:p>
            <w:pPr>
              <w:spacing w:after="0"/>
              <w:rPr>
                <w:sz w:val="18"/>
                <w:szCs w:val="18"/>
                <w:color w:val="auto"/>
              </w:rPr>
            </w:pPr>
          </w:p>
        </w:tc>
      </w:tr>
      <w:tr>
        <w:trPr>
          <w:trHeight w:val="25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282,609</w:t>
            </w:r>
          </w:p>
        </w:tc>
        <w:tc>
          <w:tcPr>
            <w:tcW w:w="18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363,558</w:t>
            </w:r>
          </w:p>
        </w:tc>
        <w:tc>
          <w:tcPr>
            <w:tcW w:w="100" w:type="dxa"/>
            <w:vAlign w:val="bottom"/>
            <w:shd w:val="clear" w:color="auto" w:fill="CFF0FC"/>
          </w:tcPr>
          <w:p>
            <w:pPr>
              <w:spacing w:after="0"/>
              <w:rPr>
                <w:sz w:val="21"/>
                <w:szCs w:val="21"/>
                <w:color w:val="auto"/>
              </w:rPr>
            </w:pPr>
          </w:p>
        </w:tc>
      </w:tr>
      <w:tr>
        <w:trPr>
          <w:trHeight w:val="197"/>
        </w:trPr>
        <w:tc>
          <w:tcPr>
            <w:tcW w:w="60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100" w:type="dxa"/>
            <w:vAlign w:val="bottom"/>
          </w:tcPr>
          <w:p>
            <w:pPr>
              <w:spacing w:after="0"/>
              <w:rPr>
                <w:sz w:val="18"/>
                <w:szCs w:val="18"/>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r>
      <w:tr>
        <w:trPr>
          <w:trHeight w:val="210"/>
        </w:trPr>
        <w:tc>
          <w:tcPr>
            <w:tcW w:w="6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23,432</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20,407</w:t>
            </w:r>
          </w:p>
        </w:tc>
        <w:tc>
          <w:tcPr>
            <w:tcW w:w="100" w:type="dxa"/>
            <w:vAlign w:val="bottom"/>
            <w:tcBorders>
              <w:top w:val="single" w:sz="8" w:color="CFF0FC"/>
            </w:tcBorders>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50,000,000 shares</w:t>
            </w: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authorized at December 31, 2025 and December 31, 2024;</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 shares issued and outstanding at December 31, 2025 and</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w:t>
            </w: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December 31, 2025 and December 31, 2024; 53,706,357 and</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50,754,262 shares issued at December 31, 2025 and</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 and 53,706,357 and</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50,749,945 shares outstanding at December 31, 2025 and</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16"/>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630,037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593,687</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(371,258)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(251,311)</w:t>
            </w:r>
          </w:p>
        </w:tc>
      </w:tr>
      <w:tr>
        <w:trPr>
          <w:trHeight w:val="210"/>
        </w:trPr>
        <w:tc>
          <w:tcPr>
            <w:tcW w:w="6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259,177</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343,151</w:t>
            </w:r>
          </w:p>
        </w:tc>
        <w:tc>
          <w:tcPr>
            <w:tcW w:w="100" w:type="dxa"/>
            <w:vAlign w:val="bottom"/>
            <w:tcBorders>
              <w:top w:val="single" w:sz="8" w:color="CFF0FC"/>
            </w:tcBorders>
          </w:tcPr>
          <w:p>
            <w:pPr>
              <w:spacing w:after="0"/>
              <w:rPr>
                <w:sz w:val="18"/>
                <w:szCs w:val="18"/>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282,609</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363,558</w:t>
            </w:r>
          </w:p>
        </w:tc>
        <w:tc>
          <w:tcPr>
            <w:tcW w:w="100" w:type="dxa"/>
            <w:vAlign w:val="bottom"/>
            <w:shd w:val="clear" w:color="auto" w:fill="CFF0FC"/>
          </w:tcPr>
          <w:p>
            <w:pPr>
              <w:spacing w:after="0"/>
              <w:rPr>
                <w:sz w:val="19"/>
                <w:szCs w:val="19"/>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-4491355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-3651250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-3634105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-2519680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-316865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5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5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7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00" w:type="dxa"/>
            <w:vAlign w:val="bottom"/>
            <w:gridSpan w:val="2"/>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102,928</w:t>
            </w:r>
          </w:p>
        </w:tc>
        <w:tc>
          <w:tcPr>
            <w:tcW w:w="18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(132,762)</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(104,177)</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7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7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(119,947)</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(86,481)</w:t>
            </w:r>
          </w:p>
        </w:tc>
        <w:tc>
          <w:tcPr>
            <w:tcW w:w="0" w:type="dxa"/>
            <w:vAlign w:val="bottom"/>
          </w:tcPr>
          <w:p>
            <w:pPr>
              <w:spacing w:after="0"/>
              <w:rPr>
                <w:sz w:val="1"/>
                <w:szCs w:val="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net</w:t>
            </w:r>
          </w:p>
        </w:tc>
        <w:tc>
          <w:tcPr>
            <w:tcW w:w="1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7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(120,324)</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(86,092)</w:t>
            </w: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720" w:type="dxa"/>
            <w:vAlign w:val="bottom"/>
          </w:tcPr>
          <w:p>
            <w:pPr>
              <w:spacing w:after="0"/>
              <w:rPr>
                <w:sz w:val="17"/>
                <w:szCs w:val="17"/>
                <w:color w:val="auto"/>
              </w:rPr>
            </w:pPr>
          </w:p>
        </w:tc>
        <w:tc>
          <w:tcPr>
            <w:tcW w:w="1180" w:type="dxa"/>
            <w:vAlign w:val="bottom"/>
          </w:tcPr>
          <w:p>
            <w:pPr>
              <w:jc w:val="right"/>
              <w:ind w:right="9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600" w:type="dxa"/>
            <w:vAlign w:val="bottom"/>
            <w:gridSpan w:val="2"/>
          </w:tcPr>
          <w:p>
            <w:pPr>
              <w:jc w:val="right"/>
              <w:ind w:righ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8"/>
        </w:trPr>
        <w:tc>
          <w:tcPr>
            <w:tcW w:w="51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to compute net</w:t>
            </w:r>
          </w:p>
        </w:tc>
        <w:tc>
          <w:tcPr>
            <w:tcW w:w="17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7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59,602,328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57,217,746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-1713865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-1148080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-856615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-436245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-419735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13"/>
                <w:szCs w:val="13"/>
                <w:color w:val="auto"/>
              </w:rPr>
            </w:pPr>
          </w:p>
        </w:tc>
        <w:tc>
          <w:tcPr>
            <w:tcW w:w="11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00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22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43,024,634</w:t>
            </w: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368,707</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(164,830)</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Private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Placement, net of issuance costs of $0.2 million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9,286,023</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pre-funded warrants, net of issuance</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costs of $0.2 million</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79,022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79,022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pursuant to pre-funded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 exercise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705,000</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Exchange of common stock for pre-funded</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(3,000,000)</w:t>
            </w: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benefit plans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664,184</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Vesting of shares of common stock subject to</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repurchase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70,104</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Unrealized gain on marketable securities</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available-for-sale, net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(86,481)</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(86,481)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50,749,945</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593,687</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(251,311)</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343,151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76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Issuance of common stock pursuant to pre-funded</w:t>
            </w: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 exercise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2,000,069</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under benefit plans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952,026</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shares of common stock subject to</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 securities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net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(119,947)</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(119,947)</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53,706,357</w:t>
            </w:r>
          </w:p>
        </w:tc>
        <w:tc>
          <w:tcPr>
            <w:tcW w:w="220" w:type="dxa"/>
            <w:vAlign w:val="bottom"/>
          </w:tcPr>
          <w:p>
            <w:pPr>
              <w:spacing w:after="0"/>
              <w:rPr>
                <w:sz w:val="18"/>
                <w:szCs w:val="18"/>
                <w:color w:val="auto"/>
              </w:rPr>
            </w:pPr>
          </w:p>
        </w:tc>
        <w:tc>
          <w:tcPr>
            <w:tcW w:w="780" w:type="dxa"/>
            <w:vAlign w:val="bottom"/>
          </w:tcPr>
          <w:p>
            <w:pPr>
              <w:jc w:val="right"/>
              <w:ind w:right="619"/>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630,037</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(371,258)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-1430655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-1414145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-1430655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-1414145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-1430655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-1414145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-1430655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-1414145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-1430655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-1414145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-1430655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-1414145</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-170815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-170815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(119,947)</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(86,481)</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marketable securities, net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(2,119)</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(5,884)</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(5,080)</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(95,142)</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(69,774)</w:t>
            </w:r>
          </w:p>
        </w:tc>
      </w:tr>
      <w:tr>
        <w:trPr>
          <w:trHeight w:val="209"/>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(101,254)</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(263,624)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173,858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165,885</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(664)</w:t>
            </w: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72,463</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(98,403)</w:t>
            </w:r>
          </w:p>
        </w:tc>
        <w:tc>
          <w:tcPr>
            <w:tcW w:w="100" w:type="dxa"/>
            <w:vAlign w:val="bottom"/>
          </w:tcPr>
          <w:p>
            <w:pPr>
              <w:spacing w:after="0"/>
              <w:rPr>
                <w:sz w:val="18"/>
                <w:szCs w:val="18"/>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issuances of common stock under benefit plans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from Private Placement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Payments of issuance costs for common stock and pre-funded warrants from Private Placement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r>
      <w:tr>
        <w:trPr>
          <w:trHeight w:val="210"/>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cash increase (decrease) for the period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(14,579)</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11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78,387</w:t>
            </w:r>
          </w:p>
        </w:tc>
        <w:tc>
          <w:tcPr>
            <w:tcW w:w="28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75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Reconciliation of cash, cash equivalents and restricted cash to the</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4"/>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balance sheet</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77,387</w:t>
            </w:r>
          </w:p>
        </w:tc>
        <w:tc>
          <w:tcPr>
            <w:tcW w:w="28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91,966</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1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78,387</w:t>
            </w:r>
          </w:p>
        </w:tc>
        <w:tc>
          <w:tcPr>
            <w:tcW w:w="28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6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 and other</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current liabilities</w:t>
            </w:r>
          </w:p>
        </w:tc>
        <w:tc>
          <w:tcPr>
            <w:tcW w:w="11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Vesting of options early exercised subject to repurchase</w:t>
            </w:r>
          </w:p>
        </w:tc>
        <w:tc>
          <w:tcPr>
            <w:tcW w:w="11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Receivable from exercise of stock options included in prepaid expenses and other current assets</w:t>
            </w:r>
          </w:p>
        </w:tc>
        <w:tc>
          <w:tcPr>
            <w:tcW w:w="11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-3402330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-2858135</wp:posOffset>
            </wp:positionV>
            <wp:extent cx="9398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-1996440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-1713865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-993775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Tyra Biosciences, Inc. (the Company) was incorporated in the state of Delaware on August 2, 2018. The Company is a clinical-stage biotechnology company focused on developing next-generation precision medicines that target large opportunities in Fibroblast Growth Factor Receptor (FGFR) biology. The Company’s in-house precision medicine platform, SNÅP, enables rapid and precise drug design through iterative molecular SNÅPshots that help predict which product candidates may demonstrate the highest potency, selectivity and tolerability. The Company’s focus is on applying its accelerated small molecule drug discovery engine to develop therapies in targeted oncology and genetically defined conditions.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It has incurred losses and negative cash flows from operations since commencement of its operations. The Company had an accumulated deficit of $371.3 million and cash, cash equivalents and marketable securities of $256.0 million as of December 31, 2025. From its inception through December 31, 2025, the Company has financed its operations primarily through the sale of common stock, private placements of its convertible preferred stock, and the issuance of common stock and pre-funded common stock warrants through a private placement.</w:t>
      </w:r>
    </w:p>
    <w:p>
      <w:pPr>
        <w:spacing w:after="0" w:line="18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Management believes that it has sufficient working capital on hand to fund operations through at least the next twelve months from the date of issuance of these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generally accepted accounting principles in the United States (GAAP). Any reference in these notes to applicable guidance is meant to refer to GAAP as found in the Accounting Standards Codification (ASC) and Accounting Standards Updates (ASU) promulgated by the Financial Accounting Standards Board (FASB).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Estimates and assumptions made in the accompanying financial statements include, but are not limited to, the valuation of share-based awards, the valuation of deferred tax assets and income tax uncertainties, accruals for research and development activities, and incremental borrowing rate (IBR) for right-of-use (ROU) assets. The Company bases its estimates on historical experience and on various other assumptions that are believed to be reasonable. Actual results may differ from those estimates or assumptions.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9" w:name="page120"/>
    <w:bookmarkEnd w:id="1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a significant concentration of credit risk consist of cash, cash equivalents and marketable securities. The Company maintains deposits in federally insured financial institutions in excess of federally insured limits. The Company has not experienced any losses in such accounts, and management believes that the Company is not exposed to significant credit risk due to the nature of the instruments held in the depository institutions.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Cash equivalents primarily represent funds invested in readily available money market accounts. As of December 31, 2025, the Company had cash and cash equivalents balances deposited at major financial institutions.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Marketable securities consist of debt securities of government-sponsored entities. These securities are classified as available-for 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The amortized cost of available-for-sale securities reflects amortization of premiums and accretion of discounts to maturity. Premiums and discounts on debt securities are amortized or accreted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sales of these investments to fund current operations, as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Company regularly reviews its portfolio for declines in fair value. For investments in an unrealized loss position, the Company assesses whether the decline is based on credit losses or other factor. As part of this assessment, the Company considers the cause of the impairment, the creditworthiness of the security issuers, current market conditions, the number of securities in an unrealized loss position, the severity of the losses, whether it will be required or will intend to sell the investment before recovery of its amortized cost basis. If fair value decline is determined to be due to a credit-related factor, the amortized cost basis is written down to fair value through net loss. If fair value decline is not due to credit-related factors, a loss is recorded in other comprehensive income or loss. The Company recognizes an allowance for credit losses up to the amount of the unrealized loss when appropriate.</w:t>
      </w:r>
    </w:p>
    <w:p>
      <w:pPr>
        <w:spacing w:after="0" w:line="189"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We do not measure an allowance for credit losses for accrued interest receivables. For the purposes of identifying and measuring an impairment, accrued interest is excluded from both the fair value and amortized costs basis of the investment. Uncollectible accrued interest receivables associated with an impaired marketable security are reversed against interest income in a timely manner upon identification of the impairment.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measures cash equivalents and available-for-sale debt securities at fair value. Fair value is defined as an exit price, representing the amount that would be received to sell an asset or paid to transfer a liability in an orderly transaction between market participants. Therefore, fair value is a market-based measurement that is determined based on assumptions that market participants would use in pricing an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As a basis for considering such assumptions, the accounting guidance establishes a three-tier fair value hierarchy, which prioritizes the inputs used in measuring fair value as follows: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98" w:lineRule="exact"/>
        <w:rPr>
          <w:sz w:val="20"/>
          <w:szCs w:val="20"/>
          <w:color w:val="auto"/>
        </w:rPr>
      </w:pPr>
    </w:p>
    <w:p>
      <w:pPr>
        <w:ind w:left="760" w:right="640"/>
        <w:spacing w:after="0" w:line="286"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—Quoted prices for similar assets and liabilities in active markets, quoted prices in markets that are not active, or inputs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observable, either directly or indirectly, for substantially the full term of the asset or liability.</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supported by little or no market activity).</w:t>
      </w:r>
    </w:p>
    <w:p>
      <w:pPr>
        <w:spacing w:after="0" w:line="20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Money market funds are highly liquid investments and are classified as Level 1. The pricing information for these assets is readily available and can be independently validated as of the measurement date. Available-for-sale debt securities, including U.S. Treasury securities and U.S. Agency bonds are classified as Level 2. These securities are valued using fair value from third-party pricing services, which may use observable inputs based on real-time trade data for similar assets, broker/dealer quotes, bids and/or offers and other observable inputs. The Company validates valuations obtained from third-party pricing services by understanding the models used and obtaining market values from independent 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Restricted cash is comprised of cash that is restricted as to its withdrawal or use under the terms of certain contractual agreements. Restricted cash as of December 31, 2025 and 2024 was $1.0 million, which consisted of collateral for letters of credit related to the Company’s operating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and depreciated using the straight-line method over the estimated useful lives of the assets (generally three to seven years, or the remaining term of the 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accounts for the impairment of long-lived assets by reviewing these assets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undiscounted-cash-flow basis, an impairment is recognized to the extent that the carrying value exceeds its fair value. The Company did not recognize impairment losses for the years ended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external and internal costs associated with the Company’s research and development activities, including its discovery and research efforts and the preclinical and clinical development of its product candidates. Research and development costs are expensed in the period incurred.</w:t>
      </w:r>
    </w:p>
    <w:p>
      <w:pPr>
        <w:spacing w:after="0" w:line="176"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clinical research organizations, clinical manufacturing organizations, clinical sites and other vendors and consultants. Payments for these activities are based on the terms of the individual agreements, which may differ from the pattern of costs incurred, and payments made in advance of or after the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The Company holds discussions with applicable personnel and outside service providers as to the progress of clinical trials, or the services completed. Significant judgments and estimates may be made in determining the prepaid or accrued balances at the end of any reporting period. Actual results could differ from the Company’s estimates. Nonrefundable advance payments for goods and services, including fees for process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1" w:name="page122"/>
    <w:bookmarkEnd w:id="12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are deferred and recognized as expenses in the period that the related goods are consumed or services are performed.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expenses all costs as incurred in connection with patent applications (including direct application fees, and the legal and consulting expenses related to making such applications) and such costs are included in general and administrative expenses in the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for office and lab space. 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ROU asset upon commencement of the lease using the implicit rate or a discount rate based on a credit-adjusted secured borrowing rate commensurate with the term of the lease. The Company evaluates leases at their inception to determine if they are to be accounted for as an operating lease or a finance lease.</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Operating lease assets represent a right to use an underlying asset for the lease term and operating lease liabilities represent an obligation to make lease payments arising from the lease. Operating lease liabilities with a term greater than one year and their corresponding ROU assets are recognized on the balance sheet at the commencement date of the lease based on the present value of lease payments over the expected lease term. The Company excludes short-term leases, if any, having initial terms of 12 months or less at lease commencement as an accounting policy election.</w:t>
      </w:r>
    </w:p>
    <w:p>
      <w:pPr>
        <w:spacing w:after="0" w:line="180" w:lineRule="exact"/>
        <w:rPr>
          <w:sz w:val="20"/>
          <w:szCs w:val="20"/>
          <w:color w:val="auto"/>
        </w:rPr>
      </w:pPr>
    </w:p>
    <w:p>
      <w:pPr>
        <w:jc w:val="both"/>
        <w:ind w:right="40" w:firstLine="749"/>
        <w:spacing w:after="0" w:line="272" w:lineRule="auto"/>
        <w:rPr>
          <w:sz w:val="20"/>
          <w:szCs w:val="20"/>
          <w:color w:val="auto"/>
        </w:rPr>
      </w:pPr>
      <w:r>
        <w:rPr>
          <w:rFonts w:ascii="Times New Roman" w:cs="Times New Roman" w:eastAsia="Times New Roman" w:hAnsi="Times New Roman"/>
          <w:sz w:val="17"/>
          <w:szCs w:val="17"/>
          <w:color w:val="auto"/>
        </w:rPr>
        <w:t>Certain adjustments to the ROU assets may be required for items such as payments made at or before the commencement date, initial direct costs paid or lease incentives received. As the Company’s leases do not typically provide an implicit rate, the Company utilizes the appropriate IBR, determined as the rate of interest that the Company would have to pay to borrow on a collateralized basis over a similar term and in a similar economic environment.</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In measuring the ROU assets and lease liabilities, the Company has elected to combine lease and non-lease components.</w:t>
      </w:r>
    </w:p>
    <w:p>
      <w:pPr>
        <w:spacing w:after="0" w:line="18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Operating ROU assets are reflected in right-of-use assets in the accompanying balance sheets. Operating lease liabilities are reflected in lease liabilities, current and noncurrent in the accompanying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Common stock warrants are classified as either a liability or equity, based on an assessment of specific terms and applicable authoritative guidance in ASC 480, Distinguishing Liabilities from Equity (ASC 480) and ASC 815, Derivatives and Hedging (ASC 815). The Company considers whether the warrants are freestanding financial instruments, whether they meet the definition of a liability pursuant to ASC 480, and whether they meet all of the requirements for equity classification under ASC 815. This assessment is performed at the time of warrant issuance and re-assessed as of each subsequent quarterly balance sheet date, while the warrants are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employee, officer, director and non-employee equity awards, estimated in accordance with the applicable accounting guidance, and, for those awards subject only to service conditions, recognized on a straight-line basis over the vesting period. The vesting period generally approximates the expected service period of the awards. The Company recognizes stock-based compensation expense for awards with performance conditions when it is probable that the condition will be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met, and the award will vest. If the achievement of performance conditions is no longer deemed probable, previously recognized compensation cost is reversed. For awards with performance and service conditions, the Company begins recording share-based compensation when achieving the performance criteria is probable and recognizes the costs using the accelerated attribution method. The Company recognizes forfeitures as they occur.</w:t>
      </w:r>
    </w:p>
    <w:p>
      <w:pPr>
        <w:spacing w:after="0" w:line="20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fair value of stock options is estimated using a Black-Scholes valuation model on the date of grant. This method requires certain assumptions to be used as inputs, such as the fair value of the underlying common stock, expected term of the option before exercise, expected volatility of the Company’s common stock, risk-free interest rate and expected dividend. Options granted have a maximum contractual term of ten years. The Company has limited historical stock option activity and therefore estimates the expected term of stock options granted using the simplified method, which represents the arithmetic average of the original contractual term of the stock option and its weighted-average vesting term. The expected volatility of stock options is estimated based on the average historical volatilities of common stock of comparable publicly traded companies and the Company’s own volatility. The comparable companies are chosen based on their size and stage in the life cycle. The Company will continue to apply this process until a sufficient amount of historical information regarding the volatility of its own stock price becomes available. The risk-free interest rates used are based on the U.S. Treasury yield in effect at the time of grant for zero-coupon U.S. treasury notes with maturities approximately equal to the expected term of the stock options. The Company has historically not declared or paid any dividends and does not currently expect to do so in the foreseeable future, and therefore, has estimated the dividend yield to be zero.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83"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w:t>
      </w:r>
    </w:p>
    <w:p>
      <w:pPr>
        <w:spacing w:after="0" w:line="183"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maintained valuation allowances against its deferred tax assets as the Company concluded it had not met the “more likely than not” to be realized threshold. Changes in the valuation allowance when they are recognized in the provision for income taxes may result in a change in the estimated annual effective tax rate.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9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 As of December 31, 2025, the Company had no accrued interest or penalties.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Comprehensive loss consists of two components: net loss and other comprehensive income or loss. Other comprehensive income (loss) refers to gains or losses that are recorded as an element of stockholders’ equity but are excluded from net loss. The Company’s other comprehensive income (loss) consists of unrealized gains and losses on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Pre-funded warrants are considered outstanding for the purposes of computing basic and diluted net loss per share because shares may be issued for little or no additional consideration and are fully vested and exercisable after the original issuance date of the pre-funded warrant. The Company’s potentially dilutive securities include unvested common stock upon early exercise of stock options, outstanding stock options under the Company’s equity incentive plan, and estimated shares purchasable under the employee stock purchase plan,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Transactions between related parties are considered to be related party transactions even though they may not be given accounting recognition. FASB ASC 850, Related Party Disclosures (ASC 850) requires that transactions with related parties that would make a difference in decision making shall be disclosed so that users of the financial statements can evaluate their significance.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Implementation Costs</w:t>
      </w:r>
    </w:p>
    <w:p>
      <w:pPr>
        <w:spacing w:after="0" w:line="22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implementation costs incurred under a cloud computing arrangement that is a service contract. Costs incurred during the application development stage related to the implementation of the hosting arrangement are capitalized and included within prepaid and other current assets, and other long-term assets on the accompanying balance sheets. Amortization of capitalized implementation costs is recognized on a straight-line basis over the term of the associated hosting arrangement when it is ready for its intended use. Costs related to preliminary project activities and post-implementation activities are expensed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adopted this standard prospectively for the period ending December 31, 2025. The adoption impacted the disclosures and did not impact the financial statements. See Note 8, Income Taxes, for disclosures related to the adoption of ASU 2023-09.</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Accounting Pronouncements Not Yet Adopted</w:t>
      </w:r>
    </w:p>
    <w:p>
      <w:pPr>
        <w:spacing w:after="0" w:line="227"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17"/>
          <w:szCs w:val="17"/>
          <w:color w:val="auto"/>
        </w:rPr>
        <w:t>In November 2024, the FASB issued ASU 2024-03, "</w:t>
      </w:r>
      <w:r>
        <w:rPr>
          <w:rFonts w:ascii="Times New Roman" w:cs="Times New Roman" w:eastAsia="Times New Roman" w:hAnsi="Times New Roman"/>
          <w:sz w:val="17"/>
          <w:szCs w:val="17"/>
          <w:i w:val="1"/>
          <w:iCs w:val="1"/>
          <w:color w:val="auto"/>
        </w:rPr>
        <w:t>Income Statement-Reporting Comprehensive Income-Expense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220-40): Disaggregation of Income Statement Expenses</w:t>
      </w:r>
      <w:r>
        <w:rPr>
          <w:rFonts w:ascii="Times New Roman" w:cs="Times New Roman" w:eastAsia="Times New Roman" w:hAnsi="Times New Roman"/>
          <w:sz w:val="17"/>
          <w:szCs w:val="17"/>
          <w:color w:val="auto"/>
        </w:rPr>
        <w:t>". In January 2025, the FASB issued ASU 2025-01, "</w:t>
      </w:r>
      <w:r>
        <w:rPr>
          <w:rFonts w:ascii="Times New Roman" w:cs="Times New Roman" w:eastAsia="Times New Roman" w:hAnsi="Times New Roman"/>
          <w:sz w:val="17"/>
          <w:szCs w:val="17"/>
          <w:i w:val="1"/>
          <w:iCs w:val="1"/>
          <w:color w:val="auto"/>
        </w:rPr>
        <w:t>Income Statement—Reporting Comprehensive Income—Expense Disaggregation Disclosures (Subtopic 220-40): Clarifying the Effective Date</w:t>
      </w:r>
      <w:r>
        <w:rPr>
          <w:rFonts w:ascii="Times New Roman" w:cs="Times New Roman" w:eastAsia="Times New Roman" w:hAnsi="Times New Roman"/>
          <w:sz w:val="17"/>
          <w:szCs w:val="17"/>
          <w:color w:val="auto"/>
        </w:rPr>
        <w:t>", to clarify the effective date of ASU 2024-</w:t>
      </w:r>
    </w:p>
    <w:p>
      <w:pPr>
        <w:spacing w:after="0" w:line="1" w:lineRule="exact"/>
        <w:rPr>
          <w:sz w:val="20"/>
          <w:szCs w:val="20"/>
          <w:color w:val="auto"/>
        </w:rPr>
      </w:pPr>
    </w:p>
    <w:p>
      <w:pPr>
        <w:ind w:right="340" w:firstLine="8"/>
        <w:spacing w:after="0" w:line="253" w:lineRule="auto"/>
        <w:tabs>
          <w:tab w:leader="none" w:pos="27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amendments are intended to provide more information about certain costs and expenses on an interim and annual basis. The amendments are effective for annual periods beginning after December 15, 2026 and interim periods within fiscal years beginning after December 15, 2027, with early adoption permitted. The new standards are expected to be applied prospectively, but retrospective application is permitted. The Company is currently evaluating the impact on its financial statements and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2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equivalents and marketable securities measured at fair value as of December 31, 2025 and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20" w:type="dxa"/>
            <w:vAlign w:val="bottom"/>
          </w:tcPr>
          <w:p>
            <w:pPr>
              <w:spacing w:after="0"/>
              <w:rPr>
                <w:sz w:val="10"/>
                <w:szCs w:val="10"/>
                <w:color w:val="auto"/>
              </w:rPr>
            </w:pPr>
          </w:p>
        </w:tc>
        <w:tc>
          <w:tcPr>
            <w:tcW w:w="1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5"/>
                <w:szCs w:val="5"/>
                <w:color w:val="auto"/>
              </w:rPr>
            </w:pPr>
          </w:p>
        </w:tc>
        <w:tc>
          <w:tcPr>
            <w:tcW w:w="1800" w:type="dxa"/>
            <w:vAlign w:val="bottom"/>
            <w:gridSpan w:val="3"/>
            <w:vMerge w:val="restart"/>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 assets</w:t>
            </w:r>
          </w:p>
        </w:tc>
        <w:tc>
          <w:tcPr>
            <w:tcW w:w="120" w:type="dxa"/>
            <w:vAlign w:val="bottom"/>
          </w:tcPr>
          <w:p>
            <w:pPr>
              <w:spacing w:after="0"/>
              <w:rPr>
                <w:sz w:val="5"/>
                <w:szCs w:val="5"/>
                <w:color w:val="auto"/>
              </w:rPr>
            </w:pPr>
          </w:p>
        </w:tc>
        <w:tc>
          <w:tcPr>
            <w:tcW w:w="160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 (Level</w:t>
            </w:r>
          </w:p>
        </w:tc>
        <w:tc>
          <w:tcPr>
            <w:tcW w:w="12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8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09"/>
        </w:trPr>
        <w:tc>
          <w:tcPr>
            <w:tcW w:w="3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80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133,264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8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178,616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178,616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233,060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178,616</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20" w:type="dxa"/>
            <w:vAlign w:val="bottom"/>
          </w:tcPr>
          <w:p>
            <w:pPr>
              <w:spacing w:after="0"/>
              <w:rPr>
                <w:sz w:val="10"/>
                <w:szCs w:val="10"/>
                <w:color w:val="auto"/>
              </w:rPr>
            </w:pPr>
          </w:p>
        </w:tc>
        <w:tc>
          <w:tcPr>
            <w:tcW w:w="1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5"/>
                <w:szCs w:val="5"/>
                <w:color w:val="auto"/>
              </w:rPr>
            </w:pPr>
          </w:p>
        </w:tc>
        <w:tc>
          <w:tcPr>
            <w:tcW w:w="1800" w:type="dxa"/>
            <w:vAlign w:val="bottom"/>
            <w:gridSpan w:val="3"/>
            <w:vMerge w:val="restart"/>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 assets</w:t>
            </w:r>
          </w:p>
        </w:tc>
        <w:tc>
          <w:tcPr>
            <w:tcW w:w="120" w:type="dxa"/>
            <w:vAlign w:val="bottom"/>
          </w:tcPr>
          <w:p>
            <w:pPr>
              <w:spacing w:after="0"/>
              <w:rPr>
                <w:sz w:val="5"/>
                <w:szCs w:val="5"/>
                <w:color w:val="auto"/>
              </w:rPr>
            </w:pPr>
          </w:p>
        </w:tc>
        <w:tc>
          <w:tcPr>
            <w:tcW w:w="160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 (Level</w:t>
            </w:r>
          </w:p>
        </w:tc>
        <w:tc>
          <w:tcPr>
            <w:tcW w:w="12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8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09"/>
        </w:trPr>
        <w:tc>
          <w:tcPr>
            <w:tcW w:w="3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80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69,698</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122,980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8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126,495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126,495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249,475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249,475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319,173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69,698</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249,475</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-1910715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-1910715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-1910715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-1619250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-1602105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-1619250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-1602105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-1619250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-1602105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-1619250</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-1602105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-316230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-316230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-316230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prepaid and other current assets, accounts payable, and accrued and other current liabilities approximate fair value due to their short maturities. None of the Company’s non-financial assets or liabilities are recorded at fair value on a non-recurring basis. There were no transfers between Levels 1, 2 or 3 for any of the periods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marketable securities (see below and Note 2) accounted for as available-for-sale securities (in thousands, except years):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200" w:type="dxa"/>
            <w:vAlign w:val="bottom"/>
          </w:tcPr>
          <w:p>
            <w:pPr>
              <w:spacing w:after="0"/>
              <w:rPr>
                <w:sz w:val="10"/>
                <w:szCs w:val="10"/>
                <w:color w:val="auto"/>
              </w:rPr>
            </w:pPr>
          </w:p>
        </w:tc>
        <w:tc>
          <w:tcPr>
            <w:tcW w:w="13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40" w:type="dxa"/>
            <w:vAlign w:val="bottom"/>
          </w:tcPr>
          <w:p>
            <w:pPr>
              <w:spacing w:after="0"/>
              <w:rPr>
                <w:sz w:val="10"/>
                <w:szCs w:val="10"/>
                <w:color w:val="auto"/>
              </w:rPr>
            </w:pPr>
          </w:p>
        </w:tc>
        <w:tc>
          <w:tcPr>
            <w:tcW w:w="14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3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 than one</w:t>
            </w:r>
          </w:p>
        </w:tc>
        <w:tc>
          <w:tcPr>
            <w:tcW w:w="2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107,324</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 than one</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5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Borders>
              <w:left w:val="single" w:sz="8" w:color="CFF0FC"/>
              <w:bottom w:val="single" w:sz="8" w:color="auto"/>
            </w:tcBorders>
            <w:shd w:val="clear" w:color="auto" w:fill="CFF0FC"/>
          </w:tcPr>
          <w:p>
            <w:pPr>
              <w:spacing w:after="0"/>
              <w:rPr>
                <w:sz w:val="18"/>
                <w:szCs w:val="18"/>
                <w:color w:val="auto"/>
              </w:rPr>
            </w:pPr>
          </w:p>
        </w:tc>
        <w:tc>
          <w:tcPr>
            <w:tcW w:w="13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CFF0FC"/>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178,616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200" w:type="dxa"/>
            <w:vAlign w:val="bottom"/>
          </w:tcPr>
          <w:p>
            <w:pPr>
              <w:spacing w:after="0"/>
              <w:rPr>
                <w:sz w:val="10"/>
                <w:szCs w:val="10"/>
                <w:color w:val="auto"/>
              </w:rPr>
            </w:pPr>
          </w:p>
        </w:tc>
        <w:tc>
          <w:tcPr>
            <w:tcW w:w="13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0"/>
                <w:szCs w:val="10"/>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40" w:type="dxa"/>
            <w:vAlign w:val="bottom"/>
          </w:tcPr>
          <w:p>
            <w:pPr>
              <w:spacing w:after="0"/>
              <w:rPr>
                <w:sz w:val="10"/>
                <w:szCs w:val="10"/>
                <w:color w:val="auto"/>
              </w:rPr>
            </w:pPr>
          </w:p>
        </w:tc>
        <w:tc>
          <w:tcPr>
            <w:tcW w:w="14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center"/>
              <w:ind w:right="18"/>
              <w:spacing w:after="0"/>
              <w:rPr>
                <w:sz w:val="20"/>
                <w:szCs w:val="20"/>
                <w:color w:val="auto"/>
              </w:rPr>
            </w:pPr>
            <w:r>
              <w:rPr>
                <w:rFonts w:ascii="Times New Roman" w:cs="Times New Roman" w:eastAsia="Times New Roman" w:hAnsi="Times New Roman"/>
                <w:sz w:val="18"/>
                <w:szCs w:val="18"/>
                <w:color w:val="auto"/>
              </w:rPr>
              <w:t>Less than one</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77,990</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500" w:type="dxa"/>
            <w:vAlign w:val="bottom"/>
            <w:shd w:val="clear" w:color="auto" w:fill="CFF0FC"/>
          </w:tcPr>
          <w:p>
            <w:pPr>
              <w:jc w:val="center"/>
              <w:ind w:right="18"/>
              <w:spacing w:after="0"/>
              <w:rPr>
                <w:sz w:val="20"/>
                <w:szCs w:val="20"/>
                <w:color w:val="auto"/>
              </w:rPr>
            </w:pPr>
            <w:r>
              <w:rPr>
                <w:rFonts w:ascii="Times New Roman" w:cs="Times New Roman" w:eastAsia="Times New Roman" w:hAnsi="Times New Roman"/>
                <w:sz w:val="18"/>
                <w:szCs w:val="18"/>
                <w:color w:val="auto"/>
              </w:rPr>
              <w:t>Less than one</w:t>
            </w:r>
          </w:p>
        </w:tc>
        <w:tc>
          <w:tcPr>
            <w:tcW w:w="200" w:type="dxa"/>
            <w:vAlign w:val="bottom"/>
            <w:tcBorders>
              <w:left w:val="single" w:sz="8" w:color="CFF0FC"/>
            </w:tcBorders>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94,153</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94,333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500" w:type="dxa"/>
            <w:vAlign w:val="bottom"/>
          </w:tcPr>
          <w:p>
            <w:pPr>
              <w:jc w:val="center"/>
              <w:ind w:right="18"/>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500" w:type="dxa"/>
            <w:vAlign w:val="bottom"/>
            <w:shd w:val="clear" w:color="auto" w:fill="CFF0FC"/>
          </w:tcPr>
          <w:p>
            <w:pPr>
              <w:jc w:val="center"/>
              <w:ind w:right="18"/>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Borders>
              <w:left w:val="single" w:sz="8" w:color="CFF0FC"/>
            </w:tcBorders>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32,015</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FF0FC"/>
          </w:tcPr>
          <w:p>
            <w:pPr>
              <w:spacing w:after="0" w:line="20" w:lineRule="exact"/>
              <w:rPr>
                <w:sz w:val="1"/>
                <w:szCs w:val="1"/>
                <w:color w:val="auto"/>
              </w:rPr>
            </w:pPr>
          </w:p>
        </w:tc>
        <w:tc>
          <w:tcPr>
            <w:tcW w:w="35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3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tcBorders>
              <w:right w:val="single" w:sz="8" w:color="CFF0FC"/>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248,705</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-1388110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-1388110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-1388110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-1388110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fair values and gross unrealized losses for those available-for-sale securities that were in an unrealized loss position, aggregated by category and the length of time that the securities have been in a continuous loss position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2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7"/>
                <w:szCs w:val="17"/>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7"/>
                <w:szCs w:val="17"/>
                <w:color w:val="auto"/>
              </w:rPr>
            </w:pP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7"/>
                <w:szCs w:val="17"/>
                <w:color w:val="auto"/>
              </w:rPr>
            </w:pP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17"/>
                <w:szCs w:val="17"/>
                <w:color w:val="auto"/>
              </w:rPr>
            </w:pPr>
          </w:p>
        </w:tc>
      </w:tr>
      <w:tr>
        <w:trPr>
          <w:trHeight w:val="214"/>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100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76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2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25,924</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25,924</w:t>
            </w:r>
          </w:p>
        </w:tc>
        <w:tc>
          <w:tcPr>
            <w:tcW w:w="76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-25400</wp:posOffset>
            </wp:positionV>
            <wp:extent cx="768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-8255</wp:posOffset>
            </wp:positionV>
            <wp:extent cx="768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-25400</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-8255</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2025, there were no available-for-sale securities in an unrealized loss position.</w:t>
      </w:r>
    </w:p>
    <w:p>
      <w:pPr>
        <w:spacing w:after="0" w:line="225"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marketable securities excludes $1.9 million and $2.0 million of accrued interest receivable as of December 31, 2025 and 2024, respectively. Accrued interest receivable is included in prepaid expenses and other current assets on the Company's balance sheets. The Company has not written off any accrued interest receivables for the years ended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other employee benefits</w:t>
            </w:r>
          </w:p>
        </w:tc>
        <w:tc>
          <w:tcPr>
            <w:tcW w:w="3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5,533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6,451</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6,612</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3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 general and administrative fees</w:t>
            </w: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4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16,444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13,592</w:t>
            </w:r>
          </w:p>
        </w:tc>
      </w:tr>
      <w:tr>
        <w:trPr>
          <w:trHeight w:val="844"/>
        </w:trPr>
        <w:tc>
          <w:tcPr>
            <w:tcW w:w="4580" w:type="dxa"/>
            <w:vAlign w:val="bottom"/>
            <w:tcBorders>
              <w:top w:val="single" w:sz="8" w:color="CFF0FC"/>
            </w:tcBorders>
          </w:tcPr>
          <w:p>
            <w:pPr>
              <w:spacing w:after="0"/>
              <w:rPr>
                <w:sz w:val="24"/>
                <w:szCs w:val="24"/>
                <w:color w:val="auto"/>
              </w:rPr>
            </w:pPr>
          </w:p>
        </w:tc>
        <w:tc>
          <w:tcPr>
            <w:tcW w:w="320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-1070610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-1053465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5.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Common stock reserved for future issuance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7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 granted and outstanding</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13,617,445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10,462,129</w:t>
            </w:r>
          </w:p>
        </w:tc>
        <w:tc>
          <w:tcPr>
            <w:tcW w:w="120" w:type="dxa"/>
            <w:vAlign w:val="bottom"/>
            <w:shd w:val="clear" w:color="auto" w:fill="CFF0FC"/>
          </w:tcPr>
          <w:p>
            <w:pPr>
              <w:spacing w:after="0"/>
              <w:rPr>
                <w:sz w:val="18"/>
                <w:szCs w:val="18"/>
                <w:color w:val="auto"/>
              </w:rPr>
            </w:pPr>
          </w:p>
        </w:tc>
      </w:tr>
      <w:tr>
        <w:trPr>
          <w:trHeight w:val="198"/>
        </w:trPr>
        <w:tc>
          <w:tcPr>
            <w:tcW w:w="7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available for future issuance under the 2021</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Incentive Award Plan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1,528,992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3,051,588</w:t>
            </w:r>
          </w:p>
        </w:tc>
        <w:tc>
          <w:tcPr>
            <w:tcW w:w="120" w:type="dxa"/>
            <w:vAlign w:val="bottom"/>
          </w:tcPr>
          <w:p>
            <w:pPr>
              <w:spacing w:after="0"/>
              <w:rPr>
                <w:sz w:val="20"/>
                <w:szCs w:val="20"/>
                <w:color w:val="auto"/>
              </w:rPr>
            </w:pPr>
          </w:p>
        </w:tc>
      </w:tr>
      <w:tr>
        <w:trPr>
          <w:trHeight w:val="19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available for future issuance under the</w:t>
            </w:r>
          </w:p>
        </w:tc>
        <w:tc>
          <w:tcPr>
            <w:tcW w:w="1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2021 Employee Stock Purchase Plan</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1,951,705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1,491,195</w:t>
            </w:r>
          </w:p>
        </w:tc>
        <w:tc>
          <w:tcPr>
            <w:tcW w:w="120" w:type="dxa"/>
            <w:vAlign w:val="bottom"/>
            <w:shd w:val="clear" w:color="auto" w:fill="CFF0FC"/>
          </w:tcPr>
          <w:p>
            <w:pPr>
              <w:spacing w:after="0"/>
              <w:rPr>
                <w:sz w:val="20"/>
                <w:szCs w:val="20"/>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 issued and outstanding</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6,381,950</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8,382,187</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23,480,092</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23,387,099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October 3, 2022, the Company entered into an ATM Sales Agreement (the 2022 Sales Agreement) with Virtu Americas LLC (the 2022 Agent), under which the Company could have, from time to time, sold shares of its common stock having an aggregate offering price of up to $150.0 million, in “at the market” offerings through the 2022 Sales Agent. The 2022 Agent would have received a commission from the Company of up to 3.0% of the gross proceeds of any shares of common stock sold under the 2022 Sales Agreement. No shares of common stock were issued and sold pursuant to the 2022 Sales Agreement. The Company terminated the 2022 Sales Agreement in May 2025.</w:t>
      </w:r>
    </w:p>
    <w:p>
      <w:pPr>
        <w:spacing w:after="0" w:line="183"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May 8, 2025, the Company entered into a Sales Agreement (the 2025 Sales Agreement) with TD Securities (USA) LLC (the 2025 Sales Agent), under which the Company may, from time to time, sell shares of its common stock having an aggregate offering price of up to $150.0 million, in “at the market” offerings through the 2025 Sales Agent. Sales of the shares of common stock, if any, will be made at prevailing market prices at the time of sale, or as otherwise agreed with the 2025 Sales Agent. The 2025 Sales Agent will receive a commission from the Company of up to 3.0% of the gross proceeds of any shares of common stock sold under the 2025 Sales Agreement. As of December 31, 2025, no shares of common stock had been issued and sold pursuant to the 2025 Sales Agreement.</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February 1, 2024, the Company entered into a securities purchase agreement for a private placement of 9,286,023 shares of the Company's common stock at a price of $13.01 per share (the 2024 Private Placement). The 2024 Private Placement also included pre-funded warrants (the 2024 Pre-Funded Warrants) to purchase an aggregate of 6,087,230 shares of common stock at a purchase price of $13.009 per pre-funded warrant. Each pre-funded warrant has an exercise price of $0.001 per share of common stock, is immediately exercisable on the date of issuance and will not expire. The 2024 Private Placement closed on February 6, 2024 and the Company received gross proceeds of approximately $200.0 million, before deducting offering expenses of $0.4 million. In connection with the 2024 Private Placement, the Company issued 4,780,846 shares of common stock and pre-funded warrants to purchase 2,243,737 shares of common stock to related parties, resulting in aggregate gross proceeds of approximately $91.4 million. On March 19, 2024, the Company filed a registration statement on Form S-3 with the SEC registering the resale of the shares of common stock issued, or underlying the pre-funded warrants issued, in the 2024 Private Placement. The 2024 Pre-funded Warrants did not meet the characteristics of a liability or a derivative and are classified within stockholders’ equity.</w:t>
      </w:r>
    </w:p>
    <w:p>
      <w:pPr>
        <w:spacing w:after="0" w:line="194"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On October 18, 2024, the Company entered into an exchange agreement with certain of the Company’s stockholders, who were related parties to the Company at the time of the exchange. Pursuant to the exchange agreement, 3,000,000 shares of the Company’s common stock were exchanged for pre-funded warrants to acquire an aggregate of 3,000,000 shares of common stock (each of such pre-funded warrants an Exchange Warrant and collectively the Exchange Warrants, and such exchanges of common stock for Exchange Warrants collectively the Exchange). Each Exchange Warrant has an exercise price of $0.001 per share of common stock, is immediately exercisable on the date of issuance and will not expire. No cash was exchanged related to the transaction. The Exchange closed on October 22, 2024. The Exchange Warrants did not meet the characteristics of a liability or a derivative and are classified within stockholders’ equity.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spacing w:after="0" w:line="194"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2,000,000 of the Exchange Warrants and 237 of the 2024 Pre-Funded Warrants were exercised in cashless transactions, which resulted in an aggregate of 2,000,069 shares of common stock being issued. As of December 31, 2025, a total of 6,381,950 pre-funded warrants remained available for exercise, including 1,000,000 Exchange Warrants and 5,381,950 2024 Pre-Funded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Equity Incentive Plans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September 2021, the Company’s Board of Directors adopted, and its stockholders approved, the 2021 Incentive Award Plan (the 2021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adoption of the 2021 Plan, the Company restricted the grant of future equity awards under the 2020 Equity Incentive Plan (the 2020 Plan).</w:t>
      </w:r>
    </w:p>
    <w:p>
      <w:pPr>
        <w:spacing w:after="0" w:line="2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2021 Plan provides for the grants of stock options and other equity-based awards to employees, non-employee directors, and consultants of the Company. Shares that expire, terminate or are cancelled under the 2020 Plan are added back to the 2021 Plan share reserve. In addition, the number of shares of the Company’s common stock available for issuance under the 2021 Plan automatically increases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 The Company issues new shares of common stock upon exercise of options. As of December 31, 2025, 1,528,992 shares were available for future grant under the 2021 Plan.</w:t>
      </w:r>
    </w:p>
    <w:p>
      <w:pPr>
        <w:spacing w:after="0" w:line="187"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 activity for the year ended December 31, 2025 was as follows (in thousands, except share and per share data and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10,462,129</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13.43</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33,798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5,029,190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12.08</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(904,993)</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8.72</w:t>
            </w: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(968,881)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13,617,445</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12.58</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186,669</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6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6,300,582</w:t>
            </w: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11.39</w:t>
            </w:r>
          </w:p>
        </w:tc>
        <w:tc>
          <w:tcPr>
            <w:tcW w:w="14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93,903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6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13,617,445</w:t>
            </w:r>
          </w:p>
        </w:tc>
        <w:tc>
          <w:tcPr>
            <w:tcW w:w="1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12.58</w:t>
            </w:r>
          </w:p>
        </w:tc>
        <w:tc>
          <w:tcPr>
            <w:tcW w:w="146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186,669</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-350520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-333375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In September 2021, the Company’s Board of Directors adopted, and its stockholders approved, the 2021 Employee Stock Purchase Plan (ESPP). 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As of December 31, 2025, there were 1,951,705 shares available for future purchase under the ESPP.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valuation model. The Company accounts for forfeitures of options when they occur. Previously recognized compensation expense for an unvested award is reversed in the period that the award is forfeited. The fair value of stock options was estimated using the following assumptions:</w:t>
      </w:r>
    </w:p>
    <w:p>
      <w:pPr>
        <w:ind w:left="8560"/>
        <w:spacing w:after="0" w:line="225" w:lineRule="auto"/>
        <w:rPr>
          <w:sz w:val="20"/>
          <w:szCs w:val="20"/>
          <w:color w:val="auto"/>
        </w:rPr>
      </w:pPr>
      <w:r>
        <w:rPr>
          <w:rFonts w:ascii="Times New Roman" w:cs="Times New Roman" w:eastAsia="Times New Roman" w:hAnsi="Times New Roman"/>
          <w:sz w:val="14"/>
          <w:szCs w:val="14"/>
          <w:b w:val="1"/>
          <w:bCs w:val="1"/>
          <w:color w:val="auto"/>
        </w:rPr>
        <w:t>Year Ended</w:t>
      </w:r>
    </w:p>
    <w:p>
      <w:pPr>
        <w:ind w:left="8520"/>
        <w:spacing w:after="0" w:line="231"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740" w:type="dxa"/>
            <w:vAlign w:val="bottom"/>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right="8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right="8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 of interest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- 4.4%</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- 4.6%</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5.1 - 6.1</w:t>
            </w:r>
          </w:p>
        </w:tc>
        <w:tc>
          <w:tcPr>
            <w:tcW w:w="22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5.3 - 6.1</w:t>
            </w: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- 95.4%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- 98.7%</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20" w:type="dxa"/>
            <w:vAlign w:val="bottom"/>
          </w:tcPr>
          <w:p>
            <w:pPr>
              <w:spacing w:after="0"/>
              <w:rPr>
                <w:sz w:val="20"/>
                <w:szCs w:val="20"/>
                <w:color w:val="auto"/>
              </w:rPr>
            </w:pPr>
          </w:p>
        </w:tc>
        <w:tc>
          <w:tcPr>
            <w:tcW w:w="1200" w:type="dxa"/>
            <w:vAlign w:val="bottom"/>
          </w:tcPr>
          <w:p>
            <w:pPr>
              <w:jc w:val="center"/>
              <w:ind w:right="855"/>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jc w:val="center"/>
              <w:ind w:right="815"/>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9" w:lineRule="exact"/>
        <w:rPr>
          <w:sz w:val="20"/>
          <w:szCs w:val="20"/>
          <w:color w:val="auto"/>
        </w:rPr>
      </w:pPr>
    </w:p>
    <w:p>
      <w:pPr>
        <w:ind w:right="240" w:firstLine="749"/>
        <w:spacing w:after="0" w:line="257" w:lineRule="auto"/>
        <w:rPr>
          <w:sz w:val="20"/>
          <w:szCs w:val="20"/>
          <w:color w:val="auto"/>
        </w:rPr>
      </w:pPr>
      <w:r>
        <w:rPr>
          <w:rFonts w:ascii="Times New Roman" w:cs="Times New Roman" w:eastAsia="Times New Roman" w:hAnsi="Times New Roman"/>
          <w:sz w:val="18"/>
          <w:szCs w:val="18"/>
          <w:color w:val="auto"/>
        </w:rPr>
        <w:t>Stock-based compensation expense recognized for all equity awards, including stock options and ESPP, has been reported in the statements of operations and comprehensive loss as follows (in thousands):</w:t>
      </w:r>
    </w:p>
    <w:p>
      <w:pPr>
        <w:ind w:left="8460"/>
        <w:spacing w:after="0" w:line="221" w:lineRule="auto"/>
        <w:rPr>
          <w:sz w:val="20"/>
          <w:szCs w:val="20"/>
          <w:color w:val="auto"/>
        </w:rPr>
      </w:pPr>
      <w:r>
        <w:rPr>
          <w:rFonts w:ascii="Times New Roman" w:cs="Times New Roman" w:eastAsia="Times New Roman" w:hAnsi="Times New Roman"/>
          <w:sz w:val="14"/>
          <w:szCs w:val="14"/>
          <w:b w:val="1"/>
          <w:bCs w:val="1"/>
          <w:color w:val="auto"/>
        </w:rPr>
        <w:t>Year Ended</w:t>
      </w:r>
    </w:p>
    <w:p>
      <w:pPr>
        <w:ind w:left="8400"/>
        <w:spacing w:after="0" w:line="232"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8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360" w:type="dxa"/>
            <w:vAlign w:val="bottom"/>
            <w:gridSpan w:val="2"/>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15,749</w:t>
            </w:r>
          </w:p>
        </w:tc>
        <w:tc>
          <w:tcPr>
            <w:tcW w:w="8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9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100" w:type="dxa"/>
            <w:vAlign w:val="bottom"/>
          </w:tcPr>
          <w:p>
            <w:pPr>
              <w:spacing w:after="0"/>
              <w:rPr>
                <w:sz w:val="18"/>
                <w:szCs w:val="18"/>
                <w:color w:val="auto"/>
              </w:rPr>
            </w:pP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8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100" w:type="dxa"/>
            <w:vAlign w:val="bottom"/>
            <w:shd w:val="clear" w:color="auto" w:fill="CFF0FC"/>
          </w:tcPr>
          <w:p>
            <w:pPr>
              <w:spacing w:after="0"/>
              <w:rPr>
                <w:sz w:val="19"/>
                <w:szCs w:val="19"/>
                <w:color w:val="auto"/>
              </w:rPr>
            </w:pP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-25400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(excluding modified options) for the years ended December 31, 2025 and 2024 were $9.05 and $15.95 per share, respectively.</w:t>
      </w:r>
    </w:p>
    <w:p>
      <w:pPr>
        <w:spacing w:after="0" w:line="162"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$2.0 million in additional stock-based compensation expense recorded within research and development expenses, in connection with the modification and acceleration of stock options held by a former executive.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years ended December 31, 2025 and 2024, forfeitures resulting in the reversal of compensation expenses were immaterial.</w:t>
      </w:r>
    </w:p>
    <w:p>
      <w:pPr>
        <w:spacing w:after="0" w:line="22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the unrecognized compensation cost related to options was $75.8 million, and is expected to be recognized as expense over a weighted-average period of approximately 2.6 years.</w:t>
      </w:r>
    </w:p>
    <w:p>
      <w:pPr>
        <w:spacing w:after="0" w:line="16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the unrecognized compensation cost related to ESPP was $0.6 million, and is expected to be recognized as expense over a weighted-average period of approximately 1.2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(in thousands, except share and per share amounts):</w:t>
      </w:r>
    </w:p>
    <w:p>
      <w:pPr>
        <w:spacing w:after="0" w:line="8"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line="231"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(119,947)</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(86,481)</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59,602,328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57,250,061</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Less: weighted-average unvested common stock issued upon early exercise of common stock options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(32,315)</w:t>
            </w:r>
          </w:p>
        </w:tc>
      </w:tr>
      <w:tr>
        <w:trPr>
          <w:trHeight w:val="210"/>
        </w:trPr>
        <w:tc>
          <w:tcPr>
            <w:tcW w:w="7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common share, basic and diluted</w:t>
            </w: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59,602,328</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57,217,746</w:t>
            </w:r>
          </w:p>
        </w:tc>
        <w:tc>
          <w:tcPr>
            <w:tcW w:w="10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46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864"/>
        </w:trPr>
        <w:tc>
          <w:tcPr>
            <w:tcW w:w="76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-1353820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4" w:lineRule="exact"/>
        <w:rPr>
          <w:sz w:val="20"/>
          <w:szCs w:val="20"/>
          <w:color w:val="auto"/>
        </w:rPr>
      </w:pPr>
    </w:p>
    <w:p>
      <w:pPr>
        <w:ind w:right="20" w:firstLine="749"/>
        <w:spacing w:after="0" w:line="289" w:lineRule="auto"/>
        <w:rPr>
          <w:sz w:val="20"/>
          <w:szCs w:val="20"/>
          <w:color w:val="auto"/>
        </w:rPr>
      </w:pPr>
      <w:r>
        <w:rPr>
          <w:rFonts w:ascii="Times New Roman" w:cs="Times New Roman" w:eastAsia="Times New Roman" w:hAnsi="Times New Roman"/>
          <w:sz w:val="17"/>
          <w:szCs w:val="17"/>
          <w:color w:val="auto"/>
        </w:rPr>
        <w:t>Shares issuable pursuant to the 2024 Pre-Funded Warrants and the Exchange Warrants are included in the calculation of weighted-average shares of common stock outstanding, both basic and diluted, for the years ended December 31, 2025 and 2024. These warrants are exercisable at any time for nominal consideration, and therefore, the shares thereunder are considered outstanding for the purpose of calculating basic and diluted net loss per share.</w:t>
      </w:r>
    </w:p>
    <w:p>
      <w:pPr>
        <w:spacing w:after="0" w:line="158"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from the calculation of diluted net loss per share because their inclusion would be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38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00" w:type="dxa"/>
            <w:vAlign w:val="bottom"/>
          </w:tcPr>
          <w:p>
            <w:pPr>
              <w:spacing w:after="0"/>
              <w:rPr>
                <w:sz w:val="12"/>
                <w:szCs w:val="12"/>
                <w:color w:val="auto"/>
              </w:rPr>
            </w:pPr>
          </w:p>
        </w:tc>
        <w:tc>
          <w:tcPr>
            <w:tcW w:w="160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13,617,445</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10,462,129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Unvested common stock upon early exercise of stock options</w:t>
            </w:r>
          </w:p>
        </w:tc>
        <w:tc>
          <w:tcPr>
            <w:tcW w:w="23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shares purchasable under the ESPP</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27,761</w:t>
            </w:r>
          </w:p>
        </w:tc>
        <w:tc>
          <w:tcPr>
            <w:tcW w:w="2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13,645,206</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10,480,726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Company's pretax losses for the years ended December 31, 2025 and 2024 are from U.S. operations. There was no provision for or benefit from income taxes for the years ended December 31, 2025 and 2024.</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adopted ASU 2023-09, Income Taxes (Topic 740): Improvements to Income Tax Disclosures prospectively, as disclosed in Note</w:t>
      </w:r>
    </w:p>
    <w:p>
      <w:pPr>
        <w:spacing w:after="0" w:line="27" w:lineRule="exact"/>
        <w:rPr>
          <w:sz w:val="20"/>
          <w:szCs w:val="20"/>
          <w:color w:val="auto"/>
        </w:rPr>
      </w:pPr>
    </w:p>
    <w:p>
      <w:pPr>
        <w:ind w:right="180" w:firstLine="8"/>
        <w:spacing w:after="0" w:line="260"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reconciliation between the provision for income taxes and income taxes computed using the U.S. federal statutory corporate tax rate for the year ended December 31, 2025, in accordance with the new disclosure requirements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80" w:type="dxa"/>
            <w:vAlign w:val="bottom"/>
            <w:gridSpan w:val="4"/>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7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7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40" w:type="dxa"/>
            <w:vAlign w:val="bottom"/>
            <w:tcBorders>
              <w:bottom w:val="single" w:sz="8" w:color="auto"/>
            </w:tcBorders>
            <w:gridSpan w:val="2"/>
          </w:tcPr>
          <w:p>
            <w:pPr>
              <w:spacing w:after="0"/>
              <w:rPr>
                <w:sz w:val="17"/>
                <w:szCs w:val="17"/>
                <w:color w:val="auto"/>
              </w:rPr>
            </w:pPr>
          </w:p>
        </w:tc>
        <w:tc>
          <w:tcPr>
            <w:tcW w:w="9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at statutory federal rate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(25,189)</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7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State and local taxes, net of federal benefit </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(6,411)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-19.75%</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 compensation</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7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jc w:val="center"/>
        <w:ind w:left="5480" w:right="620" w:hanging="5472"/>
        <w:spacing w:after="0"/>
        <w:tabs>
          <w:tab w:leader="none" w:pos="169" w:val="left"/>
        </w:tabs>
        <w:numPr>
          <w:ilvl w:val="0"/>
          <w:numId w:val="5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state that contributes to the majority (greater than 50%) of the tax effect in this category is California for the year ended December 31, 2025.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4"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between the provision for income taxes and income taxes computed using the U.S. federal statutory corporate tax rate for the year ended December 31, 2024, in accordance with the guidance prior to the adoption of ASU 2023-09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9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tax benefit at statutory rate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(18,161)</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22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Officer compensation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items and other</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Research credits</w:t>
            </w:r>
          </w:p>
        </w:tc>
        <w:tc>
          <w:tcPr>
            <w:tcW w:w="22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(4,363)</w:t>
            </w: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did not pay federal or state cash income taxes or have cash income taxes refunded in the year ended December 31, 2025.</w:t>
      </w:r>
    </w:p>
    <w:p>
      <w:pPr>
        <w:spacing w:after="0" w:line="225" w:lineRule="exact"/>
        <w:rPr>
          <w:sz w:val="20"/>
          <w:szCs w:val="20"/>
          <w:color w:val="auto"/>
        </w:rPr>
      </w:pPr>
    </w:p>
    <w:p>
      <w:pPr>
        <w:jc w:val="both"/>
        <w:ind w:right="60" w:firstLine="749"/>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as of December 31, 2025 and 2024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77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41,792</w:t>
            </w:r>
          </w:p>
        </w:tc>
        <w:tc>
          <w:tcPr>
            <w:tcW w:w="18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(88,026)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(63,267)</w:t>
            </w: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(1,283)</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(1,539)</w:t>
            </w:r>
          </w:p>
        </w:tc>
      </w:tr>
      <w:tr>
        <w:trPr>
          <w:trHeight w:val="20"/>
        </w:trPr>
        <w:tc>
          <w:tcPr>
            <w:tcW w:w="7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 / (liabilities)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-316865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Company has established a valuation allowance against its net deferred tax assets due to the uncertainty surrounding the realization of such assets. The Company periodically evaluates the recoverability of the deferred tax assets. At such time as it is determined that it is more likely than not that deferred assets are realizable, the valuation allowance will be reduced. The Company has recorded a full valuation allowance of $88.0 million as of December 31, 2025 as management cannot conclude that it is more likely than not that certain deferred tax assets will be realized primarily due to the history of losses from inception. The Company increased its valuation allowance by approximately $24.8 million during the year ended December 31, 2025.</w:t>
      </w:r>
    </w:p>
    <w:p>
      <w:pPr>
        <w:spacing w:after="0" w:line="18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At December 31, 2025, the Company had federal and state tax loss carry forwards of approximately $188.7 million and $67.3 million, respectively. As a result of the Tax Cuts and Jobs Act of 2017, for U.S. income tax purposes, net operating losses generated after December 31, 2017 can be carried forward indefinitely, but are limited to 80% utilization against future taxable income each year. Of the amount of federal and state net operating loss carryforwards, $188.7 million and $1.7 million, respectively, can be carried forward indefinitely. Unless previously utilized, the state net operating losses will begin to expire in 2038.</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94"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has federal and state research and development tax credits of $18.1 million and $4.5 million, respectively. The federal research and development tax credit carryforwards begin to expire in 2040, the state research and development tax credit carryforwards of $4.4 million will not expire and the state research and development tax credit carryforwards of $0.1 million will begin to expire in 2039.</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Pursuant to the IRC Sections 382 and 383, annual use of the Company’s net operating loss (NOL) and research and development credit carryforwards may be limited in the event a cumulative change in ownership of more than 50% occurs within a three-year period. The Company has not completed an ownership change analysis pursuant to IRC Section 382. If ownership changes have occurred or occurs in the future,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w:t>
      </w:r>
    </w:p>
    <w:p>
      <w:pPr>
        <w:spacing w:after="0" w:line="183"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Uncertain tax positions are evaluated based upon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w:t>
      </w:r>
    </w:p>
    <w:p>
      <w:pPr>
        <w:spacing w:after="0" w:line="17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Company recognizes a tax benefit from an uncertain tax position when it is more likely than not that the position will be sustained upon examination by tax authorities.</w:t>
      </w:r>
    </w:p>
    <w:p>
      <w:pPr>
        <w:spacing w:after="0" w:line="16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to the Company’s gross unrecognized tax benefits for the years ended December 31, 2025 and 2024, respectively (in thousands):</w:t>
      </w:r>
    </w:p>
    <w:p>
      <w:pPr>
        <w:spacing w:after="0" w:line="155"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-3175</wp:posOffset>
            </wp:positionV>
            <wp:extent cx="21513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1040" w:type="dxa"/>
            <w:vAlign w:val="bottom"/>
            <w:gridSpan w:val="2"/>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5,529</w:t>
            </w:r>
          </w:p>
        </w:tc>
        <w:tc>
          <w:tcPr>
            <w:tcW w:w="62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3,006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Additions related to current year positions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related to prior year positions</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at December 31</w:t>
            </w:r>
          </w:p>
        </w:tc>
        <w:tc>
          <w:tcPr>
            <w:tcW w:w="20" w:type="dxa"/>
            <w:vAlign w:val="bottom"/>
            <w:tcBorders>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6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Due to the existence of the valuation allowance, future recognition of previously unrecognized tax benefits will not impact the Company’s effective tax rate. The Company is subject to taxation in the United States and various state jurisdictions. All of the Company’s tax years from inception are subject to examination by federal and state tax authorities. The Company’s practice is to recognize interest and penalties related to income tax matters in income tax expense.</w:t>
      </w:r>
    </w:p>
    <w:p>
      <w:pPr>
        <w:spacing w:after="0" w:line="180"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Company had no accrued interest or penalties related to income tax matters in the Company’s balance sheet as of December 31, 2025 and has not recognized interest or penalties in the Company’s statements of operations and comprehensive loss for the years ended December 31, 2025 and 2024. Further, the Company is not currently under examination by any federal, state or local tax authority.</w:t>
      </w:r>
    </w:p>
    <w:p>
      <w:pPr>
        <w:spacing w:after="0" w:line="176"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On July 4, 2025, the U.S. President signed into law H.R.1, the legislation commonly known as the One Big Beautiful Bill (OBBB). This legislation extended, modified, or made permanent many of the tax provisions which were initially enacted as part of the Tax Cuts and Jobs Act of 2017. The OBBB contains a number of tax provisions including, but not limited to, immediate expensing of domestic research and experimental expenditures, modifications to the limitation on business interest, bonus depreciation modifications, as well as international tax provision modifications. The Company has reflected the effect of OBBB within the provision for income taxes and the deferred taxes as of December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operating leases for its office and laboratory space, including its corporate headquarters.</w:t>
      </w:r>
    </w:p>
    <w:p>
      <w:pPr>
        <w:spacing w:after="0" w:line="225"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 August 2020, the Company entered into a lease agreement for approximately 4,734 square feet of office and lab space at 2656 State Street in Carlsbad, California, for the Company’s headquarters (the Original Lease). The Original Lease commenced in May 2021 and had an original term of 60 months, with an option to extend for two additional 36 month periods.</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March 2022, the Company entered into a lease agreement for approximately 8,331 square feet of additional office and laboratory space at 2676 State Street in Carlsbad, California (the Expansion Lease). The Expansion Lease commenced for accounting purposes in May 2023, when the Company gained access to the premises. The Company’s obligation for payment of base rent began on the date the landlord delivered possession of the Expansion Lease premises in November 2023. The landlord completed improvements to the Expansion Lease premises, and the Company paid $0.5 million toward these costs prior to the Expansion Lease commencement. The Company determined that the landlord is the accounting owner of these improvements, and therefore this payment was included in the measurement of the right-of-use asset and corresponding lease liability. The Company was granted rent abatement for delays related to the landlord’s delivery of the Expansion Lease premises to the Company. The Expansion Lease has a lease term of 120 months, commencing on the day the landlord delivered possession of the Expansion Lease premises. The Company has the option to renew the Expansion Lease for two additional 36-month periods. The Original Lease was also amended to have the same lease expiration as the Expansion Lease.</w:t>
      </w:r>
    </w:p>
    <w:p>
      <w:pPr>
        <w:spacing w:after="0" w:line="188"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Company did not include the renewal periods in determining the lease term, as the Company was not reasonably certain to exercise either the amended Original Lease or the Expansion Lease renewal options.</w:t>
      </w:r>
    </w:p>
    <w:p>
      <w:pPr>
        <w:spacing w:after="0" w:line="16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Company’s lease agreements, the Company paid security deposits of $0.1 million and is required to maintain a letter of credit of $1.0 million. The letter of credit may be reduced to $0.9 million in 2027 and further reduced to $0.5 million in 2028.</w:t>
      </w:r>
    </w:p>
    <w:p>
      <w:pPr>
        <w:spacing w:after="0" w:line="16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$0.9 million and $0.8 million for the years ended December 31, 2025 and 2024, respectively.</w:t>
      </w:r>
    </w:p>
    <w:p>
      <w:pPr>
        <w:spacing w:after="0" w:line="162" w:lineRule="exact"/>
        <w:rPr>
          <w:sz w:val="20"/>
          <w:szCs w:val="20"/>
          <w:color w:val="auto"/>
        </w:rPr>
      </w:pPr>
    </w:p>
    <w:p>
      <w:pPr>
        <w:ind w:right="460" w:firstLine="749"/>
        <w:spacing w:after="0" w:line="266" w:lineRule="auto"/>
        <w:rPr>
          <w:sz w:val="20"/>
          <w:szCs w:val="20"/>
          <w:color w:val="auto"/>
        </w:rPr>
      </w:pPr>
      <w:r>
        <w:rPr>
          <w:rFonts w:ascii="Times New Roman" w:cs="Times New Roman" w:eastAsia="Times New Roman" w:hAnsi="Times New Roman"/>
          <w:sz w:val="18"/>
          <w:szCs w:val="18"/>
          <w:color w:val="auto"/>
        </w:rPr>
        <w:t>The components of lease expense include operating, short-term, and variable lease costs. Amortization is recorded within research and development and general and administrative expenses in the statements of operations and comprehensive loss. Components of lease cost for the years ended December 31, 2025 and 2024, respectively, were as follows (in thousands):</w:t>
      </w:r>
    </w:p>
    <w:p>
      <w:pPr>
        <w:spacing w:after="0" w:line="169"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35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528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28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132</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-1216660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Maturities of lease liabilities, weighted-average remaining term and weighted-average discount rate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2029</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2030</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18"/>
                <w:szCs w:val="18"/>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(2,003)</w:t>
            </w: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r>
      <w:tr>
        <w:trPr>
          <w:trHeight w:val="250"/>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61"/>
        </w:trPr>
        <w:tc>
          <w:tcPr>
            <w:tcW w:w="7620" w:type="dxa"/>
            <w:vAlign w:val="bottom"/>
          </w:tcPr>
          <w:p>
            <w:pPr>
              <w:spacing w:after="0"/>
              <w:rPr>
                <w:sz w:val="24"/>
                <w:szCs w:val="24"/>
                <w:color w:val="auto"/>
              </w:rPr>
            </w:pPr>
          </w:p>
        </w:tc>
        <w:tc>
          <w:tcPr>
            <w:tcW w:w="1240" w:type="dxa"/>
            <w:vAlign w:val="bottom"/>
            <w:gridSpan w:val="2"/>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20" w:type="dxa"/>
            <w:vAlign w:val="bottom"/>
          </w:tcPr>
          <w:p>
            <w:pPr>
              <w:spacing w:after="0"/>
              <w:rPr>
                <w:sz w:val="15"/>
                <w:szCs w:val="15"/>
                <w:color w:val="auto"/>
              </w:rPr>
            </w:pPr>
          </w:p>
        </w:tc>
        <w:tc>
          <w:tcPr>
            <w:tcW w:w="11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 - operating leases</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 - operating leases</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8.07%</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-671195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-654050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ongoing clinical and pre-clinical studies for its various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as of December 31, 2025, and no material legal proceedings are currently pending or threatened. If the potential loss from any claim, asserted or unasserted, or legal proceeding is considered probable and the amount is reasonably estimable, the Company will accrue a liability for the estimated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Company offers a 401(k) plan (401(k) Plan) for all employees who have met certain eligibility requirements. Under the 401(k) Plan, employees may elect to contribute a portion of their eligible compensation, subject to certain limitations. The Company has a program to match 100% of employee contributions to the 401(k) Plan up to a maximum of 4% of eligible earnings, subject to statutory limitations. Employer contributions for the year ended December 31, 2025 were $0.6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reports segment information based on the management approach, which reflects the way in which the internal reporting is used by the chief operating decision maker (CODM) to analyze performance, make decisions and allocate resources. The CODM is the Company’s Chief Executive Officer.</w:t>
      </w:r>
    </w:p>
    <w:p>
      <w:pPr>
        <w:spacing w:after="0" w:line="176"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reportable segment, which includes all activities related to the research, development, and potential future commercialization of its small molecule drug development candidates. The CODM assesses performance and decides how to allocate resources based on net loss (presented in the statements of operations and comprehensive loss). The measure of segment assets is reported on the balance sheets as total assets. All long-lived assets are located in the United States.</w:t>
      </w:r>
    </w:p>
    <w:p>
      <w:pPr>
        <w:spacing w:after="0" w:line="180"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The table below shows a reconciliation of the Company’s net loss, including the significant expense categories regularly provided to and reviewed by the CODM, to the Company’s total net loss in the statements of operations and comprehensive loss (in thousands):</w:t>
      </w:r>
    </w:p>
    <w:p>
      <w:pPr>
        <w:spacing w:after="0" w:line="155"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49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External research and development</w:t>
            </w:r>
          </w:p>
        </w:tc>
        <w:tc>
          <w:tcPr>
            <w:tcW w:w="1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expenses by program:</w:t>
            </w: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40" w:type="dxa"/>
            <w:vAlign w:val="bottom"/>
            <w:shd w:val="clear" w:color="auto" w:fill="CFF0FC"/>
          </w:tcPr>
          <w:p>
            <w:pPr>
              <w:ind w:left="400"/>
              <w:spacing w:after="0" w:line="216" w:lineRule="exact"/>
              <w:rPr>
                <w:sz w:val="20"/>
                <w:szCs w:val="20"/>
                <w:color w:val="auto"/>
              </w:rPr>
            </w:pPr>
            <w:r>
              <w:rPr>
                <w:rFonts w:ascii="Times New Roman" w:cs="Times New Roman" w:eastAsia="Times New Roman" w:hAnsi="Times New Roman"/>
                <w:sz w:val="18"/>
                <w:szCs w:val="18"/>
                <w:color w:val="auto"/>
              </w:rPr>
              <w:t>Dabogratinib (TYRA-300</w:t>
            </w:r>
            <w:r>
              <w:rPr>
                <w:rFonts w:ascii="Times New Roman" w:cs="Times New Roman" w:eastAsia="Times New Roman" w:hAnsi="Times New Roman"/>
                <w:sz w:val="24"/>
                <w:szCs w:val="24"/>
                <w:color w:val="auto"/>
                <w:vertAlign w:val="superscript"/>
              </w:rPr>
              <w:t>ACH</w:t>
            </w:r>
            <w:r>
              <w:rPr>
                <w:rFonts w:ascii="Times New Roman" w:cs="Times New Roman" w:eastAsia="Times New Roman" w:hAnsi="Times New Roman"/>
                <w:sz w:val="18"/>
                <w:szCs w:val="18"/>
                <w:color w:val="auto"/>
              </w:rPr>
              <w:t>)</w:t>
            </w:r>
          </w:p>
        </w:tc>
        <w:tc>
          <w:tcPr>
            <w:tcW w:w="3140" w:type="dxa"/>
            <w:vAlign w:val="bottom"/>
            <w:gridSpan w:val="2"/>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1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400"/>
              <w:spacing w:after="0" w:line="216" w:lineRule="exact"/>
              <w:rPr>
                <w:sz w:val="20"/>
                <w:szCs w:val="20"/>
                <w:color w:val="auto"/>
              </w:rPr>
            </w:pPr>
            <w:r>
              <w:rPr>
                <w:rFonts w:ascii="Times New Roman" w:cs="Times New Roman" w:eastAsia="Times New Roman" w:hAnsi="Times New Roman"/>
                <w:sz w:val="18"/>
                <w:szCs w:val="18"/>
                <w:color w:val="auto"/>
              </w:rPr>
              <w:t>Dabogratinib (TYRA-300</w:t>
            </w:r>
            <w:r>
              <w:rPr>
                <w:rFonts w:ascii="Times New Roman" w:cs="Times New Roman" w:eastAsia="Times New Roman" w:hAnsi="Times New Roman"/>
                <w:sz w:val="24"/>
                <w:szCs w:val="24"/>
                <w:color w:val="auto"/>
                <w:vertAlign w:val="superscript"/>
              </w:rPr>
              <w:t>NMIBC</w:t>
            </w:r>
            <w:r>
              <w:rPr>
                <w:rFonts w:ascii="Times New Roman" w:cs="Times New Roman" w:eastAsia="Times New Roman" w:hAnsi="Times New Roman"/>
                <w:sz w:val="18"/>
                <w:szCs w:val="18"/>
                <w:color w:val="auto"/>
              </w:rPr>
              <w:t>)</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400"/>
              <w:spacing w:after="0" w:line="216" w:lineRule="exact"/>
              <w:rPr>
                <w:sz w:val="20"/>
                <w:szCs w:val="20"/>
                <w:color w:val="auto"/>
              </w:rPr>
            </w:pPr>
            <w:r>
              <w:rPr>
                <w:rFonts w:ascii="Times New Roman" w:cs="Times New Roman" w:eastAsia="Times New Roman" w:hAnsi="Times New Roman"/>
                <w:sz w:val="18"/>
                <w:szCs w:val="18"/>
                <w:color w:val="auto"/>
              </w:rPr>
              <w:t>Dabogratinib (TYRA-300</w:t>
            </w:r>
            <w:r>
              <w:rPr>
                <w:rFonts w:ascii="Times New Roman" w:cs="Times New Roman" w:eastAsia="Times New Roman" w:hAnsi="Times New Roman"/>
                <w:sz w:val="24"/>
                <w:szCs w:val="24"/>
                <w:color w:val="auto"/>
                <w:vertAlign w:val="superscript"/>
              </w:rPr>
              <w:t>UTUC</w:t>
            </w:r>
            <w:r>
              <w:rPr>
                <w:rFonts w:ascii="Times New Roman" w:cs="Times New Roman" w:eastAsia="Times New Roman" w:hAnsi="Times New Roman"/>
                <w:sz w:val="18"/>
                <w:szCs w:val="18"/>
                <w:color w:val="auto"/>
              </w:rPr>
              <w:t>)</w:t>
            </w:r>
          </w:p>
        </w:tc>
        <w:tc>
          <w:tcPr>
            <w:tcW w:w="18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Pr>
          <w:p>
            <w:pPr>
              <w:ind w:left="400"/>
              <w:spacing w:after="0" w:line="216" w:lineRule="exact"/>
              <w:rPr>
                <w:sz w:val="20"/>
                <w:szCs w:val="20"/>
                <w:color w:val="auto"/>
              </w:rPr>
            </w:pPr>
            <w:r>
              <w:rPr>
                <w:rFonts w:ascii="Times New Roman" w:cs="Times New Roman" w:eastAsia="Times New Roman" w:hAnsi="Times New Roman"/>
                <w:sz w:val="18"/>
                <w:szCs w:val="18"/>
                <w:color w:val="auto"/>
              </w:rPr>
              <w:t>Dabogratinib (TYRA-300</w:t>
            </w:r>
            <w:r>
              <w:rPr>
                <w:rFonts w:ascii="Times New Roman" w:cs="Times New Roman" w:eastAsia="Times New Roman" w:hAnsi="Times New Roman"/>
                <w:sz w:val="24"/>
                <w:szCs w:val="24"/>
                <w:color w:val="auto"/>
                <w:vertAlign w:val="superscript"/>
              </w:rPr>
              <w:t>mUC</w:t>
            </w:r>
            <w:r>
              <w:rPr>
                <w:rFonts w:ascii="Times New Roman" w:cs="Times New Roman" w:eastAsia="Times New Roman" w:hAnsi="Times New Roman"/>
                <w:sz w:val="18"/>
                <w:szCs w:val="18"/>
                <w:color w:val="auto"/>
              </w:rPr>
              <w:t>)</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TYRA-430</w:t>
            </w:r>
          </w:p>
        </w:tc>
        <w:tc>
          <w:tcPr>
            <w:tcW w:w="18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TYRA-200</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FGFR discovery</w:t>
            </w:r>
          </w:p>
        </w:tc>
        <w:tc>
          <w:tcPr>
            <w:tcW w:w="18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Pr>
          <w:p>
            <w:pPr>
              <w:spacing w:after="0"/>
              <w:rPr>
                <w:sz w:val="18"/>
                <w:szCs w:val="18"/>
                <w:color w:val="auto"/>
              </w:rPr>
            </w:pPr>
          </w:p>
        </w:tc>
      </w:tr>
      <w:tr>
        <w:trPr>
          <w:trHeight w:val="198"/>
        </w:trPr>
        <w:tc>
          <w:tcPr>
            <w:tcW w:w="49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Unallocated research and development</w:t>
            </w:r>
          </w:p>
        </w:tc>
        <w:tc>
          <w:tcPr>
            <w:tcW w:w="18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9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expenses:</w:t>
            </w:r>
          </w:p>
        </w:tc>
        <w:tc>
          <w:tcPr>
            <w:tcW w:w="18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4940" w:type="dxa"/>
            <w:vAlign w:val="bottom"/>
          </w:tcPr>
          <w:p>
            <w:pPr>
              <w:ind w:left="400"/>
              <w:spacing w:after="0" w:line="216"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4"/>
                <w:szCs w:val="24"/>
                <w:color w:val="auto"/>
                <w:vertAlign w:val="superscript"/>
              </w:rPr>
              <w:t>(1)</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10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400"/>
              <w:spacing w:after="0" w:line="216" w:lineRule="exact"/>
              <w:rPr>
                <w:sz w:val="20"/>
                <w:szCs w:val="20"/>
                <w:color w:val="auto"/>
              </w:rPr>
            </w:pPr>
            <w:r>
              <w:rPr>
                <w:rFonts w:ascii="Times New Roman" w:cs="Times New Roman" w:eastAsia="Times New Roman" w:hAnsi="Times New Roman"/>
                <w:sz w:val="18"/>
                <w:szCs w:val="18"/>
                <w:color w:val="auto"/>
              </w:rPr>
              <w:t>Facilities and other costs</w:t>
            </w:r>
            <w:r>
              <w:rPr>
                <w:rFonts w:ascii="Times New Roman" w:cs="Times New Roman" w:eastAsia="Times New Roman" w:hAnsi="Times New Roman"/>
                <w:sz w:val="24"/>
                <w:szCs w:val="24"/>
                <w:color w:val="auto"/>
                <w:vertAlign w:val="superscript"/>
              </w:rPr>
              <w:t>(2)</w:t>
            </w:r>
          </w:p>
        </w:tc>
        <w:tc>
          <w:tcPr>
            <w:tcW w:w="18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80,077</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4"/>
                <w:szCs w:val="24"/>
                <w:color w:val="auto"/>
                <w:vertAlign w:val="superscript"/>
              </w:rPr>
              <w:t>(3)</w:t>
            </w:r>
          </w:p>
        </w:tc>
        <w:tc>
          <w:tcPr>
            <w:tcW w:w="18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(12,815)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(17,696)</w:t>
            </w:r>
          </w:p>
        </w:tc>
      </w:tr>
      <w:tr>
        <w:trPr>
          <w:trHeight w:val="20"/>
        </w:trPr>
        <w:tc>
          <w:tcPr>
            <w:tcW w:w="4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(119,947)</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(86,481)</w:t>
            </w: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-590550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180" w:hanging="172"/>
        <w:spacing w:after="0"/>
        <w:tabs>
          <w:tab w:leader="none" w:pos="18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Personnel costs include $15.7 million and $14.3 million of stock-based compensation for the years ended December 31, 2025 and 2024, respectively.</w:t>
      </w:r>
    </w:p>
    <w:p>
      <w:pPr>
        <w:spacing w:after="0" w:line="84"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Facilities and other costs consist of research consumables, facility-related costs, depreciation and costs not attributed to a specific program.</w:t>
      </w:r>
    </w:p>
    <w:p>
      <w:pPr>
        <w:spacing w:after="0" w:line="103" w:lineRule="exact"/>
        <w:rPr>
          <w:rFonts w:ascii="Times New Roman" w:cs="Times New Roman" w:eastAsia="Times New Roman" w:hAnsi="Times New Roman"/>
          <w:sz w:val="22"/>
          <w:szCs w:val="22"/>
          <w:color w:val="auto"/>
          <w:vertAlign w:val="superscript"/>
        </w:rPr>
      </w:pPr>
    </w:p>
    <w:p>
      <w:pPr>
        <w:ind w:right="600" w:firstLine="8"/>
        <w:spacing w:after="0" w:line="306" w:lineRule="auto"/>
        <w:tabs>
          <w:tab w:leader="none" w:pos="170" w:val="left"/>
        </w:tabs>
        <w:numPr>
          <w:ilvl w:val="0"/>
          <w:numId w:val="5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General and administrative expenses consist of personnel-related expenses, including stock-based compensation, legal fees, facility-related costs, depreciation, professional and consulting fees and insurance costs.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financial and accounting officer, respectively), evaluated the effectiveness of our disclosure controls and procedures as of December 31,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chief executive officer and our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Rules 13a-15(f). Management assessed our internal control over financial reporting as of December 31, 2025, and based its assessment on criteria established in "Internal Control - Integrated Framework (2013)" issued by the Committee of Sponsoring Organizations of the Treadway Commission (COSO). Based on that assessment, our management concluded that our internal control over financial reporting was effective as of December 31, 2025.</w:t>
      </w:r>
    </w:p>
    <w:p>
      <w:pPr>
        <w:spacing w:after="0" w:line="180"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6" w:name="page137"/>
    <w:bookmarkEnd w:id="13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of the Exchange Act) and directors may enter into Rule 10b5-1 or non-Rule 10b5-1 trading arrangements (as each such term is defined in Item 408 of Regulation S-K). During the three months ended December 31, 2025, our officers and directors took the following actions with respect to such trading arrangements: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160" w:type="dxa"/>
            <w:vAlign w:val="bottom"/>
          </w:tcPr>
          <w:p>
            <w:pPr>
              <w:spacing w:after="0"/>
              <w:rPr>
                <w:sz w:val="20"/>
                <w:szCs w:val="2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Non-Rule</w:t>
            </w: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60" w:type="dxa"/>
            <w:vAlign w:val="bottom"/>
          </w:tcPr>
          <w:p>
            <w:pPr>
              <w:spacing w:after="0"/>
              <w:rPr>
                <w:sz w:val="9"/>
                <w:szCs w:val="9"/>
                <w:color w:val="auto"/>
              </w:rPr>
            </w:pPr>
          </w:p>
        </w:tc>
        <w:tc>
          <w:tcPr>
            <w:tcW w:w="13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60" w:type="dxa"/>
            <w:vAlign w:val="bottom"/>
          </w:tcPr>
          <w:p>
            <w:pPr>
              <w:spacing w:after="0"/>
              <w:rPr>
                <w:sz w:val="9"/>
                <w:szCs w:val="9"/>
                <w:color w:val="auto"/>
              </w:rPr>
            </w:pPr>
          </w:p>
        </w:tc>
        <w:tc>
          <w:tcPr>
            <w:tcW w:w="12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Rule 10b5-1*</w:t>
            </w:r>
          </w:p>
        </w:tc>
        <w:tc>
          <w:tcPr>
            <w:tcW w:w="1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Authorized to</w:t>
            </w:r>
          </w:p>
        </w:tc>
        <w:tc>
          <w:tcPr>
            <w:tcW w:w="28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10b5-1**</w:t>
            </w:r>
          </w:p>
        </w:tc>
        <w:tc>
          <w:tcPr>
            <w:tcW w:w="1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be Sold***</w:t>
            </w: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Todd Harris</w:t>
            </w:r>
          </w:p>
        </w:tc>
        <w:tc>
          <w:tcPr>
            <w:tcW w:w="1540" w:type="dxa"/>
            <w:vAlign w:val="bottom"/>
            <w:gridSpan w:val="2"/>
            <w:shd w:val="clear" w:color="auto" w:fill="CFF0FC"/>
          </w:tcPr>
          <w:p>
            <w:pPr>
              <w:ind w:left="160"/>
              <w:spacing w:after="0" w:line="198" w:lineRule="exact"/>
              <w:rPr>
                <w:sz w:val="20"/>
                <w:szCs w:val="20"/>
                <w:color w:val="auto"/>
              </w:rPr>
            </w:pPr>
            <w:r>
              <w:rPr>
                <w:rFonts w:ascii="Times New Roman" w:cs="Times New Roman" w:eastAsia="Times New Roman" w:hAnsi="Times New Roman"/>
                <w:sz w:val="17"/>
                <w:szCs w:val="17"/>
                <w:color w:val="auto"/>
              </w:rPr>
              <w:t xml:space="preserve">Terminate </w:t>
            </w:r>
            <w:r>
              <w:rPr>
                <w:rFonts w:ascii="Times New Roman" w:cs="Times New Roman" w:eastAsia="Times New Roman" w:hAnsi="Times New Roman"/>
                <w:sz w:val="22"/>
                <w:szCs w:val="22"/>
                <w:color w:val="auto"/>
                <w:vertAlign w:val="superscript"/>
              </w:rPr>
              <w:t>(1)</w:t>
            </w:r>
          </w:p>
        </w:tc>
        <w:tc>
          <w:tcPr>
            <w:tcW w:w="128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11/21/2025</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315,000</w:t>
            </w:r>
          </w:p>
        </w:tc>
        <w:tc>
          <w:tcPr>
            <w:tcW w:w="15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Director</w:t>
            </w: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Alan Fuhrman</w:t>
            </w:r>
          </w:p>
        </w:tc>
        <w:tc>
          <w:tcPr>
            <w:tcW w:w="1540" w:type="dxa"/>
            <w:vAlign w:val="bottom"/>
            <w:gridSpan w:val="2"/>
          </w:tcPr>
          <w:p>
            <w:pPr>
              <w:ind w:left="160"/>
              <w:spacing w:after="0" w:line="218" w:lineRule="exact"/>
              <w:rPr>
                <w:sz w:val="20"/>
                <w:szCs w:val="20"/>
                <w:color w:val="auto"/>
              </w:rPr>
            </w:pPr>
            <w:r>
              <w:rPr>
                <w:rFonts w:ascii="Times New Roman" w:cs="Times New Roman" w:eastAsia="Times New Roman" w:hAnsi="Times New Roman"/>
                <w:sz w:val="18"/>
                <w:szCs w:val="18"/>
                <w:color w:val="auto"/>
              </w:rPr>
              <w:t xml:space="preserve">Terminate </w:t>
            </w:r>
            <w:r>
              <w:rPr>
                <w:rFonts w:ascii="Times New Roman" w:cs="Times New Roman" w:eastAsia="Times New Roman" w:hAnsi="Times New Roman"/>
                <w:sz w:val="24"/>
                <w:szCs w:val="24"/>
                <w:color w:val="auto"/>
                <w:vertAlign w:val="superscript"/>
              </w:rPr>
              <w:t>(2)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11/21/2025</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7/31/2026</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Intended to satisfy the affirmative defense of Rule 10b5-1(c)</w:t>
      </w:r>
    </w:p>
    <w:p>
      <w:pPr>
        <w:spacing w:after="0" w:line="27" w:lineRule="exact"/>
        <w:rPr>
          <w:sz w:val="20"/>
          <w:szCs w:val="20"/>
          <w:color w:val="auto"/>
        </w:rPr>
      </w:pPr>
    </w:p>
    <w:p>
      <w:pPr>
        <w:ind w:left="240" w:hanging="232"/>
        <w:spacing w:after="0"/>
        <w:tabs>
          <w:tab w:leader="none" w:pos="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intended to satisfy the affirmative defense of Rule 10b5-1(c)</w:t>
      </w:r>
    </w:p>
    <w:p>
      <w:pPr>
        <w:spacing w:after="0" w:line="9" w:lineRule="exact"/>
        <w:rPr>
          <w:rFonts w:ascii="Times New Roman" w:cs="Times New Roman" w:eastAsia="Times New Roman" w:hAnsi="Times New Roman"/>
          <w:sz w:val="18"/>
          <w:szCs w:val="18"/>
          <w:color w:val="auto"/>
        </w:rPr>
      </w:pPr>
    </w:p>
    <w:p>
      <w:pPr>
        <w:ind w:right="520" w:firstLine="8"/>
        <w:spacing w:after="0" w:line="250" w:lineRule="auto"/>
        <w:tabs>
          <w:tab w:leader="none" w:pos="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number of shares that may be sold pursuant to the 10b5-1 arrangement. The number of shares sold is dependent on the satisfaction of certain conditions as set forth in the written plan and the satisfaction of applicable vesting conditions of equity awards.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Trading arrangement was originally adopted on 11/4/2024.</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Trading arrangement was originally adopted on 11/5/2024.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and not set forth below will be contained in our definitive proxy statement to be filed with the SEC in connection with our 2026 Annual Meeting of Stockholders (the Definitive Proxy Statement), which is expected to be filed not later than 120 days after the end of our fiscal year ended December 31, 2025,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which is available on our website at www.tyra.bio.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any waiver, including an implicit waiver, from a provision of our code of ethics that is granted to one of these specified officers, the name of such person who is granted the waiver and the date of the waiver on our website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Procedures</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and procedures governing the purchase, sale, and/or other dispositions of our securities by our directors, officers, employees and other covered persons that are designed to promote compliance with insider trading laws, rules and regulations, and the Nasdaq Stock Market LLC listing rules, as applicable. A copy of our Insider Trading Compliance Policy and Procedures is filed as Exhibit 19.1 to this Annual Report. It is our policy to comply with U.S. insider trading laws and regulations, including with respect to transactions in our own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and is incorporated herein by reference.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98"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89" w:lineRule="exact"/>
        <w:rPr>
          <w:sz w:val="20"/>
          <w:szCs w:val="20"/>
          <w:color w:val="auto"/>
        </w:rPr>
      </w:pPr>
    </w:p>
    <w:p>
      <w:pPr>
        <w:ind w:right="360" w:firstLine="749"/>
        <w:spacing w:after="0" w:line="312" w:lineRule="auto"/>
        <w:rPr>
          <w:sz w:val="20"/>
          <w:szCs w:val="20"/>
          <w:color w:val="auto"/>
        </w:rPr>
      </w:pPr>
      <w:r>
        <w:rPr>
          <w:rFonts w:ascii="Times New Roman" w:cs="Times New Roman" w:eastAsia="Times New Roman" w:hAnsi="Times New Roman"/>
          <w:sz w:val="17"/>
          <w:szCs w:val="17"/>
          <w:color w:val="auto"/>
        </w:rPr>
        <w:t>The financial statements of Tyra Biosciences, Inc., together with the report thereon of Ernst &amp; Young LLP, an independent registered public accounting firm (PCAOB ID No. 42), are included in this Annual Report contained in Part II, Item 8. Financial Statements and Supplementary Data.</w:t>
      </w:r>
    </w:p>
    <w:p>
      <w:pPr>
        <w:spacing w:after="0" w:line="95"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Statement Schedules.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 thereto.</w:t>
      </w:r>
    </w:p>
    <w:p>
      <w:pPr>
        <w:spacing w:after="0" w:line="181"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list of exhibits is set forth on the Exhibit Index immediately preceding the signature page of this Annual Report and is incorporated herein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2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3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38"/>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398"/>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220" w:type="dxa"/>
            <w:vAlign w:val="bottom"/>
            <w:gridSpan w:val="35"/>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Amended and Restated Certificate of Incorporation</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48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Certificate of Amendment of Amended and Restated Certificate of</w:t>
              </w:r>
            </w:hyperlink>
          </w:p>
        </w:tc>
        <w:tc>
          <w:tcPr>
            <w:tcW w:w="380" w:type="dxa"/>
            <w:vAlign w:val="bottom"/>
            <w:gridSpan w:val="10"/>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35"/>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Incorporation, dated May 29, 2024</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46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Amended and Restated Bylaws, effective as of October 26, 2023</w:t>
              </w:r>
            </w:hyperlink>
          </w:p>
        </w:tc>
        <w:tc>
          <w:tcPr>
            <w:tcW w:w="40" w:type="dxa"/>
            <w:vAlign w:val="bottom"/>
            <w:tcBorders>
              <w:bottom w:val="single" w:sz="8" w:color="0000EE"/>
            </w:tcBorders>
          </w:tcPr>
          <w:p>
            <w:pPr>
              <w:spacing w:after="0"/>
              <w:rPr>
                <w:sz w:val="17"/>
                <w:szCs w:val="17"/>
                <w:color w:val="auto"/>
              </w:rPr>
            </w:pPr>
          </w:p>
        </w:tc>
        <w:tc>
          <w:tcPr>
            <w:tcW w:w="520" w:type="dxa"/>
            <w:vAlign w:val="bottom"/>
            <w:gridSpan w:val="12"/>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5220" w:type="dxa"/>
            <w:vAlign w:val="bottom"/>
            <w:gridSpan w:val="35"/>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Specimen stock certificate evidencing the shares of common stock</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50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Amended and Restated Investors’ Rights Agreement, dated March 5,</w:t>
              </w:r>
            </w:hyperlink>
          </w:p>
        </w:tc>
        <w:tc>
          <w:tcPr>
            <w:tcW w:w="22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2021, by and among the Registrant and certain of its stockholders</w:t>
              </w:r>
            </w:hyperlink>
          </w:p>
        </w:tc>
        <w:tc>
          <w:tcPr>
            <w:tcW w:w="420" w:type="dxa"/>
            <w:vAlign w:val="bottom"/>
            <w:gridSpan w:val="11"/>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5220" w:type="dxa"/>
            <w:vAlign w:val="bottom"/>
            <w:gridSpan w:val="35"/>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Description of Registered Securities</w:t>
              </w:r>
            </w:hyperlink>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260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Form of Pre-Funded Warrant</w:t>
              </w:r>
            </w:hyperlink>
          </w:p>
        </w:tc>
        <w:tc>
          <w:tcPr>
            <w:tcW w:w="2620" w:type="dxa"/>
            <w:vAlign w:val="bottom"/>
            <w:gridSpan w:val="26"/>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Form of Exchange Warrant</w:t>
              </w:r>
            </w:hyperlink>
          </w:p>
        </w:tc>
        <w:tc>
          <w:tcPr>
            <w:tcW w:w="20" w:type="dxa"/>
            <w:vAlign w:val="bottom"/>
            <w:tcBorders>
              <w:top w:val="single" w:sz="8" w:color="0000FF"/>
              <w:bottom w:val="single" w:sz="8" w:color="0000EE"/>
            </w:tcBorders>
          </w:tcPr>
          <w:p>
            <w:pPr>
              <w:spacing w:after="0"/>
              <w:rPr>
                <w:sz w:val="17"/>
                <w:szCs w:val="17"/>
                <w:color w:val="auto"/>
              </w:rPr>
            </w:pPr>
          </w:p>
        </w:tc>
        <w:tc>
          <w:tcPr>
            <w:tcW w:w="100" w:type="dxa"/>
            <w:vAlign w:val="bottom"/>
            <w:tcBorders>
              <w:top w:val="single" w:sz="8" w:color="0000FF"/>
            </w:tcBorders>
            <w:gridSpan w:val="2"/>
          </w:tcPr>
          <w:p>
            <w:pPr>
              <w:spacing w:after="0"/>
              <w:rPr>
                <w:sz w:val="17"/>
                <w:szCs w:val="17"/>
                <w:color w:val="auto"/>
              </w:rPr>
            </w:pPr>
          </w:p>
        </w:tc>
        <w:tc>
          <w:tcPr>
            <w:tcW w:w="3120" w:type="dxa"/>
            <w:vAlign w:val="bottom"/>
            <w:gridSpan w:val="28"/>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17"/>
                <w:szCs w:val="17"/>
                <w:color w:val="auto"/>
              </w:rPr>
            </w:pPr>
          </w:p>
        </w:tc>
        <w:tc>
          <w:tcPr>
            <w:tcW w:w="49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Tyra Biosciences, Inc. 2020 Equity Incentive Plan and form of stock</w:t>
              </w:r>
            </w:hyperlink>
          </w:p>
        </w:tc>
        <w:tc>
          <w:tcPr>
            <w:tcW w:w="24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35"/>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option agreement thereunder</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3"/>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17"/>
                <w:szCs w:val="17"/>
                <w:color w:val="auto"/>
              </w:rPr>
            </w:pPr>
          </w:p>
        </w:tc>
        <w:tc>
          <w:tcPr>
            <w:tcW w:w="49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Tyra Biosciences, Inc. 2021 Incentive Award Plan and form of stock</w:t>
              </w:r>
            </w:hyperlink>
          </w:p>
        </w:tc>
        <w:tc>
          <w:tcPr>
            <w:tcW w:w="24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option grant notice and stock option agreement thereunder</w:t>
              </w:r>
            </w:hyperlink>
          </w:p>
        </w:tc>
        <w:tc>
          <w:tcPr>
            <w:tcW w:w="960" w:type="dxa"/>
            <w:vAlign w:val="bottom"/>
            <w:gridSpan w:val="18"/>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17"/>
                <w:szCs w:val="17"/>
                <w:color w:val="auto"/>
              </w:rPr>
            </w:pPr>
          </w:p>
        </w:tc>
        <w:tc>
          <w:tcPr>
            <w:tcW w:w="43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Tyra Biosciences, Inc. 2021 Employee Stock Purchase Plan</w:t>
              </w:r>
            </w:hyperlink>
          </w:p>
        </w:tc>
        <w:tc>
          <w:tcPr>
            <w:tcW w:w="20" w:type="dxa"/>
            <w:vAlign w:val="bottom"/>
            <w:tcBorders>
              <w:bottom w:val="single" w:sz="8" w:color="0000EE"/>
            </w:tcBorders>
          </w:tcPr>
          <w:p>
            <w:pPr>
              <w:spacing w:after="0"/>
              <w:rPr>
                <w:sz w:val="17"/>
                <w:szCs w:val="17"/>
                <w:color w:val="auto"/>
              </w:rPr>
            </w:pPr>
          </w:p>
        </w:tc>
        <w:tc>
          <w:tcPr>
            <w:tcW w:w="900" w:type="dxa"/>
            <w:vAlign w:val="bottom"/>
            <w:gridSpan w:val="16"/>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Pr>
          <w:p>
            <w:pPr>
              <w:spacing w:after="0"/>
              <w:rPr>
                <w:sz w:val="17"/>
                <w:szCs w:val="17"/>
                <w:color w:val="auto"/>
              </w:rPr>
            </w:pPr>
          </w:p>
        </w:tc>
        <w:tc>
          <w:tcPr>
            <w:tcW w:w="52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Non-Employee Director Compensation Program, amended and restated</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335">
              <w:r>
                <w:rPr>
                  <w:rFonts w:ascii="Times New Roman" w:cs="Times New Roman" w:eastAsia="Times New Roman" w:hAnsi="Times New Roman"/>
                  <w:sz w:val="18"/>
                  <w:szCs w:val="18"/>
                  <w:color w:val="0000FF"/>
                  <w:w w:val="98"/>
                </w:rPr>
                <w:t>effective May 29, 2025</w:t>
              </w:r>
            </w:hyperlink>
          </w:p>
        </w:tc>
        <w:tc>
          <w:tcPr>
            <w:tcW w:w="20" w:type="dxa"/>
            <w:vAlign w:val="bottom"/>
            <w:tcBorders>
              <w:bottom w:val="single" w:sz="8" w:color="0000EE"/>
            </w:tcBorders>
          </w:tcPr>
          <w:p>
            <w:pPr>
              <w:spacing w:after="0"/>
              <w:rPr>
                <w:sz w:val="17"/>
                <w:szCs w:val="17"/>
                <w:color w:val="auto"/>
              </w:rPr>
            </w:pPr>
          </w:p>
        </w:tc>
        <w:tc>
          <w:tcPr>
            <w:tcW w:w="3520" w:type="dxa"/>
            <w:vAlign w:val="bottom"/>
            <w:gridSpan w:val="32"/>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10.5#</w:t>
            </w:r>
          </w:p>
        </w:tc>
        <w:tc>
          <w:tcPr>
            <w:tcW w:w="120" w:type="dxa"/>
            <w:vAlign w:val="bottom"/>
          </w:tcPr>
          <w:p>
            <w:pPr>
              <w:spacing w:after="0"/>
              <w:rPr>
                <w:sz w:val="17"/>
                <w:szCs w:val="17"/>
                <w:color w:val="auto"/>
              </w:rPr>
            </w:pPr>
          </w:p>
        </w:tc>
        <w:tc>
          <w:tcPr>
            <w:tcW w:w="30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Tyra Biosciences, Inc. Annual Bonus Plan</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22"/>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20" w:type="dxa"/>
            <w:vAlign w:val="bottom"/>
          </w:tcPr>
          <w:p>
            <w:pPr>
              <w:spacing w:after="0"/>
              <w:rPr>
                <w:sz w:val="17"/>
                <w:szCs w:val="17"/>
                <w:color w:val="auto"/>
              </w:rPr>
            </w:pPr>
          </w:p>
        </w:tc>
        <w:tc>
          <w:tcPr>
            <w:tcW w:w="50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Second Amended and Restated Employment Letter Agreement, dated</w:t>
              </w:r>
            </w:hyperlink>
          </w:p>
        </w:tc>
        <w:tc>
          <w:tcPr>
            <w:tcW w:w="16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35"/>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August 18, 2021, by and between Todd Harris and the Registrant</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0" w:type="dxa"/>
            <w:vAlign w:val="bottom"/>
            <w:tcBorders>
              <w:right w:val="single" w:sz="8" w:color="0000FF"/>
            </w:tcBorders>
            <w:gridSpan w:val="9"/>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20" w:type="dxa"/>
            <w:vAlign w:val="bottom"/>
          </w:tcPr>
          <w:p>
            <w:pPr>
              <w:spacing w:after="0"/>
              <w:rPr>
                <w:sz w:val="17"/>
                <w:szCs w:val="17"/>
                <w:color w:val="auto"/>
              </w:rPr>
            </w:pPr>
          </w:p>
        </w:tc>
        <w:tc>
          <w:tcPr>
            <w:tcW w:w="50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Second Amended and Restated Employment Letter Agreement, dated</w:t>
              </w:r>
            </w:hyperlink>
          </w:p>
        </w:tc>
        <w:tc>
          <w:tcPr>
            <w:tcW w:w="16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35"/>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August 18, 2021, by and between Daniel Bensen and the Registrant</w:t>
              </w:r>
            </w:hyperlink>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20" w:type="dxa"/>
            <w:vAlign w:val="bottom"/>
          </w:tcPr>
          <w:p>
            <w:pPr>
              <w:spacing w:after="0"/>
              <w:rPr>
                <w:sz w:val="17"/>
                <w:szCs w:val="17"/>
                <w:color w:val="auto"/>
              </w:rPr>
            </w:pPr>
          </w:p>
        </w:tc>
        <w:tc>
          <w:tcPr>
            <w:tcW w:w="4800" w:type="dxa"/>
            <w:vAlign w:val="bottom"/>
            <w:tcBorders>
              <w:top w:val="single" w:sz="8" w:color="0000FF"/>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Employment Letter Agreement, dated December 31, 2022, by and</w:t>
              </w:r>
            </w:hyperlink>
          </w:p>
        </w:tc>
        <w:tc>
          <w:tcPr>
            <w:tcW w:w="60" w:type="dxa"/>
            <w:vAlign w:val="bottom"/>
            <w:tcBorders>
              <w:top w:val="single" w:sz="8" w:color="0000FF"/>
            </w:tcBorders>
            <w:gridSpan w:val="2"/>
          </w:tcPr>
          <w:p>
            <w:pPr>
              <w:spacing w:after="0"/>
              <w:rPr>
                <w:sz w:val="17"/>
                <w:szCs w:val="17"/>
                <w:color w:val="auto"/>
              </w:rPr>
            </w:pPr>
          </w:p>
        </w:tc>
        <w:tc>
          <w:tcPr>
            <w:tcW w:w="360" w:type="dxa"/>
            <w:vAlign w:val="bottom"/>
            <w:gridSpan w:val="9"/>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between Alan Fuhrman and the Registrant</w:t>
              </w:r>
            </w:hyperlink>
          </w:p>
        </w:tc>
        <w:tc>
          <w:tcPr>
            <w:tcW w:w="20" w:type="dxa"/>
            <w:vAlign w:val="bottom"/>
            <w:tcBorders>
              <w:bottom w:val="single" w:sz="8" w:color="0000EE"/>
            </w:tcBorders>
          </w:tcPr>
          <w:p>
            <w:pPr>
              <w:spacing w:after="0"/>
              <w:rPr>
                <w:sz w:val="17"/>
                <w:szCs w:val="17"/>
                <w:color w:val="auto"/>
              </w:rPr>
            </w:pPr>
          </w:p>
        </w:tc>
        <w:tc>
          <w:tcPr>
            <w:tcW w:w="2160" w:type="dxa"/>
            <w:vAlign w:val="bottom"/>
            <w:gridSpan w:val="23"/>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w:t>
            </w:r>
          </w:p>
        </w:tc>
        <w:tc>
          <w:tcPr>
            <w:tcW w:w="120" w:type="dxa"/>
            <w:vAlign w:val="bottom"/>
          </w:tcPr>
          <w:p>
            <w:pPr>
              <w:spacing w:after="0"/>
              <w:rPr>
                <w:sz w:val="17"/>
                <w:szCs w:val="17"/>
                <w:color w:val="auto"/>
              </w:rPr>
            </w:pPr>
          </w:p>
        </w:tc>
        <w:tc>
          <w:tcPr>
            <w:tcW w:w="46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Employment Agreement, dated September 9, 2024, between the</w:t>
              </w:r>
            </w:hyperlink>
          </w:p>
        </w:tc>
        <w:tc>
          <w:tcPr>
            <w:tcW w:w="580" w:type="dxa"/>
            <w:vAlign w:val="bottom"/>
            <w:gridSpan w:val="1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35"/>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Registrant and Douglas Warner, M.D.</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0" w:type="dxa"/>
            <w:vAlign w:val="bottom"/>
            <w:tcBorders>
              <w:right w:val="single" w:sz="8" w:color="0000EE"/>
            </w:tcBorders>
            <w:gridSpan w:val="9"/>
            <w:shd w:val="clear" w:color="auto" w:fill="0000FF"/>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10.10#</w:t>
            </w:r>
          </w:p>
        </w:tc>
        <w:tc>
          <w:tcPr>
            <w:tcW w:w="120" w:type="dxa"/>
            <w:vAlign w:val="bottom"/>
          </w:tcPr>
          <w:p>
            <w:pPr>
              <w:spacing w:after="0"/>
              <w:rPr>
                <w:sz w:val="17"/>
                <w:szCs w:val="17"/>
                <w:color w:val="auto"/>
              </w:rPr>
            </w:pPr>
          </w:p>
        </w:tc>
        <w:tc>
          <w:tcPr>
            <w:tcW w:w="5220" w:type="dxa"/>
            <w:vAlign w:val="bottom"/>
            <w:gridSpan w:val="35"/>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Form of Indemnification Agreement for Directors and Officers</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60" w:type="dxa"/>
            <w:vAlign w:val="bottom"/>
            <w:gridSpan w:val="1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17"/>
                <w:szCs w:val="17"/>
                <w:color w:val="auto"/>
              </w:rPr>
            </w:pPr>
          </w:p>
        </w:tc>
        <w:tc>
          <w:tcPr>
            <w:tcW w:w="49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Office Lease, between the Registrant and Fabric 2656 State, LLC, a</w:t>
              </w:r>
            </w:hyperlink>
          </w:p>
        </w:tc>
        <w:tc>
          <w:tcPr>
            <w:tcW w:w="30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California limited liability company, dated August 5, 2020</w:t>
              </w:r>
            </w:hyperlink>
          </w:p>
        </w:tc>
        <w:tc>
          <w:tcPr>
            <w:tcW w:w="20" w:type="dxa"/>
            <w:vAlign w:val="bottom"/>
            <w:tcBorders>
              <w:bottom w:val="single" w:sz="8" w:color="0000EE"/>
            </w:tcBorders>
          </w:tcPr>
          <w:p>
            <w:pPr>
              <w:spacing w:after="0"/>
              <w:rPr>
                <w:sz w:val="17"/>
                <w:szCs w:val="17"/>
                <w:color w:val="auto"/>
              </w:rPr>
            </w:pPr>
          </w:p>
        </w:tc>
        <w:tc>
          <w:tcPr>
            <w:tcW w:w="980" w:type="dxa"/>
            <w:vAlign w:val="bottom"/>
            <w:gridSpan w:val="19"/>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17"/>
                <w:szCs w:val="17"/>
                <w:color w:val="auto"/>
              </w:rPr>
            </w:pPr>
          </w:p>
        </w:tc>
        <w:tc>
          <w:tcPr>
            <w:tcW w:w="49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First Amendment to Lease, between the Registrant and Fabric 2656</w:t>
              </w:r>
            </w:hyperlink>
          </w:p>
        </w:tc>
        <w:tc>
          <w:tcPr>
            <w:tcW w:w="32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State, LLC, a California limited liability company, dated March 2, 2022</w:t>
              </w:r>
            </w:hyperlink>
          </w:p>
        </w:tc>
        <w:tc>
          <w:tcPr>
            <w:tcW w:w="40" w:type="dxa"/>
            <w:vAlign w:val="bottom"/>
            <w:gridSpan w:val="2"/>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17"/>
                <w:szCs w:val="17"/>
                <w:color w:val="auto"/>
              </w:rPr>
            </w:pPr>
          </w:p>
        </w:tc>
        <w:tc>
          <w:tcPr>
            <w:tcW w:w="51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Second Amendment to Lease, between the Registrant and Fabric 2656</w:t>
              </w:r>
            </w:hyperlink>
          </w:p>
        </w:tc>
        <w:tc>
          <w:tcPr>
            <w:tcW w:w="12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State, LLC, a California limited liability company, dated December 20,</w:t>
              </w:r>
            </w:hyperlink>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80" w:type="dxa"/>
            <w:vAlign w:val="bottom"/>
            <w:gridSpan w:val="2"/>
          </w:tcPr>
          <w:p>
            <w:pPr>
              <w:ind w:left="120"/>
              <w:spacing w:after="0" w:line="196" w:lineRule="exact"/>
              <w:rPr>
                <w:rFonts w:ascii="Times New Roman" w:cs="Times New Roman" w:eastAsia="Times New Roman" w:hAnsi="Times New Roman"/>
                <w:sz w:val="18"/>
                <w:szCs w:val="18"/>
                <w:color w:val="0000FF"/>
                <w:w w:val="94"/>
              </w:rPr>
            </w:pPr>
            <w:hyperlink r:id="rId344">
              <w:r>
                <w:rPr>
                  <w:rFonts w:ascii="Times New Roman" w:cs="Times New Roman" w:eastAsia="Times New Roman" w:hAnsi="Times New Roman"/>
                  <w:sz w:val="18"/>
                  <w:szCs w:val="18"/>
                  <w:color w:val="0000FF"/>
                  <w:w w:val="94"/>
                </w:rPr>
                <w:t>2022</w:t>
              </w:r>
            </w:hyperlink>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40" w:type="dxa"/>
            <w:vAlign w:val="bottom"/>
            <w:gridSpan w:val="17"/>
          </w:tcPr>
          <w:p>
            <w:pPr>
              <w:spacing w:after="0" w:line="20" w:lineRule="exact"/>
              <w:rPr>
                <w:sz w:val="1"/>
                <w:szCs w:val="1"/>
                <w:color w:val="auto"/>
              </w:rPr>
            </w:pPr>
          </w:p>
        </w:tc>
        <w:tc>
          <w:tcPr>
            <w:tcW w:w="920" w:type="dxa"/>
            <w:vAlign w:val="bottom"/>
            <w:gridSpan w:val="17"/>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17"/>
                <w:szCs w:val="17"/>
                <w:color w:val="auto"/>
              </w:rPr>
            </w:pPr>
          </w:p>
        </w:tc>
        <w:tc>
          <w:tcPr>
            <w:tcW w:w="522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Office Lease, between the Registrant and Fabric 2676 State Street, LLC,</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a California limited liability company, dated March 2, 2022</w:t>
              </w:r>
            </w:hyperlink>
          </w:p>
        </w:tc>
        <w:tc>
          <w:tcPr>
            <w:tcW w:w="920" w:type="dxa"/>
            <w:vAlign w:val="bottom"/>
            <w:gridSpan w:val="17"/>
          </w:tcPr>
          <w:p>
            <w:pPr>
              <w:spacing w:after="0"/>
              <w:rPr>
                <w:sz w:val="17"/>
                <w:szCs w:val="17"/>
                <w:color w:val="auto"/>
              </w:rPr>
            </w:pPr>
          </w:p>
        </w:tc>
      </w:tr>
      <w:tr>
        <w:trPr>
          <w:trHeight w:val="669"/>
        </w:trPr>
        <w:tc>
          <w:tcPr>
            <w:tcW w:w="1160" w:type="dxa"/>
            <w:vAlign w:val="bottom"/>
          </w:tcPr>
          <w:p>
            <w:pPr>
              <w:spacing w:after="0"/>
              <w:rPr>
                <w:sz w:val="24"/>
                <w:szCs w:val="24"/>
                <w:color w:val="auto"/>
              </w:rPr>
            </w:pPr>
          </w:p>
        </w:tc>
        <w:tc>
          <w:tcPr>
            <w:tcW w:w="4660" w:type="dxa"/>
            <w:vAlign w:val="bottom"/>
            <w:gridSpan w:val="21"/>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09"/>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18"/>
                <w:szCs w:val="18"/>
                <w:color w:val="auto"/>
              </w:rPr>
            </w:pPr>
          </w:p>
        </w:tc>
        <w:tc>
          <w:tcPr>
            <w:tcW w:w="11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18"/>
                <w:szCs w:val="18"/>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1"/>
        </w:trPr>
        <w:tc>
          <w:tcPr>
            <w:tcW w:w="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3/22/23</w:t>
            </w: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5/31/24</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10/26/23</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9/9/21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3/3/22</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2/5/24</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10/18/24</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9/9/21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9/9/21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8/14/2025</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3/22/23</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3/22/23</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11/7/2024</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3/3/22</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3/22/23</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3/3/22</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2">
            <w:col w:w="6500" w:space="100"/>
            <w:col w:w="4640"/>
          </w:cols>
          <w:pgMar w:left="320" w:top="1413" w:right="339" w:bottom="1440" w:gutter="0" w:footer="0" w:header="0"/>
        </w:sectPr>
      </w:pPr>
    </w:p>
    <w:bookmarkStart w:id="139" w:name="page140"/>
    <w:bookmarkEnd w:id="139"/>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10.15</w:t>
            </w:r>
          </w:p>
        </w:tc>
        <w:tc>
          <w:tcPr>
            <w:tcW w:w="49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First Amendment to Lease, between the Registrant and Fabric 2676</w:t>
              </w:r>
            </w:hyperlink>
          </w:p>
        </w:tc>
        <w:tc>
          <w:tcPr>
            <w:tcW w:w="260" w:type="dxa"/>
            <w:vAlign w:val="bottom"/>
            <w:gridSpan w:val="6"/>
          </w:tcPr>
          <w:p>
            <w:pPr>
              <w:spacing w:after="0"/>
              <w:rPr>
                <w:sz w:val="17"/>
                <w:szCs w:val="17"/>
                <w:color w:val="auto"/>
              </w:rPr>
            </w:pPr>
          </w:p>
        </w:tc>
        <w:tc>
          <w:tcPr>
            <w:tcW w:w="1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3/22/23</w:t>
            </w:r>
          </w:p>
        </w:tc>
        <w:tc>
          <w:tcPr>
            <w:tcW w:w="18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10.21</w:t>
            </w:r>
          </w:p>
        </w:tc>
      </w:tr>
      <w:tr>
        <w:trPr>
          <w:trHeight w:val="196"/>
        </w:trPr>
        <w:tc>
          <w:tcPr>
            <w:tcW w:w="1000" w:type="dxa"/>
            <w:vAlign w:val="bottom"/>
          </w:tcPr>
          <w:p>
            <w:pPr>
              <w:spacing w:after="0"/>
              <w:rPr>
                <w:sz w:val="17"/>
                <w:szCs w:val="17"/>
                <w:color w:val="auto"/>
              </w:rPr>
            </w:pPr>
          </w:p>
        </w:tc>
        <w:tc>
          <w:tcPr>
            <w:tcW w:w="5160" w:type="dxa"/>
            <w:vAlign w:val="bottom"/>
            <w:gridSpan w:val="19"/>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State, LLC, a California limited liability company, dated May 16, 2022</w:t>
              </w:r>
            </w:hyperlink>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jc w:val="center"/>
              <w:ind w:right="310"/>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512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Second Amendment to Lease, between the Registrant and Fabric 2676</w:t>
              </w:r>
            </w:hyperlink>
          </w:p>
        </w:tc>
        <w:tc>
          <w:tcPr>
            <w:tcW w:w="40" w:type="dxa"/>
            <w:vAlign w:val="bottom"/>
          </w:tcPr>
          <w:p>
            <w:pPr>
              <w:spacing w:after="0"/>
              <w:rPr>
                <w:sz w:val="17"/>
                <w:szCs w:val="17"/>
                <w:color w:val="auto"/>
              </w:rPr>
            </w:pPr>
          </w:p>
        </w:tc>
        <w:tc>
          <w:tcPr>
            <w:tcW w:w="11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3/22/23</w:t>
            </w:r>
          </w:p>
        </w:tc>
        <w:tc>
          <w:tcPr>
            <w:tcW w:w="184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rPr>
              <w:t>10.22</w:t>
            </w:r>
          </w:p>
        </w:tc>
      </w:tr>
      <w:tr>
        <w:trPr>
          <w:trHeight w:val="196"/>
        </w:trPr>
        <w:tc>
          <w:tcPr>
            <w:tcW w:w="1000" w:type="dxa"/>
            <w:vAlign w:val="bottom"/>
          </w:tcPr>
          <w:p>
            <w:pPr>
              <w:spacing w:after="0"/>
              <w:rPr>
                <w:sz w:val="17"/>
                <w:szCs w:val="17"/>
                <w:color w:val="auto"/>
              </w:rPr>
            </w:pPr>
          </w:p>
        </w:tc>
        <w:tc>
          <w:tcPr>
            <w:tcW w:w="5160" w:type="dxa"/>
            <w:vAlign w:val="bottom"/>
            <w:gridSpan w:val="19"/>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State, LLC, a California limited liability company, dated January 6,</w:t>
              </w:r>
            </w:hyperlink>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348">
              <w:r>
                <w:rPr>
                  <w:rFonts w:ascii="Times New Roman" w:cs="Times New Roman" w:eastAsia="Times New Roman" w:hAnsi="Times New Roman"/>
                  <w:sz w:val="18"/>
                  <w:szCs w:val="18"/>
                  <w:color w:val="0000FF"/>
                  <w:w w:val="94"/>
                </w:rPr>
                <w:t>2023</w:t>
              </w:r>
            </w:hyperlink>
          </w:p>
        </w:tc>
        <w:tc>
          <w:tcPr>
            <w:tcW w:w="10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jc w:val="center"/>
              <w:ind w:right="310"/>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50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Third Amendment to Lease, between the Registrant and Fabric 2676</w:t>
              </w:r>
            </w:hyperlink>
          </w:p>
        </w:tc>
        <w:tc>
          <w:tcPr>
            <w:tcW w:w="160" w:type="dxa"/>
            <w:vAlign w:val="bottom"/>
            <w:gridSpan w:val="4"/>
          </w:tcPr>
          <w:p>
            <w:pPr>
              <w:spacing w:after="0"/>
              <w:rPr>
                <w:sz w:val="17"/>
                <w:szCs w:val="17"/>
                <w:color w:val="auto"/>
              </w:rPr>
            </w:pPr>
          </w:p>
        </w:tc>
        <w:tc>
          <w:tcPr>
            <w:tcW w:w="11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3/19/2024</w:t>
            </w:r>
          </w:p>
        </w:tc>
        <w:tc>
          <w:tcPr>
            <w:tcW w:w="184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rPr>
              <w:t>10.23</w:t>
            </w:r>
          </w:p>
        </w:tc>
      </w:tr>
      <w:tr>
        <w:trPr>
          <w:trHeight w:val="196"/>
        </w:trPr>
        <w:tc>
          <w:tcPr>
            <w:tcW w:w="1000" w:type="dxa"/>
            <w:vAlign w:val="bottom"/>
          </w:tcPr>
          <w:p>
            <w:pPr>
              <w:spacing w:after="0"/>
              <w:rPr>
                <w:sz w:val="17"/>
                <w:szCs w:val="17"/>
                <w:color w:val="auto"/>
              </w:rPr>
            </w:pPr>
          </w:p>
        </w:tc>
        <w:tc>
          <w:tcPr>
            <w:tcW w:w="5160" w:type="dxa"/>
            <w:vAlign w:val="bottom"/>
            <w:gridSpan w:val="19"/>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State, LLC, a California limited liability company, dated March 18,</w:t>
              </w:r>
            </w:hyperlink>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349">
              <w:r>
                <w:rPr>
                  <w:rFonts w:ascii="Times New Roman" w:cs="Times New Roman" w:eastAsia="Times New Roman" w:hAnsi="Times New Roman"/>
                  <w:sz w:val="18"/>
                  <w:szCs w:val="18"/>
                  <w:color w:val="0000FF"/>
                  <w:w w:val="94"/>
                </w:rPr>
                <w:t>2024</w:t>
              </w:r>
            </w:hyperlink>
          </w:p>
        </w:tc>
        <w:tc>
          <w:tcPr>
            <w:tcW w:w="10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jc w:val="center"/>
              <w:ind w:right="310"/>
              <w:spacing w:after="0" w:line="196" w:lineRule="exact"/>
              <w:rPr>
                <w:sz w:val="20"/>
                <w:szCs w:val="20"/>
                <w:color w:val="auto"/>
              </w:rPr>
            </w:pPr>
            <w:r>
              <w:rPr>
                <w:rFonts w:ascii="Times New Roman" w:cs="Times New Roman" w:eastAsia="Times New Roman" w:hAnsi="Times New Roman"/>
                <w:sz w:val="18"/>
                <w:szCs w:val="18"/>
                <w:color w:val="auto"/>
                <w:w w:val="98"/>
              </w:rPr>
              <w:t>10.18</w:t>
            </w:r>
          </w:p>
        </w:tc>
        <w:tc>
          <w:tcPr>
            <w:tcW w:w="49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Sales Agreement, dated May 8, 2025, by and between the Registrant</w:t>
              </w:r>
            </w:hyperlink>
          </w:p>
        </w:tc>
        <w:tc>
          <w:tcPr>
            <w:tcW w:w="180" w:type="dxa"/>
            <w:vAlign w:val="bottom"/>
            <w:gridSpan w:val="5"/>
          </w:tcPr>
          <w:p>
            <w:pPr>
              <w:spacing w:after="0"/>
              <w:rPr>
                <w:sz w:val="17"/>
                <w:szCs w:val="17"/>
                <w:color w:val="auto"/>
              </w:rPr>
            </w:pPr>
          </w:p>
        </w:tc>
        <w:tc>
          <w:tcPr>
            <w:tcW w:w="11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5"/>
              </w:rPr>
              <w:t>S-3</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5/8/25</w:t>
            </w:r>
          </w:p>
        </w:tc>
        <w:tc>
          <w:tcPr>
            <w:tcW w:w="184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w w:val="97"/>
              </w:rPr>
              <w:t>1.2</w:t>
            </w:r>
          </w:p>
        </w:tc>
      </w:tr>
      <w:tr>
        <w:trPr>
          <w:trHeight w:val="196"/>
        </w:trPr>
        <w:tc>
          <w:tcPr>
            <w:tcW w:w="1000" w:type="dxa"/>
            <w:vAlign w:val="bottom"/>
          </w:tcPr>
          <w:p>
            <w:pPr>
              <w:spacing w:after="0"/>
              <w:rPr>
                <w:sz w:val="17"/>
                <w:szCs w:val="17"/>
                <w:color w:val="auto"/>
              </w:rPr>
            </w:pPr>
          </w:p>
        </w:tc>
        <w:tc>
          <w:tcPr>
            <w:tcW w:w="5160" w:type="dxa"/>
            <w:vAlign w:val="bottom"/>
            <w:gridSpan w:val="19"/>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and TD Securities (USA) LLC</w:t>
              </w:r>
            </w:hyperlink>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00" w:type="dxa"/>
            <w:vAlign w:val="bottom"/>
          </w:tcPr>
          <w:p>
            <w:pPr>
              <w:jc w:val="center"/>
              <w:ind w:right="310"/>
              <w:spacing w:after="0" w:line="196" w:lineRule="exact"/>
              <w:rPr>
                <w:sz w:val="20"/>
                <w:szCs w:val="20"/>
                <w:color w:val="auto"/>
              </w:rPr>
            </w:pPr>
            <w:r>
              <w:rPr>
                <w:rFonts w:ascii="Times New Roman" w:cs="Times New Roman" w:eastAsia="Times New Roman" w:hAnsi="Times New Roman"/>
                <w:sz w:val="18"/>
                <w:szCs w:val="18"/>
                <w:color w:val="auto"/>
                <w:w w:val="96"/>
              </w:rPr>
              <w:t>10.19#</w:t>
            </w:r>
          </w:p>
        </w:tc>
        <w:tc>
          <w:tcPr>
            <w:tcW w:w="462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 dated December 1, 2025, between the</w:t>
            </w:r>
          </w:p>
        </w:tc>
        <w:tc>
          <w:tcPr>
            <w:tcW w:w="540" w:type="dxa"/>
            <w:vAlign w:val="bottom"/>
            <w:gridSpan w:val="7"/>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00" w:type="dxa"/>
            <w:vAlign w:val="bottom"/>
          </w:tcPr>
          <w:p>
            <w:pPr>
              <w:spacing w:after="0"/>
              <w:rPr>
                <w:sz w:val="17"/>
                <w:szCs w:val="17"/>
                <w:color w:val="auto"/>
              </w:rPr>
            </w:pPr>
          </w:p>
        </w:tc>
        <w:tc>
          <w:tcPr>
            <w:tcW w:w="5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Registrant and Bhavesh Ashar</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00" w:type="dxa"/>
            <w:vAlign w:val="bottom"/>
          </w:tcPr>
          <w:p>
            <w:pPr>
              <w:jc w:val="center"/>
              <w:ind w:right="31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36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Insider Trading Compliance Policy and Procedures</w:t>
              </w:r>
            </w:hyperlink>
          </w:p>
        </w:tc>
        <w:tc>
          <w:tcPr>
            <w:tcW w:w="20" w:type="dxa"/>
            <w:vAlign w:val="bottom"/>
            <w:tcBorders>
              <w:bottom w:val="single" w:sz="8" w:color="0000EE"/>
            </w:tcBorders>
          </w:tcPr>
          <w:p>
            <w:pPr>
              <w:spacing w:after="0"/>
              <w:rPr>
                <w:sz w:val="17"/>
                <w:szCs w:val="17"/>
                <w:color w:val="auto"/>
              </w:rPr>
            </w:pPr>
          </w:p>
        </w:tc>
        <w:tc>
          <w:tcPr>
            <w:tcW w:w="1460" w:type="dxa"/>
            <w:vAlign w:val="bottom"/>
            <w:gridSpan w:val="11"/>
          </w:tcPr>
          <w:p>
            <w:pPr>
              <w:spacing w:after="0"/>
              <w:rPr>
                <w:sz w:val="17"/>
                <w:szCs w:val="17"/>
                <w:color w:val="auto"/>
              </w:rPr>
            </w:pPr>
          </w:p>
        </w:tc>
        <w:tc>
          <w:tcPr>
            <w:tcW w:w="11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3/27/25</w:t>
            </w:r>
          </w:p>
        </w:tc>
        <w:tc>
          <w:tcPr>
            <w:tcW w:w="184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w w:val="95"/>
              </w:rPr>
              <w:t>19.1</w:t>
            </w:r>
          </w:p>
        </w:tc>
      </w:tr>
      <w:tr>
        <w:trPr>
          <w:trHeight w:val="196"/>
        </w:trPr>
        <w:tc>
          <w:tcPr>
            <w:tcW w:w="1000" w:type="dxa"/>
            <w:vAlign w:val="bottom"/>
          </w:tcPr>
          <w:p>
            <w:pPr>
              <w:jc w:val="center"/>
              <w:ind w:right="31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20" w:type="dxa"/>
            <w:vAlign w:val="bottom"/>
            <w:tcBorders>
              <w:bottom w:val="single" w:sz="8" w:color="0000EE"/>
            </w:tcBorders>
          </w:tcPr>
          <w:p>
            <w:pPr>
              <w:spacing w:after="0"/>
              <w:rPr>
                <w:sz w:val="17"/>
                <w:szCs w:val="17"/>
                <w:color w:val="auto"/>
              </w:rPr>
            </w:pPr>
          </w:p>
        </w:tc>
        <w:tc>
          <w:tcPr>
            <w:tcW w:w="820" w:type="dxa"/>
            <w:vAlign w:val="bottom"/>
            <w:gridSpan w:val="9"/>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00" w:type="dxa"/>
            <w:vAlign w:val="bottom"/>
          </w:tcPr>
          <w:p>
            <w:pPr>
              <w:jc w:val="center"/>
              <w:ind w:right="31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1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as required by Rule 13a-14(a)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00" w:type="dxa"/>
            <w:vAlign w:val="bottom"/>
          </w:tcPr>
          <w:p>
            <w:pPr>
              <w:spacing w:after="0"/>
              <w:rPr>
                <w:sz w:val="17"/>
                <w:szCs w:val="17"/>
                <w:color w:val="auto"/>
              </w:rPr>
            </w:pPr>
          </w:p>
        </w:tc>
        <w:tc>
          <w:tcPr>
            <w:tcW w:w="5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or Rule 15d-14(a), as adopted pursuant to Section 302 of the Sarbanes-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10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00" w:type="dxa"/>
            <w:vAlign w:val="bottom"/>
          </w:tcPr>
          <w:p>
            <w:pPr>
              <w:jc w:val="center"/>
              <w:ind w:right="31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12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as required by Rule 13a-14(a)</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00" w:type="dxa"/>
            <w:vAlign w:val="bottom"/>
          </w:tcPr>
          <w:p>
            <w:pPr>
              <w:spacing w:after="0"/>
              <w:rPr>
                <w:sz w:val="17"/>
                <w:szCs w:val="17"/>
                <w:color w:val="auto"/>
              </w:rPr>
            </w:pPr>
          </w:p>
        </w:tc>
        <w:tc>
          <w:tcPr>
            <w:tcW w:w="5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or Rule 15d-14(a), as adopted pursuant to Section 302 of the Sarbanes-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380" w:type="dxa"/>
            <w:vAlign w:val="bottom"/>
            <w:tcBorders>
              <w:top w:val="single" w:sz="8" w:color="0000FF"/>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720" w:type="dxa"/>
            <w:vAlign w:val="bottom"/>
            <w:tcBorders>
              <w:top w:val="single" w:sz="8" w:color="0000FF"/>
            </w:tcBorders>
            <w:gridSpan w:val="14"/>
          </w:tcPr>
          <w:p>
            <w:pPr>
              <w:spacing w:after="0"/>
              <w:rPr>
                <w:sz w:val="17"/>
                <w:szCs w:val="17"/>
                <w:color w:val="auto"/>
              </w:rPr>
            </w:pPr>
          </w:p>
        </w:tc>
        <w:tc>
          <w:tcPr>
            <w:tcW w:w="6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jc w:val="center"/>
              <w:ind w:right="310"/>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512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00" w:type="dxa"/>
            <w:vAlign w:val="bottom"/>
          </w:tcPr>
          <w:p>
            <w:pPr>
              <w:spacing w:after="0"/>
              <w:rPr>
                <w:sz w:val="17"/>
                <w:szCs w:val="17"/>
                <w:color w:val="auto"/>
              </w:rPr>
            </w:pPr>
          </w:p>
        </w:tc>
        <w:tc>
          <w:tcPr>
            <w:tcW w:w="20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7"/>
                <w:szCs w:val="17"/>
                <w:color w:val="auto"/>
              </w:rPr>
            </w:pPr>
          </w:p>
        </w:tc>
        <w:tc>
          <w:tcPr>
            <w:tcW w:w="3080" w:type="dxa"/>
            <w:vAlign w:val="bottom"/>
            <w:gridSpan w:val="14"/>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jc w:val="center"/>
              <w:ind w:right="310"/>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50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w:t>
            </w:r>
          </w:p>
        </w:tc>
        <w:tc>
          <w:tcPr>
            <w:tcW w:w="8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00" w:type="dxa"/>
            <w:vAlign w:val="bottom"/>
          </w:tcPr>
          <w:p>
            <w:pPr>
              <w:spacing w:after="0"/>
              <w:rPr>
                <w:sz w:val="17"/>
                <w:szCs w:val="17"/>
                <w:color w:val="auto"/>
              </w:rPr>
            </w:pPr>
          </w:p>
        </w:tc>
        <w:tc>
          <w:tcPr>
            <w:tcW w:w="20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7"/>
                <w:szCs w:val="17"/>
                <w:color w:val="auto"/>
              </w:rPr>
            </w:pPr>
          </w:p>
        </w:tc>
        <w:tc>
          <w:tcPr>
            <w:tcW w:w="3080" w:type="dxa"/>
            <w:vAlign w:val="bottom"/>
            <w:gridSpan w:val="14"/>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jc w:val="center"/>
              <w:ind w:right="31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44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Policy for Recovery of Erroneously Awarded Compensation</w:t>
              </w:r>
            </w:hyperlink>
          </w:p>
        </w:tc>
        <w:tc>
          <w:tcPr>
            <w:tcW w:w="760" w:type="dxa"/>
            <w:vAlign w:val="bottom"/>
            <w:gridSpan w:val="8"/>
          </w:tcPr>
          <w:p>
            <w:pPr>
              <w:spacing w:after="0"/>
              <w:rPr>
                <w:sz w:val="17"/>
                <w:szCs w:val="17"/>
                <w:color w:val="auto"/>
              </w:rPr>
            </w:pPr>
          </w:p>
        </w:tc>
        <w:tc>
          <w:tcPr>
            <w:tcW w:w="11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3/19/2024</w:t>
            </w:r>
          </w:p>
        </w:tc>
        <w:tc>
          <w:tcPr>
            <w:tcW w:w="184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w w:val="95"/>
              </w:rPr>
              <w:t>97.1</w:t>
            </w:r>
          </w:p>
        </w:tc>
      </w:tr>
      <w:tr>
        <w:trPr>
          <w:trHeight w:val="2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00" w:type="dxa"/>
            <w:vAlign w:val="bottom"/>
          </w:tcPr>
          <w:p>
            <w:pPr>
              <w:spacing w:after="0"/>
              <w:rPr>
                <w:sz w:val="18"/>
                <w:szCs w:val="18"/>
                <w:color w:val="auto"/>
              </w:rPr>
            </w:pPr>
          </w:p>
        </w:tc>
        <w:tc>
          <w:tcPr>
            <w:tcW w:w="5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 embedded</w:t>
            </w: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00" w:type="dxa"/>
            <w:vAlign w:val="bottom"/>
          </w:tcPr>
          <w:p>
            <w:pPr>
              <w:spacing w:after="0"/>
              <w:rPr>
                <w:sz w:val="18"/>
                <w:szCs w:val="18"/>
                <w:color w:val="auto"/>
              </w:rPr>
            </w:pPr>
          </w:p>
        </w:tc>
        <w:tc>
          <w:tcPr>
            <w:tcW w:w="5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Documents</w:t>
            </w: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0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104</w:t>
            </w:r>
          </w:p>
        </w:tc>
        <w:tc>
          <w:tcPr>
            <w:tcW w:w="5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00" w:type="dxa"/>
            <w:vAlign w:val="bottom"/>
          </w:tcPr>
          <w:p>
            <w:pPr>
              <w:spacing w:after="0"/>
              <w:rPr>
                <w:sz w:val="20"/>
                <w:szCs w:val="20"/>
                <w:color w:val="auto"/>
              </w:rPr>
            </w:pPr>
          </w:p>
        </w:tc>
        <w:tc>
          <w:tcPr>
            <w:tcW w:w="5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Document)</w:t>
            </w:r>
          </w:p>
        </w:tc>
        <w:tc>
          <w:tcPr>
            <w:tcW w:w="1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7" w:lineRule="exact"/>
        <w:rPr>
          <w:sz w:val="20"/>
          <w:szCs w:val="20"/>
          <w:color w:val="auto"/>
        </w:rPr>
      </w:pPr>
    </w:p>
    <w:p>
      <w:pPr>
        <w:ind w:right="160" w:firstLine="8"/>
        <w:spacing w:after="0" w:line="250" w:lineRule="auto"/>
        <w:tabs>
          <w:tab w:leader="none" w:pos="1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and annexes have been omitted in accordance with Item 601(a)(5) of Regulation S-K. A copy of any omitted schedule and/or annex will be furnished as a supplement to the U.S. Securities and Exchange Commission upon request.</w:t>
      </w:r>
    </w:p>
    <w:p>
      <w:pPr>
        <w:spacing w:after="0" w:line="3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04" w:right="5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25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Todd Harris, Ph.D.</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22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413" w:right="339" w:bottom="1440" w:gutter="0" w:footer="0" w:header="0"/>
        </w:sectPr>
      </w:pPr>
    </w:p>
    <w:p>
      <w:pPr>
        <w:spacing w:after="0" w:line="1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571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6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Todd Harris, Ph.D.</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Alan Fuhrman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Alan Fuhrman</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Adele M. Gulfo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Adele M. Gulfo</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Gilla Kaplan,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Gilla Kaplan, Ph.D.</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Melissa McCracken,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Melissa McCracken, Ph.D.</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Susan Moran, M.D., M.S.C.E.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Susan Moran, M.D., M.S.C.E.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8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 2026</w:t>
            </w:r>
          </w:p>
        </w:tc>
      </w:tr>
      <w:tr>
        <w:trPr>
          <w:trHeight w:val="18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27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3"/>
                <w:szCs w:val="23"/>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 2026</w:t>
            </w:r>
          </w:p>
        </w:tc>
      </w:tr>
      <w:tr>
        <w:trPr>
          <w:trHeight w:val="18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29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 2026</w:t>
            </w:r>
          </w:p>
        </w:tc>
      </w:tr>
      <w:tr>
        <w:trPr>
          <w:trHeight w:val="459"/>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 2026</w:t>
            </w:r>
          </w:p>
        </w:tc>
      </w:tr>
      <w:tr>
        <w:trPr>
          <w:trHeight w:val="459"/>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 2026</w:t>
            </w:r>
          </w:p>
        </w:tc>
      </w:tr>
      <w:tr>
        <w:trPr>
          <w:trHeight w:val="459"/>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 2026</w:t>
            </w:r>
          </w:p>
        </w:tc>
      </w:tr>
    </w:tbl>
    <w:p>
      <w:pPr>
        <w:spacing w:after="0" w:line="211" w:lineRule="exact"/>
        <w:rPr>
          <w:sz w:val="20"/>
          <w:szCs w:val="20"/>
          <w:color w:val="auto"/>
        </w:rPr>
      </w:pPr>
    </w:p>
    <w:p>
      <w:pPr>
        <w:sectPr>
          <w:pgSz w:w="11900" w:h="16838" w:orient="portrait"/>
          <w:cols w:equalWidth="0" w:num="2">
            <w:col w:w="3120" w:space="720"/>
            <w:col w:w="740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More</w:t>
            </w: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322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Robert More</w:t>
            </w:r>
          </w:p>
        </w:tc>
        <w:tc>
          <w:tcPr>
            <w:tcW w:w="2920" w:type="dxa"/>
            <w:vAlign w:val="bottom"/>
          </w:tcPr>
          <w:p>
            <w:pPr>
              <w:spacing w:after="0"/>
              <w:rPr>
                <w:sz w:val="15"/>
                <w:szCs w:val="15"/>
                <w:color w:val="auto"/>
              </w:rPr>
            </w:pPr>
          </w:p>
        </w:tc>
        <w:tc>
          <w:tcPr>
            <w:tcW w:w="322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 Michael Rothenberg, M.D., Ph.D.</w:t>
            </w: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322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 Michael Rothenberg, M.D., Ph.D.</w:t>
            </w:r>
          </w:p>
        </w:tc>
        <w:tc>
          <w:tcPr>
            <w:tcW w:w="2920" w:type="dxa"/>
            <w:vAlign w:val="bottom"/>
          </w:tcPr>
          <w:p>
            <w:pPr>
              <w:spacing w:after="0"/>
              <w:rPr>
                <w:sz w:val="15"/>
                <w:szCs w:val="15"/>
                <w:color w:val="auto"/>
              </w:rPr>
            </w:pPr>
          </w:p>
        </w:tc>
        <w:tc>
          <w:tcPr>
            <w:tcW w:w="322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Jake Simson, Ph.D</w:t>
            </w: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322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Jake Simson, Ph.D.</w:t>
            </w:r>
          </w:p>
        </w:tc>
        <w:tc>
          <w:tcPr>
            <w:tcW w:w="2920" w:type="dxa"/>
            <w:vAlign w:val="bottom"/>
          </w:tcPr>
          <w:p>
            <w:pPr>
              <w:spacing w:after="0"/>
              <w:rPr>
                <w:sz w:val="15"/>
                <w:szCs w:val="15"/>
                <w:color w:val="auto"/>
              </w:rPr>
            </w:pPr>
          </w:p>
        </w:tc>
        <w:tc>
          <w:tcPr>
            <w:tcW w:w="322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Rehan Verjee</w:t>
            </w: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322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6"/>
              </w:rPr>
              <w:t>March 2,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Rehan Verjee</w:t>
            </w:r>
          </w:p>
        </w:tc>
        <w:tc>
          <w:tcPr>
            <w:tcW w:w="2920" w:type="dxa"/>
            <w:vAlign w:val="bottom"/>
          </w:tcPr>
          <w:p>
            <w:pPr>
              <w:spacing w:after="0"/>
              <w:rPr>
                <w:sz w:val="15"/>
                <w:szCs w:val="15"/>
                <w:color w:val="auto"/>
              </w:rPr>
            </w:pPr>
          </w:p>
        </w:tc>
        <w:tc>
          <w:tcPr>
            <w:tcW w:w="32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TYRA BIOSCIENCES,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Employment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effective as of December 1,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Tyra Biosciences,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Bhavesh Ashar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Capitalized terms used herein and not otherwise defined shall have those meanings set forth in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 xml:space="preserve"> hereto.</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retain the services of Executive by engaging Executive to perform services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of the Company under the terms hereof; and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 desires to provide services to the Company on the terms hereof.</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for other good and valuable consideration, including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covenants and agreements set forth below, the receipt and sufficiency of which are hereby acknowledged, the Parties hereto agree as follows:</w:t>
      </w:r>
    </w:p>
    <w:p>
      <w:pPr>
        <w:spacing w:after="0" w:line="167" w:lineRule="exact"/>
        <w:rPr>
          <w:sz w:val="20"/>
          <w:szCs w:val="20"/>
          <w:color w:val="auto"/>
        </w:rPr>
      </w:pPr>
    </w:p>
    <w:p>
      <w:pPr>
        <w:ind w:left="1020" w:hanging="263"/>
        <w:spacing w:after="0"/>
        <w:tabs>
          <w:tab w:leader="none" w:pos="102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Company shall employ Executive upon the terms and conditions provided herein effective as of the Effective Date.</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Executive shall serve as the Chief Operating Officer of the Company, with responsibilities, duties, and authority usual and customary for such position subject to direction by the Chief Executive Officer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During Executive’s employment with the Company, Executive shall report directly to the CEO and agrees promptly and faithfully to comply with all present and future policies, requirements, rules and regulations, and reasonable directions and requests, of the Company in connection with the Company’s business. Executive will at all times perform all of the duties and obligations required by Executive under this Agreement in a loyal and conscientious manner and to the best of Executive’s ability and experience.</w:t>
      </w:r>
    </w:p>
    <w:p>
      <w:pPr>
        <w:spacing w:after="0" w:line="183"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Performance of Executive’s Duties</w:t>
      </w:r>
      <w:r>
        <w:rPr>
          <w:rFonts w:ascii="Times New Roman" w:cs="Times New Roman" w:eastAsia="Times New Roman" w:hAnsi="Times New Roman"/>
          <w:sz w:val="22"/>
          <w:szCs w:val="22"/>
          <w:color w:val="auto"/>
        </w:rPr>
        <w:t>. During Executive’s employment with the Company, and except for periods of illness, vacation, disability, or excused leaves of absence, Executive shall devote Executive’s full time and attention to the business and affairs of the Company pursuant to the general direction of the CEO; provided that nothing herein shall preclude Executive from, subject to prior consent of the CEO: (i) engaging in additional activities in connection with personal investments and community affairs including service on non-profit boards of directors, (ii) serving as a member of the board of directors of for-profit organizations that are not competitors of the Company, and (iii) serving as an advisor, or as a member of an advisory board of organizations that are not competitors of the Company; provided, that such activities do not individually or in the aggregate interfere with the performance of Executive’s duties under this Agreement, violate the Company’s standards of conduct then in effect or raise a conflict under the Company’s conflict of interest policies. Executive’s primary work location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jc w:val="both"/>
        <w:spacing w:after="0" w:line="239" w:lineRule="auto"/>
        <w:rPr>
          <w:sz w:val="20"/>
          <w:szCs w:val="20"/>
          <w:color w:val="auto"/>
        </w:rPr>
      </w:pPr>
      <w:r>
        <w:rPr>
          <w:rFonts w:ascii="Times New Roman" w:cs="Times New Roman" w:eastAsia="Times New Roman" w:hAnsi="Times New Roman"/>
          <w:sz w:val="22"/>
          <w:szCs w:val="22"/>
          <w:color w:val="auto"/>
        </w:rPr>
        <w:t>be his home office in Chatham, New Jersey, subject to such travel as reasonably required in connection with Executive’s duties whenever deemed necessary or requested by the Company from time to time. The Company reserves the right to reasonably require Executive to perform his duties at places other than his primary work location from time to time, and to require reasonable business travel with reimbursement in a manner consistent with the Company’s travel reimbursement policies.</w:t>
      </w:r>
    </w:p>
    <w:p>
      <w:pPr>
        <w:spacing w:after="0" w:line="176" w:lineRule="exact"/>
        <w:rPr>
          <w:sz w:val="20"/>
          <w:szCs w:val="20"/>
          <w:color w:val="auto"/>
        </w:rPr>
      </w:pPr>
    </w:p>
    <w:p>
      <w:pPr>
        <w:jc w:val="both"/>
        <w:ind w:firstLine="757"/>
        <w:spacing w:after="0" w:line="246" w:lineRule="auto"/>
        <w:tabs>
          <w:tab w:leader="none" w:pos="1018"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The period of Executive’s employment under this Agreement shall commence on the Effective Date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until Executive’s employment with the Company is terminated. The phrase “</w:t>
      </w:r>
      <w:r>
        <w:rPr>
          <w:rFonts w:ascii="Times New Roman" w:cs="Times New Roman" w:eastAsia="Times New Roman" w:hAnsi="Times New Roman"/>
          <w:sz w:val="22"/>
          <w:szCs w:val="22"/>
          <w:u w:val="single" w:color="auto"/>
          <w:color w:val="auto"/>
        </w:rPr>
        <w:t>Term of Employment</w:t>
      </w:r>
      <w:r>
        <w:rPr>
          <w:rFonts w:ascii="Times New Roman" w:cs="Times New Roman" w:eastAsia="Times New Roman" w:hAnsi="Times New Roman"/>
          <w:sz w:val="22"/>
          <w:szCs w:val="22"/>
          <w:color w:val="auto"/>
        </w:rPr>
        <w:t>” as used in this Agreement shall refer to the entire period of employment of Executive by the Company.</w:t>
      </w:r>
    </w:p>
    <w:p>
      <w:pPr>
        <w:spacing w:after="0" w:line="167"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and Related Matters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Executive shall receive a base salary at the rate of $550,000 per annum (as may be increased from time to time,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subject to withholdings and deductions, which shall be paid to Executive in accordance with the customary payroll practices and procedures of the Company. Commencing in 2027, such Annual Base Salary shall be reviewed by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its designated committee, not less than annually, and may be increased, but not decreased, in connection with any such review.</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xml:space="preserve">. Commencing with the 2026 calendar year, </w:t>
      </w:r>
      <w:r>
        <w:rPr>
          <w:rFonts w:ascii="Times New Roman" w:cs="Times New Roman" w:eastAsia="Times New Roman" w:hAnsi="Times New Roman"/>
          <w:sz w:val="22"/>
          <w:szCs w:val="22"/>
          <w:color w:val="231F20"/>
        </w:rPr>
        <w:t>Executive shall be eligible to receive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discretionary annual bonus (the “</w:t>
      </w:r>
      <w:r>
        <w:rPr>
          <w:rFonts w:ascii="Times New Roman" w:cs="Times New Roman" w:eastAsia="Times New Roman" w:hAnsi="Times New Roman"/>
          <w:sz w:val="22"/>
          <w:szCs w:val="22"/>
          <w:u w:val="single" w:color="auto"/>
          <w:color w:val="231F20"/>
        </w:rPr>
        <w:t>Annual Bonus</w:t>
      </w:r>
      <w:r>
        <w:rPr>
          <w:rFonts w:ascii="Times New Roman" w:cs="Times New Roman" w:eastAsia="Times New Roman" w:hAnsi="Times New Roman"/>
          <w:sz w:val="22"/>
          <w:szCs w:val="22"/>
          <w:color w:val="231F20"/>
        </w:rPr>
        <w:t>”) based on the Company’s and/or Executive’s achievement of performance objectives in accordance with the terms set forth by the Board or its designated committee. Executive’s target Annual Bonus shall be equal to 40% of Executive’s Annual Base Salary (the “</w:t>
      </w:r>
      <w:r>
        <w:rPr>
          <w:rFonts w:ascii="Times New Roman" w:cs="Times New Roman" w:eastAsia="Times New Roman" w:hAnsi="Times New Roman"/>
          <w:sz w:val="22"/>
          <w:szCs w:val="22"/>
          <w:u w:val="single" w:color="auto"/>
          <w:color w:val="231F20"/>
        </w:rPr>
        <w:t>Target Bonus</w:t>
      </w:r>
      <w:r>
        <w:rPr>
          <w:rFonts w:ascii="Times New Roman" w:cs="Times New Roman" w:eastAsia="Times New Roman" w:hAnsi="Times New Roman"/>
          <w:sz w:val="22"/>
          <w:szCs w:val="22"/>
          <w:color w:val="231F20"/>
        </w:rPr>
        <w:t>”). Except as set forth in Section 6, Executive must be employed by the Company on the date of payment of any Annual Bonus to remain eligible to receive such Annual Bonus. Except as otherwise provided in Section 6, any Annual Bonus earned will be paid at the same time annual bonuses are paid to other executives of the Company generally. For the avoidance of doubt, Executive shall not be entitled to an Annual Bonus with respect to the 2025 calendar year.</w:t>
      </w:r>
    </w:p>
    <w:p>
      <w:pPr>
        <w:spacing w:after="0" w:line="178"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Executive shall be entitled to participate in such employee and executive benefit plans and programs as the Company may offer from time to time to provide to its executives, subject to the terms and conditions of such plans. Notwithstanding the foregoing, nothing herein is intended, or shall be construed, to require the Company to institute or continue any, or any particular, plan, or benefits.</w:t>
      </w:r>
    </w:p>
    <w:p>
      <w:pPr>
        <w:spacing w:after="0" w:line="180"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ind w:left="2040" w:hanging="535"/>
        <w:spacing w:after="0"/>
        <w:tabs>
          <w:tab w:leader="none" w:pos="2040"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Vacation; Paid Time Off</w:t>
      </w:r>
      <w:r>
        <w:rPr>
          <w:rFonts w:ascii="Times New Roman" w:cs="Times New Roman" w:eastAsia="Times New Roman" w:hAnsi="Times New Roman"/>
          <w:sz w:val="22"/>
          <w:szCs w:val="22"/>
          <w:color w:val="auto"/>
        </w:rPr>
        <w:t>. Executive will be entitled to vacation or paid time off in accordance with the</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Company’s policy.</w:t>
      </w:r>
    </w:p>
    <w:p>
      <w:pPr>
        <w:spacing w:after="0" w:line="182"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546" w:val="left"/>
        </w:tabs>
        <w:numPr>
          <w:ilvl w:val="2"/>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the approval of the Board or its designee, Executive will be granted an option to purchase 300,000 shares of the Company’s common stock (with the exercise price based on the price of a share of the Company’s common stock on the date of grant) (the “</w:t>
      </w:r>
      <w:r>
        <w:rPr>
          <w:rFonts w:ascii="Times New Roman" w:cs="Times New Roman" w:eastAsia="Times New Roman" w:hAnsi="Times New Roman"/>
          <w:sz w:val="22"/>
          <w:szCs w:val="22"/>
          <w:u w:val="single" w:color="auto"/>
          <w:color w:val="auto"/>
        </w:rPr>
        <w:t>New Hire Option</w:t>
      </w:r>
      <w:r>
        <w:rPr>
          <w:rFonts w:ascii="Times New Roman" w:cs="Times New Roman" w:eastAsia="Times New Roman" w:hAnsi="Times New Roman"/>
          <w:sz w:val="22"/>
          <w:szCs w:val="22"/>
          <w:color w:val="auto"/>
        </w:rPr>
        <w:t>”). The New Hire Option will be granted pursuant to the Company’s 2021 Incentive Award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will be subject to the terms and conditions of the Plan and the stock option agreement issued by the Company evidencing the New Hire Option. Subject to Executive’s continued employment or service with the Company on each vesting date, twenty-five percent of the New Hire Option will vest upon the one-year anniversary of the Effective Date and then ratably over the thirty-six months thereafter.</w:t>
      </w:r>
    </w:p>
    <w:p>
      <w:pPr>
        <w:spacing w:after="0" w:line="183"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2"/>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Executive shall be eligible to receive additional grants of equity awards in the Company’s sole</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discretion.</w:t>
      </w:r>
    </w:p>
    <w:p>
      <w:pPr>
        <w:spacing w:after="0" w:line="182"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Indemnification Agreement; Insurance</w:t>
      </w:r>
      <w:r>
        <w:rPr>
          <w:rFonts w:ascii="Times New Roman" w:cs="Times New Roman" w:eastAsia="Times New Roman" w:hAnsi="Times New Roman"/>
          <w:sz w:val="22"/>
          <w:szCs w:val="22"/>
          <w:color w:val="auto"/>
        </w:rPr>
        <w:t>. As an officer of the Company, Executive shall be entitled to enter into the Company’s standard indemnification agreement. Executive will also be covered under a directors and officers liability insurance policy paid for by the Company for so long as Executive serves as an officer of the Company.</w:t>
      </w:r>
    </w:p>
    <w:p>
      <w:pPr>
        <w:spacing w:after="0" w:line="169" w:lineRule="exact"/>
        <w:rPr>
          <w:rFonts w:ascii="Times New Roman" w:cs="Times New Roman" w:eastAsia="Times New Roman" w:hAnsi="Times New Roman"/>
          <w:sz w:val="22"/>
          <w:szCs w:val="22"/>
          <w:b w:val="1"/>
          <w:bCs w:val="1"/>
          <w:color w:val="auto"/>
        </w:rPr>
      </w:pPr>
    </w:p>
    <w:p>
      <w:pPr>
        <w:jc w:val="both"/>
        <w:ind w:firstLine="757"/>
        <w:spacing w:after="0" w:line="234" w:lineRule="auto"/>
        <w:tabs>
          <w:tab w:leader="none" w:pos="1018"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Acceleration of Equity Awards Upon a Change in Control</w:t>
      </w:r>
      <w:r>
        <w:rPr>
          <w:rFonts w:ascii="Times New Roman" w:cs="Times New Roman" w:eastAsia="Times New Roman" w:hAnsi="Times New Roman"/>
          <w:sz w:val="22"/>
          <w:szCs w:val="22"/>
          <w:color w:val="auto"/>
        </w:rPr>
        <w:t>. Notwithstanding anything herein to the contrary,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event of a Change in Control, the vesting of Executive’s then outstanding options, restricted stock and other equity awards covering shares of the Company’s common stock (collectively, “</w:t>
      </w: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shall accelerate as of immediately prior to such Change in Control with respect to fifty percent of the unvested shares of Company common stock subject to such Equity Awards. The remaining fifty percent of the unvested shares of Company common stock subject to Executive’s Equity Awards shall continue to vest at the same rate as immediately prior to the Change in Control, subject to Executive’s continued employment with the Company or its successor through the applicable vesting date. Any portion of Executive’s Equity Awards that remains unvested as of the first anniversary of the Change in Control shall thereupon vest in full, subject to Executive’s continued employment with the Company or its successor through such first anniversary. Notwithstanding the foregoing and for the avoidance of doubt, any shares subject to Equity Awards that do not accelerate immediately prior to the Change in Control in accordance with the foregoing shall be subject to accelerated vesting in accordance with Section 6(d)(iii) below.</w:t>
      </w:r>
    </w:p>
    <w:p>
      <w:pPr>
        <w:spacing w:after="0" w:line="17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right="20" w:firstLine="1505"/>
        <w:spacing w:after="0" w:line="244" w:lineRule="auto"/>
        <w:tabs>
          <w:tab w:leader="none" w:pos="2036" w:val="left"/>
        </w:tabs>
        <w:numPr>
          <w:ilvl w:val="1"/>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shall continue to be at-will, as defined under applicable law. This means that it is not for any specified period of time and can be terminated by Executive or by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jc w:val="both"/>
        <w:spacing w:after="0" w:line="235" w:lineRule="auto"/>
        <w:rPr>
          <w:sz w:val="20"/>
          <w:szCs w:val="20"/>
          <w:color w:val="auto"/>
        </w:rPr>
      </w:pPr>
      <w:r>
        <w:rPr>
          <w:rFonts w:ascii="Times New Roman" w:cs="Times New Roman" w:eastAsia="Times New Roman" w:hAnsi="Times New Roman"/>
          <w:sz w:val="22"/>
          <w:szCs w:val="22"/>
          <w:color w:val="auto"/>
        </w:rPr>
        <w:t>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an authorized officer of the Company. If Executive’s employment terminates for any lawful reason, Executive shall not be entitled to any payments, benefits, Equity Awards or other compensation other than as provided in this Agreement.</w:t>
      </w:r>
    </w:p>
    <w:p>
      <w:pPr>
        <w:spacing w:after="0" w:line="178" w:lineRule="exact"/>
        <w:rPr>
          <w:sz w:val="20"/>
          <w:szCs w:val="20"/>
          <w:color w:val="auto"/>
        </w:rPr>
      </w:pPr>
    </w:p>
    <w:p>
      <w:pPr>
        <w:jc w:val="both"/>
        <w:ind w:firstLine="1505"/>
        <w:spacing w:after="0" w:line="233" w:lineRule="auto"/>
        <w:tabs>
          <w:tab w:leader="none" w:pos="2036" w:val="left"/>
        </w:tabs>
        <w:numPr>
          <w:ilvl w:val="1"/>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During the Term of Employment, any termination of Executive’s employment by the Company or by Executive (other than by reason of death) shall be communicated by written notice (a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from one Party hereto to the other Party hereto (i) 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the termination of Executive’s employment with the Company (the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The failure by the Company to set forth in the Notice of Termination all of the facts and circumstances which contribute to a showing of Cause shall not waive any right of the Company hereunder or preclude the Company from asserting such fact or circumstance in enforcing its rights hereunder. The failure by Executive to set forth in the Notice of Termination all of the facts and circumstances which contribute to a showing of Good Reason shall not waive any right of Executive hereunder or preclude Executive from asserting such fact or circumstance in enforcing Executive’s rights hereunder.</w:t>
      </w:r>
    </w:p>
    <w:p>
      <w:pPr>
        <w:spacing w:after="0" w:line="187"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1"/>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Deemed Resignation</w:t>
      </w:r>
      <w:r>
        <w:rPr>
          <w:rFonts w:ascii="Times New Roman" w:cs="Times New Roman" w:eastAsia="Times New Roman" w:hAnsi="Times New Roman"/>
          <w:sz w:val="22"/>
          <w:szCs w:val="22"/>
          <w:color w:val="auto"/>
        </w:rPr>
        <w:t>. Upon termination of Executive’s employment with the Company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Consequences of Termination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Payments upon Termination</w:t>
      </w:r>
      <w:r>
        <w:rPr>
          <w:rFonts w:ascii="Times New Roman" w:cs="Times New Roman" w:eastAsia="Times New Roman" w:hAnsi="Times New Roman"/>
          <w:sz w:val="22"/>
          <w:szCs w:val="22"/>
          <w:color w:val="auto"/>
        </w:rPr>
        <w:t xml:space="preserve">. In the event Executive’s employment with the Company terminates pursuant to Section 5, then Executive shall be entitled to the applicable payments and benefits set forth below subject to, </w:t>
      </w:r>
      <w:r>
        <w:rPr>
          <w:rFonts w:ascii="Times New Roman" w:cs="Times New Roman" w:eastAsia="Times New Roman" w:hAnsi="Times New Roman"/>
          <w:sz w:val="22"/>
          <w:szCs w:val="22"/>
          <w:color w:val="231F20"/>
        </w:rPr>
        <w:t>in the case of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 xml:space="preserve">termination described in Section 6(c) or 6(d), </w:t>
      </w:r>
      <w:r>
        <w:rPr>
          <w:rFonts w:ascii="Times New Roman" w:cs="Times New Roman" w:eastAsia="Times New Roman" w:hAnsi="Times New Roman"/>
          <w:sz w:val="22"/>
          <w:szCs w:val="22"/>
          <w:color w:val="000000"/>
        </w:rPr>
        <w:t>Executive delivering to the Company a waiver and release of claims agreement in</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color w:val="000000"/>
        </w:rPr>
        <w:t>standard reasonable form approved by the Company that becomes effective and irrevocable in accordance with Section 7 hereof (a “</w:t>
      </w:r>
      <w:r>
        <w:rPr>
          <w:rFonts w:ascii="Times New Roman" w:cs="Times New Roman" w:eastAsia="Times New Roman" w:hAnsi="Times New Roman"/>
          <w:sz w:val="22"/>
          <w:szCs w:val="22"/>
          <w:u w:val="single" w:color="auto"/>
          <w:color w:val="000000"/>
        </w:rPr>
        <w:t>Release</w:t>
      </w:r>
      <w:r>
        <w:rPr>
          <w:rFonts w:ascii="Times New Roman" w:cs="Times New Roman" w:eastAsia="Times New Roman" w:hAnsi="Times New Roman"/>
          <w:sz w:val="22"/>
          <w:szCs w:val="22"/>
          <w:color w:val="000000"/>
        </w:rPr>
        <w:t>”).</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1"/>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Payments upon Termination by the Company for Cause or by Executive Without Good Reason</w:t>
      </w:r>
      <w:r>
        <w:rPr>
          <w:rFonts w:ascii="Times New Roman" w:cs="Times New Roman" w:eastAsia="Times New Roman" w:hAnsi="Times New Roman"/>
          <w:sz w:val="22"/>
          <w:szCs w:val="22"/>
          <w:color w:val="auto"/>
        </w:rPr>
        <w:t>. Upon a termination of Executive’s employment with the Company at any time for Cause or by Executive without Good Reason, Executive (or Executive’s estate or legal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both"/>
        <w:spacing w:after="0" w:line="247" w:lineRule="auto"/>
        <w:rPr>
          <w:sz w:val="20"/>
          <w:szCs w:val="20"/>
          <w:color w:val="auto"/>
        </w:rPr>
      </w:pPr>
      <w:r>
        <w:rPr>
          <w:rFonts w:ascii="Times New Roman" w:cs="Times New Roman" w:eastAsia="Times New Roman" w:hAnsi="Times New Roman"/>
          <w:sz w:val="21"/>
          <w:szCs w:val="21"/>
          <w:color w:val="auto"/>
        </w:rPr>
        <w:t>representative, as applicable) shall be entitled to receive, within thirty days of the Date of Termination (whether such termination of employment is effected by the Company or Executive) (or such earlier date as may be required by applicable law): (i) any portion of Executive’s Annual Base Salary earned through Executive’s Date of Termination not theretofore paid; (ii) any reimbursement of expenses owed to Executive under Section 3(d) above; and (iii) any accrued but unused vacation or paid time-off owed to Executive ((i)-(iii) defined as the “</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In the event Executive is terminated by the Company for Cause, Executive shall forfeit, effective as of the date Executive engages in such conduct giving rise to Executive’s termination for Cause, all unexercised, unearned and/or unpaid Equity Awards, including without limitation, Equity Awards earned but not yet paid, all unpaid dividends and dividend equivalents and all interest, if any, accrued on the foregoing.</w:t>
      </w:r>
    </w:p>
    <w:p>
      <w:pPr>
        <w:spacing w:after="0" w:line="172" w:lineRule="exact"/>
        <w:rPr>
          <w:sz w:val="20"/>
          <w:szCs w:val="20"/>
          <w:color w:val="auto"/>
        </w:rPr>
      </w:pPr>
    </w:p>
    <w:p>
      <w:pPr>
        <w:jc w:val="both"/>
        <w:ind w:firstLine="1505"/>
        <w:spacing w:after="0" w:line="244" w:lineRule="auto"/>
        <w:tabs>
          <w:tab w:leader="none" w:pos="2036"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Severance Payments upon Involuntary Termination Outside a Change in Control Period</w:t>
      </w:r>
      <w:r>
        <w:rPr>
          <w:rFonts w:ascii="Times New Roman" w:cs="Times New Roman" w:eastAsia="Times New Roman" w:hAnsi="Times New Roman"/>
          <w:sz w:val="22"/>
          <w:szCs w:val="22"/>
          <w:color w:val="auto"/>
        </w:rPr>
        <w:t>. If, outside a Change in Control Period, Executive’s employment is terminated due to an Involuntary Termination, the Company shall provide the following payments and benefits:</w:t>
      </w:r>
    </w:p>
    <w:p>
      <w:pPr>
        <w:spacing w:after="0" w:line="173"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Accrued Obligations;</w:t>
      </w:r>
    </w:p>
    <w:p>
      <w:pPr>
        <w:spacing w:after="0" w:line="206"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amount in cash equal to (A) twelve months of Executive’s Annual Base Salary plus (B) Executive’s target Bonus for the calendar year in which such Involuntary Termination occurs, pro-rated based on the total number of days elapsed in the calendar year as of Executive’s Date of Termination;</w:t>
      </w:r>
    </w:p>
    <w:p>
      <w:pPr>
        <w:spacing w:after="0" w:line="169" w:lineRule="exact"/>
        <w:rPr>
          <w:sz w:val="20"/>
          <w:szCs w:val="20"/>
          <w:color w:val="auto"/>
        </w:rPr>
      </w:pPr>
    </w:p>
    <w:p>
      <w:pPr>
        <w:jc w:val="both"/>
        <w:ind w:right="20"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fifty percent of the unvested Equity Awards held by the Executive as of the Date of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become fully vested and, if applicable, exercisable, and all restrictions and rights of repurchase thereon shall lapse with respect to all of the shares of the Company’s common stock subject thereto; and</w:t>
      </w:r>
    </w:p>
    <w:p>
      <w:pPr>
        <w:spacing w:after="0" w:line="167"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during the period commencing on the Date of Termination and ending on the twelve-month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anniversary thereof or, if earlier, the date on which Executive becomes eligible for comparable replacement coverage under a subsequent employer’s group health plan, subject to Executive’s valid election to continue healthcare coverage under Section 4980B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the regulations thereunder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the Company shall, in its sole discretion, either (A) continue to provide to Executive and Executive’s dependents, at the Company’s sole expense, or (B) reimburse Executive and Executive’s dependents for the cost of, in either case, coverage under its group health plan (if any) at the same coverage levels in effect on the Date of Termination (“</w:t>
      </w:r>
      <w:r>
        <w:rPr>
          <w:rFonts w:ascii="Times New Roman" w:cs="Times New Roman" w:eastAsia="Times New Roman" w:hAnsi="Times New Roman"/>
          <w:sz w:val="22"/>
          <w:szCs w:val="22"/>
          <w:u w:val="single" w:color="auto"/>
          <w:color w:val="auto"/>
        </w:rPr>
        <w:t>Benefits Coverage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color w:val="auto"/>
        </w:rPr>
        <w:t>equal taxable monthly installments over the COBRA continuation period (or remaining portion thereof).</w:t>
      </w:r>
    </w:p>
    <w:p>
      <w:pPr>
        <w:spacing w:after="0" w:line="206" w:lineRule="exact"/>
        <w:rPr>
          <w:sz w:val="20"/>
          <w:szCs w:val="20"/>
          <w:color w:val="auto"/>
        </w:rPr>
      </w:pPr>
    </w:p>
    <w:p>
      <w:pPr>
        <w:jc w:val="both"/>
        <w:ind w:firstLine="1505"/>
        <w:spacing w:after="0" w:line="244" w:lineRule="auto"/>
        <w:tabs>
          <w:tab w:leader="none" w:pos="2036"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Severance Payments upon Involuntary Termination During a Change in Control Period</w:t>
      </w:r>
      <w:r>
        <w:rPr>
          <w:rFonts w:ascii="Times New Roman" w:cs="Times New Roman" w:eastAsia="Times New Roman" w:hAnsi="Times New Roman"/>
          <w:sz w:val="22"/>
          <w:szCs w:val="22"/>
          <w:color w:val="auto"/>
        </w:rPr>
        <w:t>. If, during a Change in Control Period, Executive’s employment is terminated due to an Involuntary Termination, the Company shall provide the following payments and benefits:</w:t>
      </w:r>
    </w:p>
    <w:p>
      <w:pPr>
        <w:spacing w:after="0" w:line="173"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Accrued Obligations;</w:t>
      </w:r>
    </w:p>
    <w:p>
      <w:pPr>
        <w:spacing w:after="0" w:line="206"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546"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amount in cash equal to (A) eighteen months of Executive’s Annual Base Salary plus (B) one hundred percent (100%) of Executive’s Target Bonus for the calendar year in which such Involuntary Termination occurs (for the avoidance of doubt, if (x) Executive incurred an Involuntary Termination prior to a Change in Control that qualifies Executive for severance payments under Section 6(c)(ii), and (y) a Change in Control occurs within the three-month period following Executive’s Involuntary Termination that qualifies Executive for the increased benefits under this Section 6(d)(ii), then Executive shall be entitled to a lump-sum payment of the amount calculated under this Section 6(d)(ii), less any amount already paid under Section 6(c)(ii));</w:t>
      </w:r>
    </w:p>
    <w:p>
      <w:pPr>
        <w:spacing w:after="0" w:line="179"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1"/>
          <w:szCs w:val="21"/>
          <w:b w:val="1"/>
          <w:bCs w:val="1"/>
          <w:color w:val="auto"/>
        </w:rPr>
        <w:t>(iii)</w:t>
      </w:r>
      <w:r>
        <w:rPr>
          <w:rFonts w:ascii="Times New Roman" w:cs="Times New Roman" w:eastAsia="Times New Roman" w:hAnsi="Times New Roman"/>
          <w:sz w:val="21"/>
          <w:szCs w:val="21"/>
          <w:color w:val="auto"/>
        </w:rPr>
        <w:t>one hundred percent (100%) of all unvested Equity Awards held by Executive as of the Date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will become fully vested and, if applicable, exercisable, and all restrictions and rights of repurchase thereon shall lapse with respect to all of the shares of the Company’s common stock subject thereto effective on the later of (x) the Date of Termination or (y) the date of the Change in Control (for the avoidance of doubt, if Executive’s Involuntary Termination occurs prior to a Change in Control, then any unvested portion of Executive’s outstanding Equity Awards will remain outstanding for three months following the Date of Termination (or, if earlier, until the occurrence of a Change in Control) so that any vesting acceleration benefits provided under this clause (iii) can be provided if a Change in Control occurs within three months following such termination (provided that in no event will the Equity Awards remain outstanding beyond the Equity Award’s maximum term or expiration date)). In such case, if no Change in Control occurs within three months following Executive’s termination, any unvested portion of Executive’s Equity Awards automatically will be forfeited without having vested; and</w:t>
      </w:r>
    </w:p>
    <w:p>
      <w:pPr>
        <w:spacing w:after="0" w:line="171"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during the period commencing on the Date of Termination and ending on the twelve-month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anniversary thereof or, if earlier, the date on which Executive becomes eligible for comparable replacement coverage under a subsequent employer’s group health plan, subject to Executive’s valid election to continue healthcare coverage under COBRA, the Company shall, in its sole discretion, either (A) continue to provide to Executive and Executive’s dependents, at the Company’s sole expense, or (B) reimburse Executive and Executive’s dependents for the cost of, in either case, the Benefits Coverage;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jc w:val="both"/>
        <w:spacing w:after="0" w:line="239" w:lineRule="auto"/>
        <w:rPr>
          <w:sz w:val="20"/>
          <w:szCs w:val="20"/>
          <w:color w:val="auto"/>
        </w:rPr>
      </w:pPr>
      <w:r>
        <w:rPr>
          <w:rFonts w:ascii="Times New Roman" w:cs="Times New Roman" w:eastAsia="Times New Roman" w:hAnsi="Times New Roman"/>
          <w:sz w:val="22"/>
          <w:szCs w:val="22"/>
          <w:color w:val="auto"/>
        </w:rPr>
        <w:t>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taxable monthly installments over the COBRA continuation period (or remaining portion thereof).</w:t>
      </w:r>
    </w:p>
    <w:p>
      <w:pPr>
        <w:spacing w:after="0" w:line="180" w:lineRule="exact"/>
        <w:rPr>
          <w:sz w:val="20"/>
          <w:szCs w:val="20"/>
          <w:color w:val="auto"/>
        </w:rPr>
      </w:pPr>
    </w:p>
    <w:p>
      <w:pPr>
        <w:jc w:val="both"/>
        <w:ind w:firstLine="1505"/>
        <w:spacing w:after="0" w:line="239" w:lineRule="auto"/>
        <w:tabs>
          <w:tab w:leader="none" w:pos="2036" w:val="left"/>
        </w:tabs>
        <w:numPr>
          <w:ilvl w:val="1"/>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No Other Severance</w:t>
      </w:r>
      <w:r>
        <w:rPr>
          <w:rFonts w:ascii="Times New Roman" w:cs="Times New Roman" w:eastAsia="Times New Roman" w:hAnsi="Times New Roman"/>
          <w:sz w:val="22"/>
          <w:szCs w:val="22"/>
          <w:color w:val="auto"/>
        </w:rPr>
        <w:t>. The provisions of this Agreement, including, without limitation, this Section 6, shall supersede in their entirety any severance payment provisions in any severance plan, policy, program, or other arrangement maintained by the Company except for such additional benefits otherwise approved by the Board or Compensation Committee of the Board after the date hereof.</w:t>
      </w:r>
    </w:p>
    <w:p>
      <w:pPr>
        <w:spacing w:after="0" w:line="180" w:lineRule="exact"/>
        <w:rPr>
          <w:rFonts w:ascii="Times New Roman" w:cs="Times New Roman" w:eastAsia="Times New Roman" w:hAnsi="Times New Roman"/>
          <w:sz w:val="22"/>
          <w:szCs w:val="22"/>
          <w:b w:val="1"/>
          <w:bCs w:val="1"/>
          <w:color w:val="auto"/>
        </w:rPr>
      </w:pPr>
    </w:p>
    <w:p>
      <w:pPr>
        <w:jc w:val="both"/>
        <w:ind w:firstLine="1505"/>
        <w:spacing w:after="0" w:line="261" w:lineRule="auto"/>
        <w:tabs>
          <w:tab w:leader="none" w:pos="2036" w:val="left"/>
        </w:tabs>
        <w:numPr>
          <w:ilvl w:val="1"/>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u w:val="single" w:color="auto"/>
          <w:color w:val="auto"/>
        </w:rPr>
        <w:t>No Requirement to Mitigate; Survival</w:t>
      </w:r>
      <w:r>
        <w:rPr>
          <w:rFonts w:ascii="Times New Roman" w:cs="Times New Roman" w:eastAsia="Times New Roman" w:hAnsi="Times New Roman"/>
          <w:sz w:val="21"/>
          <w:szCs w:val="21"/>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153" w:lineRule="exact"/>
        <w:rPr>
          <w:rFonts w:ascii="Times New Roman" w:cs="Times New Roman" w:eastAsia="Times New Roman" w:hAnsi="Times New Roman"/>
          <w:sz w:val="21"/>
          <w:szCs w:val="21"/>
          <w:b w:val="1"/>
          <w:bCs w:val="1"/>
          <w:color w:val="auto"/>
        </w:rPr>
      </w:pPr>
    </w:p>
    <w:p>
      <w:pPr>
        <w:ind w:left="1020" w:hanging="263"/>
        <w:spacing w:after="0"/>
        <w:tabs>
          <w:tab w:leader="none" w:pos="10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Release and Payment Timing.</w:t>
      </w:r>
    </w:p>
    <w:p>
      <w:pPr>
        <w:spacing w:after="0" w:line="210" w:lineRule="exact"/>
        <w:rPr>
          <w:rFonts w:ascii="Times New Roman" w:cs="Times New Roman" w:eastAsia="Times New Roman" w:hAnsi="Times New Roman"/>
          <w:sz w:val="22"/>
          <w:szCs w:val="22"/>
          <w:b w:val="1"/>
          <w:bCs w:val="1"/>
          <w:color w:val="auto"/>
        </w:rPr>
      </w:pPr>
    </w:p>
    <w:p>
      <w:pPr>
        <w:jc w:val="both"/>
        <w:ind w:left="120" w:right="120" w:firstLine="1490"/>
        <w:spacing w:after="0" w:line="243" w:lineRule="auto"/>
        <w:tabs>
          <w:tab w:leader="none" w:pos="2047" w:val="left"/>
        </w:tabs>
        <w:numPr>
          <w:ilvl w:val="2"/>
          <w:numId w:val="74"/>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231F20"/>
        </w:rPr>
        <w:t>Notwithstanding anything to the contrary in this Agreement, any payments or other benefits due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231F20"/>
        </w:rPr>
        <w:t>under this Agreement under Sections 6(c) and 6(d) as a result of Executive’s termination of employment (other than the Accrued Obligations) are subject to Executive’s execution and delivery of a Release, as follows: (i) the Company shall deliver the Release to Executive within five days following Executive’s Date of Termination, and the Company’s failure to deliver a Release prior to the expiration of such five day period shall constitute a waiver of any requirement to execute a Release, (ii) if Executive fails to execute the Release on or prior to the Release Expiration Date (as defined below) or timely revokes Executive’s acceptance of the Release thereafter, Executive shall not be entitled to any payments or benefits otherwise conditioned on the Release, and (iii) if the Release does not become effective and irrevocable no later than sixty days following the Date of Termination (such deadline, the “</w:t>
      </w:r>
      <w:r>
        <w:rPr>
          <w:rFonts w:ascii="Times New Roman" w:cs="Times New Roman" w:eastAsia="Times New Roman" w:hAnsi="Times New Roman"/>
          <w:sz w:val="21"/>
          <w:szCs w:val="21"/>
          <w:u w:val="single" w:color="auto"/>
          <w:color w:val="231F20"/>
        </w:rPr>
        <w:t>Release Deadline</w:t>
      </w:r>
      <w:r>
        <w:rPr>
          <w:rFonts w:ascii="Times New Roman" w:cs="Times New Roman" w:eastAsia="Times New Roman" w:hAnsi="Times New Roman"/>
          <w:sz w:val="21"/>
          <w:szCs w:val="21"/>
          <w:color w:val="231F20"/>
        </w:rPr>
        <w:t>”), Executive shall not be entitled to any payments or benefits otherwise conditioned on the Release. For purposes of this Section 7, “</w:t>
      </w:r>
      <w:r>
        <w:rPr>
          <w:rFonts w:ascii="Times New Roman" w:cs="Times New Roman" w:eastAsia="Times New Roman" w:hAnsi="Times New Roman"/>
          <w:sz w:val="21"/>
          <w:szCs w:val="21"/>
          <w:u w:val="single" w:color="auto"/>
          <w:color w:val="231F20"/>
        </w:rPr>
        <w:t>Release Expiration Date</w:t>
      </w:r>
      <w:r>
        <w:rPr>
          <w:rFonts w:ascii="Times New Roman" w:cs="Times New Roman" w:eastAsia="Times New Roman" w:hAnsi="Times New Roman"/>
          <w:sz w:val="21"/>
          <w:szCs w:val="21"/>
          <w:color w:val="231F20"/>
        </w:rPr>
        <w:t>” shall mean the date that is twenty-one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days following such delivery date.</w:t>
      </w:r>
    </w:p>
    <w:p>
      <w:pPr>
        <w:spacing w:after="0" w:line="200" w:lineRule="exact"/>
        <w:rPr>
          <w:rFonts w:ascii="Times New Roman" w:cs="Times New Roman" w:eastAsia="Times New Roman" w:hAnsi="Times New Roman"/>
          <w:sz w:val="22"/>
          <w:szCs w:val="22"/>
          <w:b w:val="1"/>
          <w:bCs w:val="1"/>
          <w:color w:val="231F20"/>
        </w:rPr>
      </w:pPr>
    </w:p>
    <w:p>
      <w:pPr>
        <w:spacing w:after="0" w:line="254" w:lineRule="exact"/>
        <w:rPr>
          <w:rFonts w:ascii="Times New Roman" w:cs="Times New Roman" w:eastAsia="Times New Roman" w:hAnsi="Times New Roman"/>
          <w:sz w:val="22"/>
          <w:szCs w:val="22"/>
          <w:b w:val="1"/>
          <w:bCs w:val="1"/>
          <w:color w:val="231F20"/>
        </w:rPr>
      </w:pPr>
    </w:p>
    <w:p>
      <w:pPr>
        <w:jc w:val="both"/>
        <w:ind w:left="120" w:right="120" w:firstLine="1490"/>
        <w:spacing w:after="0" w:line="236" w:lineRule="auto"/>
        <w:tabs>
          <w:tab w:leader="none" w:pos="2047" w:val="left"/>
        </w:tabs>
        <w:numPr>
          <w:ilvl w:val="2"/>
          <w:numId w:val="74"/>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color w:val="auto"/>
        </w:rPr>
        <w:t>Payment Timing. The payments due under Sections 6(c)(ii) and 6(d)(ii) of this Agreement as a result of Executive’s termination of employment shall be paid in a lump sum on the date that is sixty days following the Date of Termination; provided, however, that, in the event of Executive’s Involuntary Termination during the Change in Control Period but prior to a Change in Control, any additional amount payable to Executive under Section 6(d)(ii) in excess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-485140</wp:posOffset>
            </wp:positionV>
            <wp:extent cx="91821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9">
                      <a:extLst>
                        <a:ext uri="{28A0092B-C50C-407E-A947-70E740481C1C}"/>
                      </a:extLst>
                    </a:blip>
                    <a:srcRect/>
                    <a:stretch>
                      <a:fillRect/>
                    </a:stretch>
                  </pic:blipFill>
                  <pic:spPr bwMode="auto">
                    <a:xfrm>
                      <a:off x="0" y="0"/>
                      <a:ext cx="918210" cy="8890"/>
                    </a:xfrm>
                    <a:prstGeom prst="rect">
                      <a:avLst/>
                    </a:prstGeom>
                    <a:noFill/>
                  </pic:spPr>
                </pic:pic>
              </a:graphicData>
            </a:graphic>
          </wp:anchor>
        </w:drawing>
      </w:r>
    </w:p>
    <w:p>
      <w:pPr>
        <w:ind w:left="5580" w:right="4160" w:hanging="5456"/>
        <w:spacing w:after="0" w:line="237" w:lineRule="auto"/>
        <w:rPr>
          <w:sz w:val="20"/>
          <w:szCs w:val="20"/>
          <w:color w:val="auto"/>
        </w:rPr>
      </w:pPr>
      <w:r>
        <w:rPr>
          <w:rFonts w:ascii="Times New Roman" w:cs="Times New Roman" w:eastAsia="Times New Roman" w:hAnsi="Times New Roman"/>
          <w:sz w:val="22"/>
          <w:szCs w:val="22"/>
          <w:color w:val="auto"/>
        </w:rPr>
        <w:t>amounts payable to such Executive under Section 6(c)(ii) shall be paid in a lump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ind w:left="120"/>
        <w:spacing w:after="0"/>
        <w:rPr>
          <w:sz w:val="20"/>
          <w:szCs w:val="20"/>
          <w:color w:val="auto"/>
        </w:rPr>
      </w:pPr>
      <w:r>
        <w:rPr>
          <w:rFonts w:ascii="Times New Roman" w:cs="Times New Roman" w:eastAsia="Times New Roman" w:hAnsi="Times New Roman"/>
          <w:sz w:val="22"/>
          <w:szCs w:val="22"/>
          <w:color w:val="auto"/>
        </w:rPr>
        <w:t>sum on the date that is sixty days following the later of (i) the Date of Termination, or (ii) the date of the Change in Control.</w:t>
      </w:r>
    </w:p>
    <w:p>
      <w:pPr>
        <w:spacing w:after="0" w:line="229" w:lineRule="exact"/>
        <w:rPr>
          <w:sz w:val="20"/>
          <w:szCs w:val="20"/>
          <w:color w:val="auto"/>
        </w:rPr>
      </w:pPr>
    </w:p>
    <w:p>
      <w:pPr>
        <w:ind w:left="1020" w:hanging="263"/>
        <w:spacing w:after="0"/>
        <w:tabs>
          <w:tab w:leader="none" w:pos="102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Continuing Obligations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Proprietary Information Agreement</w:t>
      </w:r>
      <w:r>
        <w:rPr>
          <w:rFonts w:ascii="Times New Roman" w:cs="Times New Roman" w:eastAsia="Times New Roman" w:hAnsi="Times New Roman"/>
          <w:sz w:val="22"/>
          <w:szCs w:val="22"/>
          <w:color w:val="auto"/>
        </w:rPr>
        <w:t>. In connection with Executive’s commencement of employment, Executive will be required to sign and agree to abide by the terms of the Company’s standard employee proprietary information and inventions agreement (the “</w:t>
      </w:r>
      <w:r>
        <w:rPr>
          <w:rFonts w:ascii="Times New Roman" w:cs="Times New Roman" w:eastAsia="Times New Roman" w:hAnsi="Times New Roman"/>
          <w:sz w:val="22"/>
          <w:szCs w:val="22"/>
          <w:u w:val="single" w:color="auto"/>
          <w:color w:val="auto"/>
        </w:rPr>
        <w:t>Proprietary Information Agreement</w:t>
      </w:r>
      <w:r>
        <w:rPr>
          <w:rFonts w:ascii="Times New Roman" w:cs="Times New Roman" w:eastAsia="Times New Roman" w:hAnsi="Times New Roman"/>
          <w:sz w:val="22"/>
          <w:szCs w:val="22"/>
          <w:color w:val="auto"/>
        </w:rPr>
        <w:t xml:space="preserve">”), which is attached hereto as </w:t>
      </w:r>
      <w:r>
        <w:rPr>
          <w:rFonts w:ascii="Times New Roman" w:cs="Times New Roman" w:eastAsia="Times New Roman" w:hAnsi="Times New Roman"/>
          <w:sz w:val="22"/>
          <w:szCs w:val="22"/>
          <w:u w:val="single" w:color="auto"/>
          <w:color w:val="auto"/>
        </w:rPr>
        <w:t>Appendix II</w:t>
      </w:r>
      <w:r>
        <w:rPr>
          <w:rFonts w:ascii="Times New Roman" w:cs="Times New Roman" w:eastAsia="Times New Roman" w:hAnsi="Times New Roman"/>
          <w:sz w:val="22"/>
          <w:szCs w:val="22"/>
          <w:color w:val="auto"/>
        </w:rPr>
        <w:t xml:space="preserve"> and incorporated herein by reference, and agrees that Executive shall continue to be subject to the terms and conditions of such agreement during the term of this Agreement and that such obligations shall survive the Date of Termination.</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xml:space="preserve">. For a period of one year following Executive’s Date of Termination, Executive shall not, either directly or indirectly (i) solicit for employment through any individual, corporation, firm, or other business, any employees, consultants, independent contractors, or other service providers of the Company or any of its affiliates, or (ii) solicit any employee, consultant or other service provider of the Company or any of its affiliates to leave the employment or consulting of or cease providing services to the Company or any of its affiliates;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foregoing clauses (i) and (ii) shall not apply to inbound inquiries or any general advertisement or solicitation (or any hiring pursuant to such advertisement or solicitation) that is not specifically targeted to such employees, consultants or other service providers.</w:t>
      </w:r>
    </w:p>
    <w:p>
      <w:pPr>
        <w:spacing w:after="0" w:line="183"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Return of Property</w:t>
      </w:r>
      <w:r>
        <w:rPr>
          <w:rFonts w:ascii="Times New Roman" w:cs="Times New Roman" w:eastAsia="Times New Roman" w:hAnsi="Times New Roman"/>
          <w:sz w:val="22"/>
          <w:szCs w:val="22"/>
          <w:color w:val="auto"/>
        </w:rPr>
        <w:t>. Upon the Date of Termination, Executive agrees to promptly deliver to the Company, all Company documents (and all copies thereof) and other Company property that Executive had in his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If Executive breaches or threatens to commit a breach of any of the provisions of this Section 8, Executive agrees that such breach or threatened breach would cause irreparable injury to the Company and that money damages would not provide an adequate remedy to the Company. The Company shall also have any other rights and remedies available to the Company under law or in equity, as well as the right to immediately cease providing the post-termination compensation in Section 6(c) and Section 6(d).</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Other Protections</w:t>
      </w:r>
      <w:r>
        <w:rPr>
          <w:rFonts w:ascii="Times New Roman" w:cs="Times New Roman" w:eastAsia="Times New Roman" w:hAnsi="Times New Roman"/>
          <w:sz w:val="22"/>
          <w:szCs w:val="22"/>
          <w:color w:val="auto"/>
        </w:rPr>
        <w:t>. Nothing in this Agreement or the Proprietary Information Agreement shall prevent Executive or any other person from (i) communicating directly with, cooperating with, or providing information to, or receiving financial awards from, any federal, state or local government agency, including without limitation the U.S. Securities and Exchange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jc w:val="both"/>
        <w:spacing w:after="0" w:line="243" w:lineRule="auto"/>
        <w:rPr>
          <w:sz w:val="20"/>
          <w:szCs w:val="20"/>
          <w:color w:val="auto"/>
        </w:rPr>
      </w:pPr>
      <w:r>
        <w:rPr>
          <w:rFonts w:ascii="Times New Roman" w:cs="Times New Roman" w:eastAsia="Times New Roman" w:hAnsi="Times New Roman"/>
          <w:sz w:val="21"/>
          <w:szCs w:val="21"/>
          <w:color w:val="auto"/>
        </w:rPr>
        <w:t>Commission, the U.S. Commodity Futures Trading Commission, the U.S. Department of Justice, the U.S. Equal Employment Opportunity Commission, or the U.S. National Labor Relations Board, without notifying or seeking permission from the Company, (ii) exercising any rights Executive or any other person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Executive or any other person has reason to believe is unlawful. In addition, Executive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w:t>
      </w:r>
    </w:p>
    <w:p>
      <w:pPr>
        <w:spacing w:after="0" w:line="9" w:lineRule="exact"/>
        <w:rPr>
          <w:sz w:val="20"/>
          <w:szCs w:val="20"/>
          <w:color w:val="auto"/>
        </w:rPr>
      </w:pPr>
    </w:p>
    <w:p>
      <w:pPr>
        <w:jc w:val="both"/>
        <w:ind w:firstLine="8"/>
        <w:spacing w:after="0" w:line="234" w:lineRule="auto"/>
        <w:tabs>
          <w:tab w:leader="none" w:pos="34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Golden Parachute Excise Tax</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2" w:lineRule="auto"/>
        <w:tabs>
          <w:tab w:leader="none" w:pos="2036" w:val="left"/>
        </w:tabs>
        <w:numPr>
          <w:ilvl w:val="2"/>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Best Pay</w:t>
      </w:r>
      <w:r>
        <w:rPr>
          <w:rFonts w:ascii="Times New Roman" w:cs="Times New Roman" w:eastAsia="Times New Roman" w:hAnsi="Times New Roman"/>
          <w:sz w:val="22"/>
          <w:szCs w:val="22"/>
          <w:color w:val="auto"/>
        </w:rPr>
        <w:t>. Any provision of this Agreement to the contrary notwithstanding, if any payment or benefit Executive would receive from the Company pursuant to this Agreement or otherwise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such Payment will be equal to the Reduced Amount (as defined below). The “</w:t>
      </w:r>
      <w:r>
        <w:rPr>
          <w:rFonts w:ascii="Times New Roman" w:cs="Times New Roman" w:eastAsia="Times New Roman" w:hAnsi="Times New Roman"/>
          <w:sz w:val="22"/>
          <w:szCs w:val="22"/>
          <w:u w:val="single" w:color="auto"/>
          <w:color w:val="auto"/>
        </w:rPr>
        <w:t>Reduced Amount</w:t>
      </w:r>
      <w:r>
        <w:rPr>
          <w:rFonts w:ascii="Times New Roman" w:cs="Times New Roman" w:eastAsia="Times New Roman" w:hAnsi="Times New Roman"/>
          <w:sz w:val="22"/>
          <w:szCs w:val="22"/>
          <w:color w:val="auto"/>
        </w:rPr>
        <w:t>” will be either (i) the largest portion of the Payment that would result in no portion of the Payment (after reduction) being subject to the Excise Tax or (ii)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(i) of the preceding sentence, the reduction shall occur in the manner (the “</w:t>
      </w:r>
      <w:r>
        <w:rPr>
          <w:rFonts w:ascii="Times New Roman" w:cs="Times New Roman" w:eastAsia="Times New Roman" w:hAnsi="Times New Roman"/>
          <w:sz w:val="22"/>
          <w:szCs w:val="22"/>
          <w:u w:val="single" w:color="auto"/>
          <w:color w:val="auto"/>
        </w:rPr>
        <w:t>Reduction Method</w:t>
      </w:r>
      <w:r>
        <w:rPr>
          <w:rFonts w:ascii="Times New Roman" w:cs="Times New Roman" w:eastAsia="Times New Roman" w:hAnsi="Times New Roman"/>
          <w:sz w:val="22"/>
          <w:szCs w:val="22"/>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Reduction Method</w:t>
      </w:r>
      <w:r>
        <w:rPr>
          <w:rFonts w:ascii="Times New Roman" w:cs="Times New Roman" w:eastAsia="Times New Roman" w:hAnsi="Times New Roman"/>
          <w:sz w:val="22"/>
          <w:szCs w:val="22"/>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both"/>
        <w:spacing w:after="0" w:line="236" w:lineRule="auto"/>
        <w:rPr>
          <w:sz w:val="20"/>
          <w:szCs w:val="20"/>
          <w:color w:val="auto"/>
        </w:rPr>
      </w:pPr>
      <w:r>
        <w:rPr>
          <w:rFonts w:ascii="Times New Roman" w:cs="Times New Roman" w:eastAsia="Times New Roman" w:hAnsi="Times New Roman"/>
          <w:sz w:val="22"/>
          <w:szCs w:val="22"/>
          <w:color w:val="auto"/>
        </w:rPr>
        <w:t>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81" w:lineRule="exact"/>
        <w:rPr>
          <w:sz w:val="20"/>
          <w:szCs w:val="20"/>
          <w:color w:val="auto"/>
        </w:rPr>
      </w:pPr>
    </w:p>
    <w:p>
      <w:pPr>
        <w:jc w:val="both"/>
        <w:ind w:firstLine="1505"/>
        <w:spacing w:after="0" w:line="233" w:lineRule="auto"/>
        <w:tabs>
          <w:tab w:leader="none" w:pos="2036"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All determinations regarding the application of this Section 9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cs="Times New Roman" w:eastAsia="Times New Roman" w:hAnsi="Times New Roman"/>
          <w:sz w:val="22"/>
          <w:szCs w:val="22"/>
          <w:u w:val="single" w:color="auto"/>
          <w:color w:val="auto"/>
        </w:rPr>
        <w:t>280G Firm</w:t>
      </w:r>
      <w:r>
        <w:rPr>
          <w:rFonts w:ascii="Times New Roman" w:cs="Times New Roman" w:eastAsia="Times New Roman" w:hAnsi="Times New Roman"/>
          <w:sz w:val="22"/>
          <w:szCs w:val="22"/>
          <w:color w:val="auto"/>
        </w:rPr>
        <w:t>”). The Company will bear all expenses with respect to the determinations by the 280G Firm required to be made hereunder. The 280G Firm engaged to make the determinations hereunder will provide its calculations, together with detailed supporting documentation, to the Company within thirty days before the consummation of a Change in Control (if requested at that time by the Company) or such other time as requested by the Company. If the 280G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280G Firm made hereunder will be final, binding and conclusive upon the Company and Executive.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3" w:lineRule="auto"/>
        <w:tabs>
          <w:tab w:leader="none" w:pos="2036"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and, accordingly, to the maximum extent permitted, this Agreement shall be interpreted to be in compliance therewith. If Executive notifies the Company that Executive has received advice of tax counsel of a national reputation with expertise in Section 409A that any provision of this Agreement would cause Executive to incur any additional tax or interest under Section 409A (with specificity as to the reason therefor) or the Company independently makes such determination,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jc w:val="both"/>
        <w:ind w:firstLine="1505"/>
        <w:spacing w:after="0" w:line="234" w:lineRule="auto"/>
        <w:tabs>
          <w:tab w:leader="none" w:pos="2036"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Notwithstanding any provision to the contrary in this Agreement: (i) no amount that constitutes “deferred compensation” under Section 409A shall be payable pursuant to Section 6(c) or Section 6(d) above unless the termination of Executive’s employment constitutes a “separation from service” within the meaning of Section 1.409A-1(h) of the Department of Treasury Regulations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31st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179"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The Company shall be entitled to withhold from any amounts payable under this Agreement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2"/>
          <w:szCs w:val="22"/>
          <w:b w:val="1"/>
          <w:bCs w:val="1"/>
          <w:u w:val="single" w:color="auto"/>
          <w:color w:val="auto"/>
        </w:rPr>
        <w:t>Miscellaneous Provisions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6" w:lineRule="auto"/>
        <w:tabs>
          <w:tab w:leader="none" w:pos="2036"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u w:val="single" w:color="auto"/>
          <w:color w:val="auto"/>
        </w:rPr>
        <w:t>Prior Employment</w:t>
      </w:r>
      <w:r>
        <w:rPr>
          <w:rFonts w:ascii="Times New Roman" w:cs="Times New Roman" w:eastAsia="Times New Roman" w:hAnsi="Times New Roman"/>
          <w:sz w:val="21"/>
          <w:szCs w:val="21"/>
          <w:color w:val="auto"/>
        </w:rPr>
        <w:t>. Executive represents and warrants that Executive’s acceptance of employment with the Company has not breached, and the performance of Executive’s duties hereunder will not breach, any duty owed by Executive to any prior employer or other person. Executive further represents and warrants to the Company that: (i) the performance of Executive’s obligations hereunder will not violate any agreement between Executive and any other person, firm, organization, or other entity; (ii) Executive is not bound by 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 (iii) Executive’s performance of Executive’s duties under this Agreement will not require Executive to, and Executive shall not, rely on in the performance of Executive’s duties or disclose to the Company or any other person or entity 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spacing w:after="0" w:line="258" w:lineRule="auto"/>
        <w:rPr>
          <w:sz w:val="20"/>
          <w:szCs w:val="20"/>
          <w:color w:val="auto"/>
        </w:rPr>
      </w:pPr>
      <w:r>
        <w:rPr>
          <w:rFonts w:ascii="Times New Roman" w:cs="Times New Roman" w:eastAsia="Times New Roman" w:hAnsi="Times New Roman"/>
          <w:sz w:val="22"/>
          <w:szCs w:val="22"/>
          <w:color w:val="auto"/>
        </w:rPr>
        <w:t>induce the Company in any way to use or rely on any trade secret or other confidential or proprietary information or material belonging to any previous employer of Executive.</w:t>
      </w:r>
    </w:p>
    <w:p>
      <w:pPr>
        <w:spacing w:after="0" w:line="158" w:lineRule="exact"/>
        <w:rPr>
          <w:sz w:val="20"/>
          <w:szCs w:val="20"/>
          <w:color w:val="auto"/>
        </w:rPr>
      </w:pPr>
    </w:p>
    <w:p>
      <w:pPr>
        <w:jc w:val="both"/>
        <w:ind w:firstLine="1505"/>
        <w:spacing w:after="0" w:line="236" w:lineRule="auto"/>
        <w:tabs>
          <w:tab w:leader="none" w:pos="2036"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Assignment and Successors</w:t>
      </w:r>
      <w:r>
        <w:rPr>
          <w:rFonts w:ascii="Times New Roman" w:cs="Times New Roman" w:eastAsia="Times New Roman" w:hAnsi="Times New Roman"/>
          <w:sz w:val="22"/>
          <w:szCs w:val="22"/>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180"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Validity</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18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1"/>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u w:val="single" w:color="auto"/>
          <w:color w:val="auto"/>
        </w:rPr>
        <w:t>Dispute Resolution</w:t>
      </w:r>
      <w:r>
        <w:rPr>
          <w:rFonts w:ascii="Times New Roman" w:cs="Times New Roman" w:eastAsia="Times New Roman" w:hAnsi="Times New Roman"/>
          <w:sz w:val="21"/>
          <w:szCs w:val="21"/>
          <w:color w:val="auto"/>
        </w:rPr>
        <w:t>. Unless otherwise prohibited by law or specified below, all disputes, claims and causes of action, in law or equity, arising from or relating to this Agreement or its enforcement, performance, breach, or interpretation, including any dispute regarding the existence of Cause or Good Reason for Executive’s termination of employment, shall be resolved solely and exclusively by final and binding arbitration held in Los Angeles, California, before a single, mutually-agreed neutral arbitrator, through Judicial Arbitration &amp; Mediation Services (“</w:t>
      </w:r>
      <w:r>
        <w:rPr>
          <w:rFonts w:ascii="Times New Roman" w:cs="Times New Roman" w:eastAsia="Times New Roman" w:hAnsi="Times New Roman"/>
          <w:sz w:val="21"/>
          <w:szCs w:val="21"/>
          <w:u w:val="single" w:color="auto"/>
          <w:color w:val="auto"/>
        </w:rPr>
        <w:t>JAMS</w:t>
      </w:r>
      <w:r>
        <w:rPr>
          <w:rFonts w:ascii="Times New Roman" w:cs="Times New Roman" w:eastAsia="Times New Roman" w:hAnsi="Times New Roman"/>
          <w:sz w:val="21"/>
          <w:szCs w:val="21"/>
          <w:color w:val="auto"/>
        </w:rPr>
        <w:t xml:space="preserve">”) under the then existing JAMS arbitration rules. The rules may be found online at www.jamsadr.com or upon written request to the Company. This Section 12(f) is intended to be the exclusive method for resolving any and all claims by the Parties against each other relating to Executive’s employment;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Executive will retain the right to file administrative charges with or seek relief through any government agency of competent jurisdiction, and to participate in any government investigation, including but not limited to</w:t>
      </w:r>
    </w:p>
    <w:p>
      <w:pPr>
        <w:spacing w:after="0" w:line="1" w:lineRule="exact"/>
        <w:rPr>
          <w:rFonts w:ascii="Times New Roman" w:cs="Times New Roman" w:eastAsia="Times New Roman" w:hAnsi="Times New Roman"/>
          <w:sz w:val="21"/>
          <w:szCs w:val="21"/>
          <w:b w:val="1"/>
          <w:bCs w:val="1"/>
          <w:color w:val="auto"/>
        </w:rPr>
      </w:pPr>
    </w:p>
    <w:p>
      <w:pPr>
        <w:ind w:left="260" w:hanging="252"/>
        <w:spacing w:after="0"/>
        <w:tabs>
          <w:tab w:leader="none" w:pos="2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workers’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jc w:val="both"/>
        <w:spacing w:after="0" w:line="243" w:lineRule="auto"/>
        <w:rPr>
          <w:sz w:val="20"/>
          <w:szCs w:val="20"/>
          <w:color w:val="auto"/>
        </w:rPr>
      </w:pPr>
      <w:r>
        <w:rPr>
          <w:rFonts w:ascii="Times New Roman" w:cs="Times New Roman" w:eastAsia="Times New Roman" w:hAnsi="Times New Roman"/>
          <w:sz w:val="21"/>
          <w:szCs w:val="21"/>
          <w:color w:val="auto"/>
        </w:rPr>
        <w:t>compensation, state disability insurance or unemployment insurance; (ii) claims for unpaid wages or waiting time penalties brought before the California Division of Labor Standards Enforcement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appeal from an award or from denial of an award of wages and/or waiting time penalties shall be arbitrated pursuant to the terms of this paragraph); and (iii) claims for administrative relief from the United States Equal Employment Opportunity Commission and/or the California Department of Fair Employment and Housing (or any similar agency in any applicable jurisdiction other than California);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except as otherwise provided by law, Executive will not be entitled to obtain any monetary relief through such agencies other than workers’ compensation benefits or unemployment insurance benefits. Further, nothing in this Section 12(f) is intended to prevent either Party from obtaining injunctive relief in court to prevent irreparable harm pending the conclusion of any such arbitration, including without limitation injunctive relief, in any court of competent jurisdiction pursuant to California Code of Civil Procedure §1281.8 or any similar statute of an applicable jurisdiction. Seeking any such relief shall not be deemed to be a waiver of such Party’s right to compel arbitration. In resolving any matter submitted to arbitration, the arbitrator will strictly follow the substantive law applicable to the dispute, claim or controversy and the arbitrator’s authority and jurisdiction will be limited to determining the dispute in conformity with applicable law as to liability, damages and remedies, to the same extent as if the dispute was determined by a court without a jury. The arbitrator will issue a written decision that contains the essential findings of fact and conclusions of law on which the decision is based, which may be entered as a judgment in any court of competent jurisdiction. The Company shall pay all costs of arbitration, including without limitation, arbitration administrative fees, arbitrator compensation and expenses, and costs of any witnesses called by the arbitrator. Unless otherwise ordered by the arbitrator under applicable law, the Company and Executive shall each bear its or his own expenses, such as attorneys’ fees, costs and disbursements. The prevailing party in any arbitration or other dispute between the Parties will be entitled to an award of attorneys’ fees and costs, in addition to any other relief. Each Party warrants that it has had the opportunity to be represented by counsel in the negotiation and execution of this Agreement, including the attorneys’ fees provision herein. Both Executive and the Company expressly waive his and its right to a jury trial. Executive furthers waives his right to pursue claims against the Company on a class basis;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Executive does not waive his right, to the extent preserved by law, to pursue representative claims against the Company under the California Private Attorney General Act.</w:t>
      </w:r>
    </w:p>
    <w:p>
      <w:pPr>
        <w:spacing w:after="0" w:line="180" w:lineRule="exact"/>
        <w:rPr>
          <w:sz w:val="20"/>
          <w:szCs w:val="20"/>
          <w:color w:val="auto"/>
        </w:rPr>
      </w:pPr>
    </w:p>
    <w:p>
      <w:pPr>
        <w:jc w:val="both"/>
        <w:ind w:firstLine="1505"/>
        <w:spacing w:after="0" w:line="235" w:lineRule="auto"/>
        <w:tabs>
          <w:tab w:leader="none" w:pos="2036"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jc w:val="both"/>
        <w:ind w:firstLine="1505"/>
        <w:spacing w:after="0" w:line="236" w:lineRule="auto"/>
        <w:tabs>
          <w:tab w:leader="none" w:pos="2036"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terms of this Agreement and the other agreements referenced herein, including the Proprietary Information Agreement, are intended by the Parties to be the final expression of their agreement with respect to the employment of Executive by the Company and supersede all prior understandings and agreements, whether written or oral, regarding Executive’s employment with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Executive Acknowledgement</w:t>
      </w:r>
      <w:r>
        <w:rPr>
          <w:rFonts w:ascii="Times New Roman" w:cs="Times New Roman" w:eastAsia="Times New Roman" w:hAnsi="Times New Roman"/>
          <w:sz w:val="22"/>
          <w:szCs w:val="22"/>
          <w:color w:val="auto"/>
        </w:rPr>
        <w:t>.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80"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173"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required or permitted hereunder shall be in writing and shall be deemed effectively</w:t>
      </w:r>
    </w:p>
    <w:p>
      <w:pPr>
        <w:spacing w:after="0" w:line="14" w:lineRule="exact"/>
        <w:rPr>
          <w:rFonts w:ascii="Times New Roman" w:cs="Times New Roman" w:eastAsia="Times New Roman" w:hAnsi="Times New Roman"/>
          <w:sz w:val="22"/>
          <w:szCs w:val="22"/>
          <w:b w:val="1"/>
          <w:bCs w:val="1"/>
          <w:color w:val="auto"/>
        </w:rPr>
      </w:pPr>
    </w:p>
    <w:p>
      <w:pPr>
        <w:jc w:val="both"/>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given: (i) upon personal delivery to the party to be notified; (ii) when sent by confirmed electronic mail or facsimile if sent during normal business hours of the recipient, and if not,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shall be sent to the Company at its principal executive offices or to Executive at his most recent address on the Company’s payroll records or at such other address(es) as the Company or Executive may designate by ten days advance written notice to the other party hereto.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1"/>
          <w:szCs w:val="21"/>
          <w:color w:val="auto"/>
        </w:rPr>
        <w:t>IN WITNESS WHEREOF, the Parties have duly executed this Agreement as of the date and year set forth below.</w:t>
      </w:r>
    </w:p>
    <w:p>
      <w:pPr>
        <w:sectPr>
          <w:pgSz w:w="11900" w:h="16838" w:orient="portrait"/>
          <w:cols w:equalWidth="0" w:num="1">
            <w:col w:w="9820"/>
          </w:cols>
          <w:pgMar w:left="1080" w:top="1408" w:right="9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TYRA BIOSCIENCES,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Todd Harris</w:t>
      </w:r>
    </w:p>
    <w:p>
      <w:pPr>
        <w:spacing w:after="0" w:line="4" w:lineRule="exact"/>
        <w:rPr>
          <w:sz w:val="20"/>
          <w:szCs w:val="20"/>
          <w:color w:val="auto"/>
        </w:rPr>
      </w:pPr>
    </w:p>
    <w:p>
      <w:pPr>
        <w:ind w:left="3740"/>
        <w:spacing w:after="0"/>
        <w:tabs>
          <w:tab w:leader="none" w:pos="4580" w:val="left"/>
        </w:tabs>
        <w:rPr>
          <w:sz w:val="20"/>
          <w:szCs w:val="20"/>
          <w:color w:val="auto"/>
        </w:rPr>
      </w:pPr>
      <w:r>
        <w:rPr>
          <w:rFonts w:ascii="Times New Roman" w:cs="Times New Roman" w:eastAsia="Times New Roman" w:hAnsi="Times New Roman"/>
          <w:sz w:val="22"/>
          <w:szCs w:val="22"/>
          <w:color w:val="auto"/>
        </w:rPr>
        <w:t>Name:</w:t>
        <w:tab/>
        <w:t>Todd Harris</w:t>
      </w:r>
    </w:p>
    <w:p>
      <w:pPr>
        <w:ind w:left="3740"/>
        <w:spacing w:after="0"/>
        <w:tabs>
          <w:tab w:leader="none" w:pos="45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Bhavesh Ashar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-13970</wp:posOffset>
            </wp:positionV>
            <wp:extent cx="11391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8">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3740"/>
        <w:spacing w:after="0"/>
        <w:tabs>
          <w:tab w:leader="none" w:pos="4580" w:val="left"/>
        </w:tabs>
        <w:rPr>
          <w:sz w:val="20"/>
          <w:szCs w:val="20"/>
          <w:color w:val="auto"/>
        </w:rPr>
      </w:pPr>
      <w:r>
        <w:rPr>
          <w:rFonts w:ascii="Times New Roman" w:cs="Times New Roman" w:eastAsia="Times New Roman" w:hAnsi="Times New Roman"/>
          <w:sz w:val="22"/>
          <w:szCs w:val="22"/>
          <w:color w:val="auto"/>
        </w:rPr>
        <w:t>Name:</w:t>
        <w:tab/>
        <w:t>Bhavesh Ashar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Employment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642620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080" w:top="1408" w:right="999" w:bottom="1440" w:gutter="0" w:footer="0" w:header="0"/>
          <w:type w:val="continuous"/>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2"/>
          <w:szCs w:val="22"/>
          <w:b w:val="1"/>
          <w:bCs w:val="1"/>
          <w:color w:val="auto"/>
        </w:rPr>
        <w:t>APPENDIX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All defined terms used in this Appendix I that are not otherwise defined in this Appendix I shall have the meaning ascribed to such terms in the Employment Agreement to which this Appendix I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the occurrence of any one or more of the following events or conditions:</w:t>
      </w:r>
    </w:p>
    <w:p>
      <w:pPr>
        <w:spacing w:after="0" w:line="206" w:lineRule="exact"/>
        <w:rPr>
          <w:sz w:val="20"/>
          <w:szCs w:val="20"/>
          <w:color w:val="auto"/>
        </w:rPr>
      </w:pPr>
    </w:p>
    <w:p>
      <w:pPr>
        <w:jc w:val="both"/>
        <w:ind w:firstLine="757"/>
        <w:spacing w:after="0" w:line="244" w:lineRule="auto"/>
        <w:tabs>
          <w:tab w:leader="none" w:pos="1018"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material failure on the part of Executive (other than by reason of Disability of Executive) to faithfully and professionally carry out Executive’s duties which failure continues for ten (10) days after written notice detailing such failure is delivered to Executive by the Company;</w:t>
      </w:r>
    </w:p>
    <w:p>
      <w:pPr>
        <w:spacing w:after="0" w:line="16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Executive’s dishonesty or other misconduct, if such dishonesty or other misconduct is intended to or likely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materially injure the business or reputation of the Company;</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Executive’s conviction or no contest plea to any misdemeanor involving dishonesty, theft, fraud or moral turpitude,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felony.</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Executive’s insobriety or illegal use of drugs, chemicals or controlled substances either (A) in the course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performing Executive’s duties and responsibilities under this Agreement or (B) otherwise materially affecting the ability of Executive to perform the same;</w:t>
      </w:r>
    </w:p>
    <w:p>
      <w:pPr>
        <w:spacing w:after="0" w:line="171" w:lineRule="exact"/>
        <w:rPr>
          <w:sz w:val="20"/>
          <w:szCs w:val="20"/>
          <w:color w:val="auto"/>
        </w:rPr>
      </w:pPr>
    </w:p>
    <w:p>
      <w:pPr>
        <w:ind w:right="20" w:firstLine="757"/>
        <w:spacing w:after="0" w:line="258" w:lineRule="auto"/>
        <w:tabs>
          <w:tab w:leader="none" w:pos="1018"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Executive’s material breach of any written agreement with the Company or any of its affiliates or material violation of the Company’s Code of Conduct or any other material written policy of the Company; or</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Any wanton or willful dereliction of duties by Executive.</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have the meaning given to such term in the Company’s 2021 Incentive Award Plan. Notwithstanding the foregoing, if a Change in Control constitutes a payment event with respect to any amount hereunder that provides for the deferral of compensation that is subject to Section 409A, to the extent required to avoid the imposition of additional taxes under Section 409A, the transaction or event shall only constitute a Change in Control for purposes of the payment timing of such amount if such transaction also constitutes a “change in control event,” as defined in Treasury Regulation Section 1.409A-3(i)(5).</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shall mean the period commencing three months prior to a Change in Control and ending on the eighteen-month anniversary of the Change in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permanent and total disability within the meaning of Section 22(e) of the Code.</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any one of the following: (i) the material reduction of Executive’s Annual Base Salary (other than as part of a reduction in the base salaries of all or substantially all other similarly situated employees of the Company that is in the same proportion as the reduction in Executive’s Annual Base Salary); (ii) a material reduction of Executive’s duties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7" w:name="page158"/>
    <w:bookmarkEnd w:id="157"/>
    <w:p>
      <w:pPr>
        <w:jc w:val="both"/>
        <w:spacing w:after="0" w:line="234" w:lineRule="auto"/>
        <w:rPr>
          <w:sz w:val="20"/>
          <w:szCs w:val="20"/>
          <w:color w:val="auto"/>
        </w:rPr>
      </w:pPr>
      <w:r>
        <w:rPr>
          <w:rFonts w:ascii="Times New Roman" w:cs="Times New Roman" w:eastAsia="Times New Roman" w:hAnsi="Times New Roman"/>
          <w:sz w:val="22"/>
          <w:szCs w:val="22"/>
          <w:color w:val="auto"/>
        </w:rPr>
        <w:t>responsibilities from those in effect on the Effective Date; (iii) the Company’s material breach of this Agreement (other than a reduction of Executive’s Annual Base Salary as part of a reduction in the base salaries of all or substantially all other similarly situated employees of the Company that is in the same proportion as the reduction in Executive’s Annual Base Salary); or (iv) the permanent, non-voluntary relocation of Executive’s principal place of employment that increases Executive’s one-way commute by more than thirty-five miles, provided, that, in each case, Executive will not be deemed to have Good Reason unless (A) Executive first provides the Board with written notice of the condition giving rise to Good Reason within thirty days of its initial occurrence, (B) the Company or the successor company fails to cure such condition within ten days after receiving such written notice (the “</w:t>
      </w:r>
      <w:r>
        <w:rPr>
          <w:rFonts w:ascii="Times New Roman" w:cs="Times New Roman" w:eastAsia="Times New Roman" w:hAnsi="Times New Roman"/>
          <w:sz w:val="22"/>
          <w:szCs w:val="22"/>
          <w:u w:val="single" w:color="auto"/>
          <w:color w:val="auto"/>
        </w:rPr>
        <w:t>Cure Perio</w:t>
      </w:r>
      <w:r>
        <w:rPr>
          <w:rFonts w:ascii="Times New Roman" w:cs="Times New Roman" w:eastAsia="Times New Roman" w:hAnsi="Times New Roman"/>
          <w:sz w:val="22"/>
          <w:szCs w:val="22"/>
          <w:color w:val="auto"/>
        </w:rPr>
        <w:t>d”), and (C) Executive’s resignation based on such Good Reason is effective within thirty days after the expiration of the Cure Period.</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Involuntary Termination</w:t>
      </w:r>
      <w:r>
        <w:rPr>
          <w:rFonts w:ascii="Times New Roman" w:cs="Times New Roman" w:eastAsia="Times New Roman" w:hAnsi="Times New Roman"/>
          <w:sz w:val="22"/>
          <w:szCs w:val="22"/>
          <w:color w:val="auto"/>
        </w:rPr>
        <w:t>” shall mean Executive’s termination (i) by the Company without Cause, (ii) by the Executive for Good Reason, (iii) due to death or (iv) due to Disability. In no event will Executive’s voluntary resignation without Good Reason be considered an Involuntary Termination.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corporation, limited liability corporation, partnership, or other business entity.</w:t>
      </w: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2"/>
          <w:szCs w:val="22"/>
          <w:b w:val="1"/>
          <w:bCs w:val="1"/>
          <w:color w:val="auto"/>
        </w:rPr>
        <w:t>APPENDIX II</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PROPRIETARY INFORMATION AGREEMENT</w:t>
      </w:r>
    </w:p>
    <w:p>
      <w:pPr>
        <w:spacing w:after="0" w:line="19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(Attached)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855345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333333"/>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333333"/>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760" w:hanging="378"/>
        <w:spacing w:after="0"/>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333-278068 and 333-287086) of Tyra Biosciences, Inc.,</w:t>
      </w:r>
    </w:p>
    <w:p>
      <w:pPr>
        <w:spacing w:after="0" w:line="252"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333-259560) pertaining to the Tyra Biosciences, Inc. 2020 Equity Incentive Plan, Tyra Biosciences, Inc. 2021 Incentive Award Plan, and the Tyra Biosciences, Inc. 2021 Employee Stock Purchase Plan of Tyra Biosciences, Inc., and</w:t>
      </w:r>
    </w:p>
    <w:p>
      <w:pPr>
        <w:spacing w:after="0" w:line="188"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333-278069) pertaining to the Tyra Biosciences, Inc. 2021 Incentive Award Plan and Tyra Biosciences, Inc. 2021 Employee Stock Purchase Plan of Tyra Biosciences, Inc.;</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of our report dated March 2, 2026, with respect to the financial statements of Tyra Biosciences, Inc., included in this Annual Report (Form 10-K) of Tyra Biosciences, Inc.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Harris, certify that:</w:t>
      </w:r>
    </w:p>
    <w:p>
      <w:pPr>
        <w:spacing w:after="0" w:line="225" w:lineRule="exact"/>
        <w:rPr>
          <w:sz w:val="20"/>
          <w:szCs w:val="20"/>
          <w:color w:val="auto"/>
        </w:rPr>
      </w:pPr>
    </w:p>
    <w:p>
      <w:pPr>
        <w:ind w:left="520" w:hanging="512"/>
        <w:spacing w:after="0"/>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Tyra Biosciences,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March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Todd Harris, Ph.D.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Fuhrman, certify that:</w:t>
      </w:r>
    </w:p>
    <w:p>
      <w:pPr>
        <w:spacing w:after="0" w:line="225"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Tyra Biosciences,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March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Alan Fuhrman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Alan Fuhrman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Tyra Biosciences, Inc.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March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Todd Harris, Ph.D.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Tyra Biosciences, Inc.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March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Alan Fuhrman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Alan Fuhrman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4" w:name="page165"/>
    <w:bookmarkEnd w:id="1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1)"/>
      <w:numFmt w:val="lowerLetter"/>
      <w:start w:val="2"/>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o"/>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o"/>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1)"/>
      <w:numFmt w:val="lowerRoman"/>
      <w:start w:val="2"/>
    </w:lvl>
  </w:abstractNum>
  <w:abstractNum w:abstractNumId="54">
    <w:nsid w:val="1EBA5D23"/>
    <w:multiLevelType w:val="hybridMultilevel"/>
    <w:lvl w:ilvl="0">
      <w:lvlJc w:val="left"/>
      <w:lvlText w:val="%1."/>
      <w:numFmt w:val="decimal"/>
      <w:start w:val="3"/>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1."/>
      <w:numFmt w:val="decimal"/>
      <w:start w:val="2"/>
    </w:lvl>
  </w:abstractNum>
  <w:abstractNum w:abstractNumId="62">
    <w:nsid w:val="11447B73"/>
    <w:multiLevelType w:val="hybridMultilevel"/>
    <w:lvl w:ilvl="0">
      <w:lvlJc w:val="left"/>
      <w:lvlText w:val="%1."/>
      <w:numFmt w:val="decimal"/>
      <w:start w:val="3"/>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1."/>
      <w:numFmt w:val="decimal"/>
      <w:start w:val="1"/>
    </w:lvl>
    <w:lvl w:ilvl="1">
      <w:lvlJc w:val="left"/>
      <w:lvlText w:val="(%2)"/>
      <w:numFmt w:val="lowerLetter"/>
      <w:start w:val="1"/>
    </w:lvl>
  </w:abstractNum>
  <w:abstractNum w:abstractNumId="65">
    <w:nsid w:val="8F2B15E"/>
    <w:multiLevelType w:val="hybridMultilevel"/>
    <w:lvl w:ilvl="0">
      <w:lvlJc w:val="left"/>
      <w:lvlText w:val="%1."/>
      <w:numFmt w:val="decimal"/>
      <w:start w:val="2"/>
    </w:lvl>
    <w:lvl w:ilvl="1">
      <w:lvlJc w:val="left"/>
      <w:lvlText w:val="(%2)"/>
      <w:numFmt w:val="lowerLetter"/>
      <w:start w:val="1"/>
    </w:lvl>
  </w:abstractNum>
  <w:abstractNum w:abstractNumId="66">
    <w:nsid w:val="1A32234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7">
    <w:nsid w:val="3B0FD37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8">
    <w:nsid w:val="68EB2F63"/>
    <w:multiLevelType w:val="hybridMultilevel"/>
    <w:lvl w:ilvl="0">
      <w:lvlJc w:val="left"/>
      <w:lvlText w:val="%1"/>
      <w:numFmt w:val="decimal"/>
      <w:start w:val="1"/>
    </w:lvl>
    <w:lvl w:ilvl="1">
      <w:lvlJc w:val="left"/>
      <w:lvlText w:val="(%2)"/>
      <w:numFmt w:val="lowerLetter"/>
      <w:start w:val="2"/>
    </w:lvl>
  </w:abstractNum>
  <w:abstractNum w:abstractNumId="69">
    <w:nsid w:val="4962813B"/>
    <w:multiLevelType w:val="hybridMultilevel"/>
    <w:lvl w:ilvl="0">
      <w:lvlJc w:val="left"/>
      <w:lvlText w:val="%1."/>
      <w:numFmt w:val="decimal"/>
      <w:start w:val="6"/>
    </w:lvl>
    <w:lvl w:ilvl="1">
      <w:lvlJc w:val="left"/>
      <w:lvlText w:val="(%2)"/>
      <w:numFmt w:val="lowerLetter"/>
      <w:start w:val="1"/>
    </w:lvl>
  </w:abstractNum>
  <w:abstractNum w:abstractNumId="70">
    <w:nsid w:val="60B6DF70"/>
    <w:multiLevelType w:val="hybridMultilevel"/>
    <w:lvl w:ilvl="0">
      <w:lvlJc w:val="left"/>
      <w:lvlText w:val="(%1)"/>
      <w:numFmt w:val="lowerLetter"/>
      <w:start w:val="3"/>
    </w:lvl>
    <w:lvl w:ilvl="1">
      <w:lvlJc w:val="left"/>
      <w:lvlText w:val="(%2)"/>
      <w:numFmt w:val="lowerRoman"/>
      <w:start w:val="1"/>
    </w:lvl>
  </w:abstractNum>
  <w:abstractNum w:abstractNumId="71">
    <w:nsid w:val="6A5EE64"/>
    <w:multiLevelType w:val="hybridMultilevel"/>
    <w:lvl w:ilvl="0">
      <w:lvlJc w:val="left"/>
      <w:lvlText w:val="(%1)"/>
      <w:numFmt w:val="lowerLetter"/>
      <w:start w:val="4"/>
    </w:lvl>
    <w:lvl w:ilvl="1">
      <w:lvlJc w:val="left"/>
      <w:lvlText w:val="(%2)"/>
      <w:numFmt w:val="lowerRoman"/>
      <w:start w:val="1"/>
    </w:lvl>
  </w:abstractNum>
  <w:abstractNum w:abstractNumId="72">
    <w:nsid w:val="1433062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73">
    <w:nsid w:val="7FFFCA1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74">
    <w:nsid w:val="1A27709E"/>
    <w:multiLevelType w:val="hybridMultilevel"/>
    <w:lvl w:ilvl="0">
      <w:lvlJc w:val="left"/>
      <w:lvlText w:val="%1."/>
      <w:numFmt w:val="decimal"/>
      <w:start w:val="8"/>
    </w:lvl>
    <w:lvl w:ilvl="1">
      <w:lvlJc w:val="left"/>
      <w:lvlText w:val="(%2)"/>
      <w:numFmt w:val="lowerLetter"/>
      <w:start w:val="1"/>
    </w:lvl>
  </w:abstractNum>
  <w:abstractNum w:abstractNumId="75">
    <w:nsid w:val="71EA1109"/>
    <w:multiLevelType w:val="hybridMultilevel"/>
    <w:lvl w:ilvl="0">
      <w:lvlJc w:val="left"/>
      <w:lvlText w:val="(%1)"/>
      <w:numFmt w:val="upperLetter"/>
      <w:start w:val="2"/>
    </w:lvl>
    <w:lvl w:ilvl="1">
      <w:lvlJc w:val="left"/>
      <w:lvlText w:val="%2."/>
      <w:numFmt w:val="decimal"/>
      <w:start w:val="9"/>
    </w:lvl>
    <w:lvl w:ilvl="2">
      <w:lvlJc w:val="left"/>
      <w:lvlText w:val="(%3)"/>
      <w:numFmt w:val="lowerLetter"/>
      <w:start w:val="1"/>
    </w:lvl>
  </w:abstractNum>
  <w:abstractNum w:abstractNumId="76">
    <w:nsid w:val="100F59DC"/>
    <w:multiLevelType w:val="hybridMultilevel"/>
    <w:lvl w:ilvl="0">
      <w:lvlJc w:val="left"/>
      <w:lvlText w:val="(%1)"/>
      <w:numFmt w:val="lowerLetter"/>
      <w:start w:val="2"/>
    </w:lvl>
  </w:abstractNum>
  <w:abstractNum w:abstractNumId="77">
    <w:nsid w:val="7FB7E0AA"/>
    <w:multiLevelType w:val="hybridMultilevel"/>
    <w:lvl w:ilvl="0">
      <w:lvlJc w:val="left"/>
      <w:lvlText w:val="(%1)"/>
      <w:numFmt w:val="lowerLetter"/>
      <w:start w:val="1"/>
    </w:lvl>
  </w:abstractNum>
  <w:abstractNum w:abstractNumId="78">
    <w:nsid w:val="6EB5BD4"/>
    <w:multiLevelType w:val="hybridMultilevel"/>
    <w:lvl w:ilvl="0">
      <w:lvlJc w:val="left"/>
      <w:lvlText w:val="(%1)"/>
      <w:numFmt w:val="lowerLetter"/>
      <w:start w:val="2"/>
    </w:lvl>
  </w:abstractNum>
  <w:abstractNum w:abstractNumId="79">
    <w:nsid w:val="6F6DD9AC"/>
    <w:multiLevelType w:val="hybridMultilevel"/>
    <w:lvl w:ilvl="0">
      <w:lvlJc w:val="left"/>
      <w:lvlText w:val="(%1)"/>
      <w:numFmt w:val="lowerLetter"/>
      <w:start w:val="1"/>
    </w:lvl>
  </w:abstractNum>
  <w:abstractNum w:abstractNumId="80">
    <w:nsid w:val="94211F2"/>
    <w:multiLevelType w:val="hybridMultilevel"/>
    <w:lvl w:ilvl="0">
      <w:lvlJc w:val="left"/>
      <w:lvlText w:val="%1"/>
      <w:numFmt w:val="lowerLetter"/>
      <w:start w:val="1"/>
    </w:lvl>
    <w:lvl w:ilvl="1">
      <w:lvlJc w:val="left"/>
      <w:lvlText w:val="(%2)"/>
      <w:numFmt w:val="lowerLetter"/>
      <w:start w:val="2"/>
    </w:lvl>
  </w:abstractNum>
  <w:abstractNum w:abstractNumId="81">
    <w:nsid w:val="885E1B"/>
    <w:multiLevelType w:val="hybridMultilevel"/>
    <w:lvl w:ilvl="0">
      <w:lvlJc w:val="left"/>
      <w:lvlText w:val="(%1)"/>
      <w:numFmt w:val="lowerLetter"/>
      <w:start w:val="9"/>
    </w:lvl>
    <w:lvl w:ilvl="1">
      <w:lvlJc w:val="left"/>
      <w:lvlText w:val="%2"/>
      <w:numFmt w:val="lowerLetter"/>
      <w:start w:val="1"/>
    </w:lvl>
  </w:abstractNum>
  <w:abstractNum w:abstractNumId="82">
    <w:nsid w:val="76272110"/>
    <w:multiLevelType w:val="hybridMultilevel"/>
    <w:lvl w:ilvl="0">
      <w:lvlJc w:val="left"/>
      <w:lvlText w:val="(%1)"/>
      <w:numFmt w:val="lowerLetter"/>
      <w:start w:val="7"/>
    </w:lvl>
  </w:abstractNum>
  <w:abstractNum w:abstractNumId="83">
    <w:nsid w:val="4C04A8AF"/>
    <w:multiLevelType w:val="hybridMultilevel"/>
    <w:lvl w:ilvl="0">
      <w:lvlJc w:val="left"/>
      <w:lvlText w:val="(%1)"/>
      <w:numFmt w:val="lowerLetter"/>
      <w:start w:val="8"/>
    </w:lvl>
  </w:abstractNum>
  <w:abstractNum w:abstractNumId="84">
    <w:nsid w:val="1716703B"/>
    <w:multiLevelType w:val="hybridMultilevel"/>
    <w:lvl w:ilvl="0">
      <w:lvlJc w:val="left"/>
      <w:lvlText w:val="(%1)"/>
      <w:numFmt w:val="lowerRoman"/>
      <w:start w:val="1"/>
    </w:lvl>
  </w:abstractNum>
  <w:abstractNum w:abstractNumId="85">
    <w:nsid w:val="14E17E33"/>
    <w:multiLevelType w:val="hybridMultilevel"/>
    <w:lvl w:ilvl="0">
      <w:lvlJc w:val="left"/>
      <w:lvlText w:val="(%1)"/>
      <w:numFmt w:val="lowerRoman"/>
      <w:start w:val="5"/>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46" Type="http://schemas.openxmlformats.org/officeDocument/2006/relationships/image" Target="media/image317.png"/><Relationship Id="rId353" Type="http://schemas.openxmlformats.org/officeDocument/2006/relationships/image" Target="media/image318.png"/><Relationship Id="rId354" Type="http://schemas.openxmlformats.org/officeDocument/2006/relationships/image" Target="media/image319.png"/><Relationship Id="rId355" Type="http://schemas.openxmlformats.org/officeDocument/2006/relationships/image" Target="media/image320.png"/><Relationship Id="rId356" Type="http://schemas.openxmlformats.org/officeDocument/2006/relationships/image" Target="media/image321.png"/><Relationship Id="rId357" Type="http://schemas.openxmlformats.org/officeDocument/2006/relationships/image" Target="media/image322.png"/><Relationship Id="rId358" Type="http://schemas.openxmlformats.org/officeDocument/2006/relationships/image" Target="media/image323.png"/><Relationship Id="rId359" Type="http://schemas.openxmlformats.org/officeDocument/2006/relationships/image" Target="media/image324.png"/><Relationship Id="rId360" Type="http://schemas.openxmlformats.org/officeDocument/2006/relationships/image" Target="media/image325.png"/><Relationship Id="rId361" Type="http://schemas.openxmlformats.org/officeDocument/2006/relationships/image" Target="media/image326.png"/><Relationship Id="rId362" Type="http://schemas.openxmlformats.org/officeDocument/2006/relationships/image" Target="media/image327.png"/><Relationship Id="rId363" Type="http://schemas.openxmlformats.org/officeDocument/2006/relationships/image" Target="media/image328.png"/><Relationship Id="rId364" Type="http://schemas.openxmlformats.org/officeDocument/2006/relationships/image" Target="media/image329.png"/><Relationship Id="rId365" Type="http://schemas.openxmlformats.org/officeDocument/2006/relationships/image" Target="media/image330.png"/><Relationship Id="rId366" Type="http://schemas.openxmlformats.org/officeDocument/2006/relationships/image" Target="media/image331.png"/><Relationship Id="rId367" Type="http://schemas.openxmlformats.org/officeDocument/2006/relationships/image" Target="media/image332.png"/><Relationship Id="rId368" Type="http://schemas.openxmlformats.org/officeDocument/2006/relationships/image" Target="media/image333.png"/><Relationship Id="rId369" Type="http://schemas.openxmlformats.org/officeDocument/2006/relationships/image" Target="media/image334.png"/><Relationship Id="rId370" Type="http://schemas.openxmlformats.org/officeDocument/2006/relationships/image" Target="media/image335.png"/><Relationship Id="rId371" Type="http://schemas.openxmlformats.org/officeDocument/2006/relationships/image" Target="media/image336.png"/><Relationship Id="rId372" Type="http://schemas.openxmlformats.org/officeDocument/2006/relationships/image" Target="media/image337.png"/><Relationship Id="rId373" Type="http://schemas.openxmlformats.org/officeDocument/2006/relationships/image" Target="media/image338.png"/><Relationship Id="rId374" Type="http://schemas.openxmlformats.org/officeDocument/2006/relationships/image" Target="media/image339.png"/><Relationship Id="rId375" Type="http://schemas.openxmlformats.org/officeDocument/2006/relationships/image" Target="media/image340.png"/><Relationship Id="rId376" Type="http://schemas.openxmlformats.org/officeDocument/2006/relationships/image" Target="media/image341.png"/><Relationship Id="rId377" Type="http://schemas.openxmlformats.org/officeDocument/2006/relationships/image" Target="media/image342.png"/><Relationship Id="rId378" Type="http://schemas.openxmlformats.org/officeDocument/2006/relationships/image" Target="media/image343.png"/><Relationship Id="rId379" Type="http://schemas.openxmlformats.org/officeDocument/2006/relationships/image" Target="media/image344.png"/><Relationship Id="rId380" Type="http://schemas.openxmlformats.org/officeDocument/2006/relationships/image" Target="media/image345.png"/><Relationship Id="rId381" Type="http://schemas.openxmlformats.org/officeDocument/2006/relationships/image" Target="media/image346.png"/><Relationship Id="rId382" Type="http://schemas.openxmlformats.org/officeDocument/2006/relationships/image" Target="media/image347.png"/><Relationship Id="rId383" Type="http://schemas.openxmlformats.org/officeDocument/2006/relationships/image" Target="media/image348.png"/><Relationship Id="rId384" Type="http://schemas.openxmlformats.org/officeDocument/2006/relationships/image" Target="media/image349.png"/><Relationship Id="rId385" Type="http://schemas.openxmlformats.org/officeDocument/2006/relationships/image" Target="media/image350.png"/><Relationship Id="rId386" Type="http://schemas.openxmlformats.org/officeDocument/2006/relationships/image" Target="media/image351.png"/><Relationship Id="rId387" Type="http://schemas.openxmlformats.org/officeDocument/2006/relationships/image" Target="media/image352.png"/><Relationship Id="rId388" Type="http://schemas.openxmlformats.org/officeDocument/2006/relationships/image" Target="media/image353.png"/><Relationship Id="rId389" Type="http://schemas.openxmlformats.org/officeDocument/2006/relationships/image" Target="media/image354.png"/><Relationship Id="rId390" Type="http://schemas.openxmlformats.org/officeDocument/2006/relationships/image" Target="media/image355.png"/><Relationship Id="rId391" Type="http://schemas.openxmlformats.org/officeDocument/2006/relationships/image" Target="media/image356.png"/><Relationship Id="rId324" Type="http://schemas.openxmlformats.org/officeDocument/2006/relationships/hyperlink" Target="https://www.sec.gov/Archives/edgar/data/1863127/000095017023009181/tyra-ex3_1.htm" TargetMode="External"/><Relationship Id="rId325" Type="http://schemas.openxmlformats.org/officeDocument/2006/relationships/hyperlink" Target="https://www.sec.gov/Archives/edgar/data/1863127/000119312524151705/d807421dex31.htm" TargetMode="External"/><Relationship Id="rId326" Type="http://schemas.openxmlformats.org/officeDocument/2006/relationships/hyperlink" Target="https://www.sec.gov/Archives/edgar/data/1863127/000119312523264152/d537796dex31.htm" TargetMode="External"/><Relationship Id="rId327" Type="http://schemas.openxmlformats.org/officeDocument/2006/relationships/hyperlink" Target="https://www.sec.gov/Archives/edgar/data/1863127/000119312521252729/d189651dex41.htm" TargetMode="External"/><Relationship Id="rId328" Type="http://schemas.openxmlformats.org/officeDocument/2006/relationships/hyperlink" Target="https://www.sec.gov/Archives/edgar/data/1863127/000119312521268272/d189651dex42.htm" TargetMode="External"/><Relationship Id="rId329" Type="http://schemas.openxmlformats.org/officeDocument/2006/relationships/hyperlink" Target="https://www.sec.gov/Archives/edgar/data/1863127/000095017022002814/tyra-ex4_3.htm" TargetMode="External"/><Relationship Id="rId330" Type="http://schemas.openxmlformats.org/officeDocument/2006/relationships/hyperlink" Target="https://www.sec.gov/Archives/edgar/data/1863127/000119312524023367/d620082dex41.htm" TargetMode="External"/><Relationship Id="rId331" Type="http://schemas.openxmlformats.org/officeDocument/2006/relationships/hyperlink" Target="https://www.sec.gov/Archives/edgar/data/1863127/000119312524239650/d814860dex41.htm" TargetMode="External"/><Relationship Id="rId332" Type="http://schemas.openxmlformats.org/officeDocument/2006/relationships/hyperlink" Target="https://www.sec.gov/Archives/edgar/data/0001863127/000119312521252729/d189651dex101.htm" TargetMode="External"/><Relationship Id="rId333" Type="http://schemas.openxmlformats.org/officeDocument/2006/relationships/hyperlink" Target="https://www.sec.gov/Archives/edgar/data/1863127/000119312521268272/d189651dex102.htm" TargetMode="External"/><Relationship Id="rId334" Type="http://schemas.openxmlformats.org/officeDocument/2006/relationships/hyperlink" Target="https://www.sec.gov/Archives/edgar/data/1863127/000119312521268272/d189651dex103.htm" TargetMode="External"/><Relationship Id="rId335" Type="http://schemas.openxmlformats.org/officeDocument/2006/relationships/hyperlink" Target="https://www.sec.gov/Archives/edgar/data/1863127/000095017025108899/tyra-ex10_1.htm" TargetMode="External"/><Relationship Id="rId336" Type="http://schemas.openxmlformats.org/officeDocument/2006/relationships/hyperlink" Target="https://www.sec.gov/Archives/edgar/data/1863127/000095017023009181/tyra-ex10_5.htm" TargetMode="External"/><Relationship Id="rId337" Type="http://schemas.openxmlformats.org/officeDocument/2006/relationships/hyperlink" Target="https://www.sec.gov/Archives/edgar/data/1863127/000119312521252729/d189651dex1012.htm" TargetMode="External"/><Relationship Id="rId338" Type="http://schemas.openxmlformats.org/officeDocument/2006/relationships/hyperlink" Target="https://www.sec.gov/Archives/edgar/data/1863127/000119312521252729/d189651dex1013.htm" TargetMode="External"/><Relationship Id="rId339" Type="http://schemas.openxmlformats.org/officeDocument/2006/relationships/hyperlink" Target="https://www.sec.gov/Archives/edgar/data/1863127/000095017023009181/tyra-ex10_14.htm" TargetMode="External"/><Relationship Id="rId340" Type="http://schemas.openxmlformats.org/officeDocument/2006/relationships/hyperlink" Target="https://www.sec.gov/Archives/edgar/data/1863127/000095017024123346/tyra-ex10_2.htm" TargetMode="External"/><Relationship Id="rId341" Type="http://schemas.openxmlformats.org/officeDocument/2006/relationships/hyperlink" Target="https://www.sec.gov/Archives/edgar/data/1863127/000119312521252729/d189651dex1020.htm" TargetMode="External"/><Relationship Id="rId342" Type="http://schemas.openxmlformats.org/officeDocument/2006/relationships/hyperlink" Target="https://www.sec.gov/Archives/edgar/data/0001863127/000119312521252729/d189651dex1019.htm" TargetMode="External"/><Relationship Id="rId343" Type="http://schemas.openxmlformats.org/officeDocument/2006/relationships/hyperlink" Target="https://www.sec.gov/Archives/edgar/data/1863127/000095017022002814/tyra-ex10_14.htm" TargetMode="External"/><Relationship Id="rId344" Type="http://schemas.openxmlformats.org/officeDocument/2006/relationships/hyperlink" Target="https://www.sec.gov/Archives/edgar/data/1863127/000095017023009181/tyra-ex10_19.htm" TargetMode="External"/><Relationship Id="rId345" Type="http://schemas.openxmlformats.org/officeDocument/2006/relationships/hyperlink" Target="https://www.sec.gov/Archives/edgar/data/1863127/000095017022002814/tyra-ex10_15.htm" TargetMode="External"/><Relationship Id="rId347" Type="http://schemas.openxmlformats.org/officeDocument/2006/relationships/hyperlink" Target="https://www.sec.gov/Archives/edgar/data/1863127/000095017023009181/tyra-ex10_21.htm" TargetMode="External"/><Relationship Id="rId348" Type="http://schemas.openxmlformats.org/officeDocument/2006/relationships/hyperlink" Target="https://www.sec.gov/Archives/edgar/data/1863127/000095017023009181/tyra-ex10_22.htm" TargetMode="External"/><Relationship Id="rId349" Type="http://schemas.openxmlformats.org/officeDocument/2006/relationships/hyperlink" Target="https://www.sec.gov/Archives/edgar/data/1863127/000095017024033461/tyra-ex10_23.htm" TargetMode="External"/><Relationship Id="rId350" Type="http://schemas.openxmlformats.org/officeDocument/2006/relationships/hyperlink" Target="https://www.sec.gov/Archives/edgar/data/1863127/000119312525116008/d932226dex12.htm" TargetMode="External"/><Relationship Id="rId351" Type="http://schemas.openxmlformats.org/officeDocument/2006/relationships/hyperlink" Target="https://www.sec.gov/Archives/edgar/data/1863127/000095017025046124/tyra-ex19_1.htm" TargetMode="External"/><Relationship Id="rId352" Type="http://schemas.openxmlformats.org/officeDocument/2006/relationships/hyperlink" Target="https://www.sec.gov/Archives/edgar/data/1863127/000095017024033461/tyr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2026-03-02T15:49:36Z</dcterms:created>
  <dcterms:modified xsi:type="dcterms:W3CDTF">2026-03-02T15:49:36Z</dcterms:modified>
</cp:coreProperties>
</file>