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1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480" w:right="1600" w:hanging="3459"/>
        <w:spacing w:after="0" w:line="313"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TYRA BIOSCIENCES, INC.</w:t>
      </w:r>
    </w:p>
    <w:p>
      <w:pPr>
        <w:sectPr>
          <w:pgSz w:w="11900" w:h="16838" w:orient="portrait"/>
          <w:cols w:equalWidth="0" w:num="1">
            <w:col w:w="11240"/>
          </w:cols>
          <w:pgMar w:left="320" w:top="544"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83-1476348</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700" w:space="240"/>
            <w:col w:w="3300"/>
          </w:cols>
          <w:pgMar w:left="320" w:top="544"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7"/>
        </w:trPr>
        <w:tc>
          <w:tcPr>
            <w:tcW w:w="4220" w:type="dxa"/>
            <w:vAlign w:val="bottom"/>
          </w:tcPr>
          <w:p>
            <w:pPr>
              <w:jc w:val="center"/>
              <w:ind w:right="2079"/>
              <w:spacing w:after="0" w:line="188" w:lineRule="exact"/>
              <w:rPr>
                <w:sz w:val="20"/>
                <w:szCs w:val="20"/>
                <w:color w:val="auto"/>
              </w:rPr>
            </w:pPr>
            <w:r>
              <w:rPr>
                <w:rFonts w:ascii="Arial" w:cs="Arial" w:eastAsia="Arial" w:hAnsi="Arial"/>
                <w:sz w:val="18"/>
                <w:szCs w:val="18"/>
                <w:b w:val="1"/>
                <w:bCs w:val="1"/>
                <w:color w:val="auto"/>
                <w:w w:val="89"/>
              </w:rPr>
              <w:t>2656 State Street</w:t>
            </w:r>
          </w:p>
        </w:tc>
        <w:tc>
          <w:tcPr>
            <w:tcW w:w="2720" w:type="dxa"/>
            <w:vAlign w:val="bottom"/>
          </w:tcPr>
          <w:p>
            <w:pPr>
              <w:spacing w:after="0"/>
              <w:rPr>
                <w:sz w:val="16"/>
                <w:szCs w:val="16"/>
                <w:color w:val="auto"/>
              </w:rPr>
            </w:pPr>
          </w:p>
        </w:tc>
      </w:tr>
      <w:tr>
        <w:trPr>
          <w:trHeight w:val="216"/>
        </w:trPr>
        <w:tc>
          <w:tcPr>
            <w:tcW w:w="4220" w:type="dxa"/>
            <w:vAlign w:val="bottom"/>
          </w:tcPr>
          <w:p>
            <w:pPr>
              <w:jc w:val="center"/>
              <w:ind w:right="2059"/>
              <w:spacing w:after="0"/>
              <w:rPr>
                <w:sz w:val="20"/>
                <w:szCs w:val="20"/>
                <w:color w:val="auto"/>
              </w:rPr>
            </w:pPr>
            <w:r>
              <w:rPr>
                <w:rFonts w:ascii="Arial" w:cs="Arial" w:eastAsia="Arial" w:hAnsi="Arial"/>
                <w:sz w:val="18"/>
                <w:szCs w:val="18"/>
                <w:b w:val="1"/>
                <w:bCs w:val="1"/>
                <w:color w:val="auto"/>
                <w:w w:val="94"/>
              </w:rPr>
              <w:t>Carlsbad, California</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92008</w:t>
            </w:r>
          </w:p>
        </w:tc>
      </w:tr>
      <w:tr>
        <w:trPr>
          <w:trHeight w:val="164"/>
        </w:trPr>
        <w:tc>
          <w:tcPr>
            <w:tcW w:w="4220" w:type="dxa"/>
            <w:vAlign w:val="bottom"/>
          </w:tcPr>
          <w:p>
            <w:pPr>
              <w:jc w:val="center"/>
              <w:ind w:right="2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TYRA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32"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30, 2022, the registrant had 41,761,269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Balance Sheets</w:t>
              </w:r>
            </w:hyperlink>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7"/>
              </w:rPr>
            </w:pPr>
            <w:hyperlink w:anchor="page4">
              <w:r>
                <w:rPr>
                  <w:rFonts w:ascii="Arial" w:cs="Arial" w:eastAsia="Arial" w:hAnsi="Arial"/>
                  <w:sz w:val="18"/>
                  <w:szCs w:val="18"/>
                  <w:color w:val="0000FF"/>
                  <w:w w:val="97"/>
                </w:rPr>
                <w:t>Statements of</w:t>
              </w:r>
            </w:hyperlink>
          </w:p>
        </w:tc>
        <w:tc>
          <w:tcPr>
            <w:tcW w:w="20" w:type="dxa"/>
            <w:vAlign w:val="bottom"/>
            <w:tcBorders>
              <w:top w:val="single" w:sz="8" w:color="0000EE"/>
              <w:bottom w:val="single" w:sz="8" w:color="0000FF"/>
            </w:tcBorders>
          </w:tcPr>
          <w:p>
            <w:pPr>
              <w:spacing w:after="0"/>
              <w:rPr>
                <w:sz w:val="14"/>
                <w:szCs w:val="14"/>
                <w:color w:val="auto"/>
              </w:rPr>
            </w:pPr>
          </w:p>
        </w:tc>
        <w:tc>
          <w:tcPr>
            <w:tcW w:w="2580" w:type="dxa"/>
            <w:vAlign w:val="bottom"/>
            <w:tcBorders>
              <w:bottom w:val="single" w:sz="8" w:color="0000FF"/>
            </w:tcBorders>
            <w:gridSpan w:val="11"/>
          </w:tcPr>
          <w:p>
            <w:pPr>
              <w:spacing w:after="0" w:line="169"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Operations and Comprehensive Loss</w:t>
              </w:r>
            </w:hyperlink>
          </w:p>
        </w:tc>
        <w:tc>
          <w:tcPr>
            <w:tcW w:w="560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Statements of Convertible Preferred Stock and Stockholders' Equity (Deficit)</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Statements of Cash Flows</w:t>
              </w:r>
            </w:hyperlink>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Notes to Financial Statements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2160" w:type="dxa"/>
            <w:vAlign w:val="bottom"/>
            <w:tcBorders>
              <w:top w:val="single" w:sz="8" w:color="0000FF"/>
            </w:tcBorders>
            <w:gridSpan w:val="12"/>
          </w:tcPr>
          <w:p>
            <w:pPr>
              <w:spacing w:after="0" w:line="169" w:lineRule="exact"/>
              <w:rPr>
                <w:rFonts w:ascii="Arial" w:cs="Arial" w:eastAsia="Arial" w:hAnsi="Arial"/>
                <w:sz w:val="18"/>
                <w:szCs w:val="18"/>
                <w:color w:val="0000FF"/>
                <w:w w:val="87"/>
              </w:rPr>
            </w:pPr>
            <w:hyperlink w:anchor="page14">
              <w:r>
                <w:rPr>
                  <w:rFonts w:ascii="Arial" w:cs="Arial" w:eastAsia="Arial" w:hAnsi="Arial"/>
                  <w:sz w:val="18"/>
                  <w:szCs w:val="18"/>
                  <w:color w:val="0000FF"/>
                  <w:w w:val="87"/>
                </w:rPr>
                <w:t>Management’s Discussion and</w:t>
              </w:r>
            </w:hyperlink>
          </w:p>
        </w:tc>
        <w:tc>
          <w:tcPr>
            <w:tcW w:w="20" w:type="dxa"/>
            <w:vAlign w:val="bottom"/>
            <w:tcBorders>
              <w:top w:val="single" w:sz="8" w:color="0000EE"/>
            </w:tcBorders>
          </w:tcPr>
          <w:p>
            <w:pPr>
              <w:spacing w:after="0"/>
              <w:rPr>
                <w:sz w:val="14"/>
                <w:szCs w:val="14"/>
                <w:color w:val="auto"/>
              </w:rPr>
            </w:pPr>
          </w:p>
        </w:tc>
        <w:tc>
          <w:tcPr>
            <w:tcW w:w="7120" w:type="dxa"/>
            <w:vAlign w:val="bottom"/>
            <w:gridSpan w:val="8"/>
          </w:tcPr>
          <w:p>
            <w:pPr>
              <w:ind w:left="80"/>
              <w:spacing w:after="0" w:line="169" w:lineRule="exact"/>
              <w:rPr>
                <w:rFonts w:ascii="Arial" w:cs="Arial" w:eastAsia="Arial" w:hAnsi="Arial"/>
                <w:sz w:val="18"/>
                <w:szCs w:val="18"/>
                <w:color w:val="0000FF"/>
              </w:rPr>
            </w:pPr>
            <w:hyperlink w:anchor="page14">
              <w:r>
                <w:rPr>
                  <w:rFonts w:ascii="Arial" w:cs="Arial" w:eastAsia="Arial" w:hAnsi="Arial"/>
                  <w:sz w:val="18"/>
                  <w:szCs w:val="18"/>
                  <w:color w:val="0000FF"/>
                </w:rPr>
                <w:t>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20">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88"/>
              </w:rPr>
            </w:pPr>
            <w:hyperlink w:anchor="page21">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8"/>
          </w:tcPr>
          <w:p>
            <w:pPr>
              <w:spacing w:after="0"/>
              <w:rPr>
                <w:sz w:val="14"/>
                <w:szCs w:val="14"/>
                <w:color w:val="auto"/>
              </w:rPr>
            </w:pPr>
          </w:p>
        </w:tc>
        <w:tc>
          <w:tcPr>
            <w:tcW w:w="492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10"/>
          </w:tcPr>
          <w:p>
            <w:pPr>
              <w:spacing w:after="0" w:line="169" w:lineRule="exact"/>
              <w:rPr>
                <w:rFonts w:ascii="Arial" w:cs="Arial" w:eastAsia="Arial" w:hAnsi="Arial"/>
                <w:sz w:val="18"/>
                <w:szCs w:val="18"/>
                <w:color w:val="0000FF"/>
                <w:w w:val="91"/>
              </w:rPr>
            </w:pPr>
            <w:hyperlink w:anchor="page22">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2020" w:type="dxa"/>
            <w:vAlign w:val="bottom"/>
            <w:gridSpan w:val="2"/>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11"/>
          </w:tcPr>
          <w:p>
            <w:pPr>
              <w:spacing w:after="0" w:line="169" w:lineRule="exact"/>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440" w:type="dxa"/>
            <w:vAlign w:val="bottom"/>
            <w:gridSpan w:val="4"/>
          </w:tcPr>
          <w:p>
            <w:pPr>
              <w:spacing w:after="0"/>
              <w:rPr>
                <w:sz w:val="14"/>
                <w:szCs w:val="14"/>
                <w:color w:val="auto"/>
              </w:rPr>
            </w:pPr>
          </w:p>
        </w:tc>
        <w:tc>
          <w:tcPr>
            <w:tcW w:w="2020" w:type="dxa"/>
            <w:vAlign w:val="bottom"/>
            <w:gridSpan w:val="2"/>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4"/>
          </w:tcPr>
          <w:p>
            <w:pPr>
              <w:spacing w:after="0"/>
              <w:rPr>
                <w:sz w:val="14"/>
                <w:szCs w:val="14"/>
                <w:color w:val="auto"/>
              </w:rPr>
            </w:pPr>
          </w:p>
        </w:tc>
        <w:tc>
          <w:tcPr>
            <w:tcW w:w="1000" w:type="dxa"/>
            <w:vAlign w:val="bottom"/>
            <w:gridSpan w:val="8"/>
          </w:tcPr>
          <w:p>
            <w:pPr>
              <w:spacing w:after="0"/>
              <w:rPr>
                <w:sz w:val="14"/>
                <w:szCs w:val="14"/>
                <w:color w:val="auto"/>
              </w:rPr>
            </w:pPr>
          </w:p>
        </w:tc>
        <w:tc>
          <w:tcPr>
            <w:tcW w:w="2020" w:type="dxa"/>
            <w:vAlign w:val="bottom"/>
            <w:gridSpan w:val="2"/>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6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Unregistered</w:t>
              </w:r>
            </w:hyperlink>
          </w:p>
        </w:tc>
        <w:tc>
          <w:tcPr>
            <w:tcW w:w="8360" w:type="dxa"/>
            <w:vAlign w:val="bottom"/>
            <w:gridSpan w:val="18"/>
          </w:tcPr>
          <w:p>
            <w:pPr>
              <w:ind w:left="40"/>
              <w:spacing w:after="0" w:line="169" w:lineRule="exact"/>
              <w:rPr>
                <w:rFonts w:ascii="Arial" w:cs="Arial" w:eastAsia="Arial" w:hAnsi="Arial"/>
                <w:sz w:val="18"/>
                <w:szCs w:val="18"/>
                <w:color w:val="0000FF"/>
              </w:rPr>
            </w:pPr>
            <w:hyperlink w:anchor="page22">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22">
              <w:r>
                <w:rPr>
                  <w:rFonts w:ascii="Arial" w:cs="Arial" w:eastAsia="Arial" w:hAnsi="Arial"/>
                  <w:sz w:val="18"/>
                  <w:szCs w:val="18"/>
                  <w:color w:val="0000FF"/>
                </w:rPr>
                <w:t>Defaults Upon Senior Securities</w:t>
              </w:r>
            </w:hyperlink>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22">
              <w:r>
                <w:rPr>
                  <w:rFonts w:ascii="Arial" w:cs="Arial" w:eastAsia="Arial" w:hAnsi="Arial"/>
                  <w:sz w:val="18"/>
                  <w:szCs w:val="18"/>
                  <w:color w:val="0000FF"/>
                </w:rPr>
                <w:t>Mine Safety Disclosures</w:t>
              </w:r>
            </w:hyperlink>
          </w:p>
        </w:tc>
        <w:tc>
          <w:tcPr>
            <w:tcW w:w="696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7520" w:type="dxa"/>
            <w:vAlign w:val="bottom"/>
            <w:gridSpan w:val="1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Exhibits</w:t>
              </w:r>
            </w:hyperlink>
          </w:p>
        </w:tc>
        <w:tc>
          <w:tcPr>
            <w:tcW w:w="7980" w:type="dxa"/>
            <w:vAlign w:val="bottom"/>
            <w:gridSpan w:val="1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24">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Tyra Biosciences, Inc.</w:t>
      </w:r>
    </w:p>
    <w:p>
      <w:pPr>
        <w:jc w:val="center"/>
        <w:ind w:right="40"/>
        <w:spacing w:after="0" w:line="234" w:lineRule="auto"/>
        <w:rPr>
          <w:sz w:val="20"/>
          <w:szCs w:val="20"/>
          <w:color w:val="auto"/>
        </w:rPr>
      </w:pPr>
      <w:r>
        <w:rPr>
          <w:rFonts w:ascii="Arial" w:cs="Arial" w:eastAsia="Arial" w:hAnsi="Arial"/>
          <w:sz w:val="18"/>
          <w:szCs w:val="18"/>
          <w:b w:val="1"/>
          <w:bCs w:val="1"/>
          <w:color w:val="auto"/>
        </w:rPr>
        <w:t>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par value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292,499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302,182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294,025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304,057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2,576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298,971</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306,701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Accounts payable (including related party amounts of $69 and $47,</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6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Lease liabilities, current</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2,815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4,901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3,616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liabilities, noncurrent</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7,787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2)</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color w:val="auto"/>
              </w:rPr>
              <w:t>Preferred stock, $0.0001 par value; 50,000,000 shares authorized at</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160"/>
              <w:spacing w:after="0" w:line="176" w:lineRule="exact"/>
              <w:rPr>
                <w:sz w:val="20"/>
                <w:szCs w:val="20"/>
                <w:color w:val="auto"/>
              </w:rPr>
            </w:pPr>
            <w:r>
              <w:rPr>
                <w:rFonts w:ascii="Arial" w:cs="Arial" w:eastAsia="Arial" w:hAnsi="Arial"/>
                <w:sz w:val="18"/>
                <w:szCs w:val="18"/>
                <w:color w:val="auto"/>
              </w:rPr>
              <w:t>March 31, 2022 and December 31, 2021, respectively;</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60"/>
              <w:spacing w:after="0" w:line="176" w:lineRule="exact"/>
              <w:rPr>
                <w:sz w:val="20"/>
                <w:szCs w:val="20"/>
                <w:color w:val="auto"/>
              </w:rPr>
            </w:pPr>
            <w:r>
              <w:rPr>
                <w:rFonts w:ascii="Arial" w:cs="Arial" w:eastAsia="Arial" w:hAnsi="Arial"/>
                <w:sz w:val="18"/>
                <w:szCs w:val="18"/>
                <w:color w:val="auto"/>
              </w:rPr>
              <w:t>no shares issued and outstanding at March 31, 2022 and</w:t>
            </w:r>
          </w:p>
        </w:tc>
        <w:tc>
          <w:tcPr>
            <w:tcW w:w="280" w:type="dxa"/>
            <w:vAlign w:val="bottom"/>
          </w:tcPr>
          <w:p>
            <w:pPr>
              <w:spacing w:after="0"/>
              <w:rPr>
                <w:sz w:val="15"/>
                <w:szCs w:val="15"/>
                <w:color w:val="auto"/>
              </w:rPr>
            </w:pPr>
          </w:p>
        </w:tc>
        <w:tc>
          <w:tcPr>
            <w:tcW w:w="16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6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$0.0001 par value; 500,000,000 shares authorized at</w:t>
            </w:r>
          </w:p>
        </w:tc>
        <w:tc>
          <w:tcPr>
            <w:tcW w:w="2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March 31, 2022 and December 31, 2021, respectively; 42,565,134</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and 42,536,183 shares issued at March 31, 2022 and December 31, 2021,</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respectively, and 41,696,564 and 41,441,135 shares outstanding at</w:t>
            </w:r>
          </w:p>
        </w:tc>
        <w:tc>
          <w:tcPr>
            <w:tcW w:w="28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March 31, 2022 and December 31, 2021, respectively</w:t>
            </w:r>
          </w:p>
        </w:tc>
        <w:tc>
          <w:tcPr>
            <w:tcW w:w="28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346,377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342,104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(55,197 )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(40,371 )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291,184</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301,737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298,971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306,701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-3296920</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-3296920</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-2379345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-2379345</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thousands, except share and per share data)</w:t>
      </w:r>
    </w:p>
    <w:p>
      <w:pPr>
        <w:spacing w:after="0" w:line="22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9,645</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General and administrative (including related party</w:t>
            </w:r>
          </w:p>
        </w:tc>
        <w:tc>
          <w:tcPr>
            <w:tcW w:w="40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5,189</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amounts of $210 and $0, respectively)</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14,834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(14,834</w:t>
            </w:r>
          </w:p>
        </w:tc>
        <w:tc>
          <w:tcPr>
            <w:tcW w:w="26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(4,211</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7"/>
                <w:szCs w:val="17"/>
                <w:color w:val="auto"/>
              </w:rPr>
            </w:pPr>
          </w:p>
        </w:tc>
        <w:tc>
          <w:tcPr>
            <w:tcW w:w="1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(10 )</w:t>
            </w:r>
          </w:p>
        </w:tc>
        <w:tc>
          <w:tcPr>
            <w:tcW w:w="3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(14,826 )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(4,209 )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(0.36</w:t>
            </w:r>
          </w:p>
        </w:tc>
        <w:tc>
          <w:tcPr>
            <w:tcW w:w="260" w:type="dxa"/>
            <w:vAlign w:val="bottom"/>
            <w:tcBorders>
              <w:bottom w:val="single" w:sz="8" w:color="CFF0FC"/>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(2.09</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3"/>
        </w:trPr>
        <w:tc>
          <w:tcPr>
            <w:tcW w:w="768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used to compute net loss</w:t>
            </w:r>
          </w:p>
        </w:tc>
        <w:tc>
          <w:tcPr>
            <w:tcW w:w="4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41,551,713</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2,009,370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60"/>
              <w:spacing w:after="0" w:line="156" w:lineRule="exact"/>
              <w:rPr>
                <w:sz w:val="20"/>
                <w:szCs w:val="20"/>
                <w:color w:val="auto"/>
              </w:rPr>
            </w:pPr>
            <w:r>
              <w:rPr>
                <w:rFonts w:ascii="Arial" w:cs="Arial" w:eastAsia="Arial" w:hAnsi="Arial"/>
                <w:sz w:val="18"/>
                <w:szCs w:val="18"/>
                <w:color w:val="auto"/>
              </w:rPr>
              <w:t>per share, basic and diluted</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-1367790</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-1367790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-553720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-553720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-248285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-264795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-248285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jc w:val="center"/>
        <w:ind w:right="20"/>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340" w:type="dxa"/>
            <w:vAlign w:val="bottom"/>
            <w:gridSpan w:val="3"/>
          </w:tcPr>
          <w:p>
            <w:pPr>
              <w:jc w:val="center"/>
              <w:ind w:left="637"/>
              <w:spacing w:after="0"/>
              <w:rPr>
                <w:sz w:val="20"/>
                <w:szCs w:val="20"/>
                <w:color w:val="auto"/>
              </w:rPr>
            </w:pPr>
            <w:r>
              <w:rPr>
                <w:rFonts w:ascii="Arial" w:cs="Arial" w:eastAsia="Arial" w:hAnsi="Arial"/>
                <w:sz w:val="13"/>
                <w:szCs w:val="13"/>
                <w:b w:val="1"/>
                <w:bCs w:val="1"/>
                <w:color w:val="auto"/>
                <w:w w:val="84"/>
              </w:rPr>
              <w:t>Series A</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left="617"/>
              <w:spacing w:after="0"/>
              <w:rPr>
                <w:sz w:val="20"/>
                <w:szCs w:val="20"/>
                <w:color w:val="auto"/>
              </w:rPr>
            </w:pPr>
            <w:r>
              <w:rPr>
                <w:rFonts w:ascii="Arial" w:cs="Arial" w:eastAsia="Arial" w:hAnsi="Arial"/>
                <w:sz w:val="13"/>
                <w:szCs w:val="13"/>
                <w:b w:val="1"/>
                <w:bCs w:val="1"/>
                <w:color w:val="auto"/>
                <w:w w:val="84"/>
              </w:rPr>
              <w:t>Series B</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340" w:type="dxa"/>
            <w:vAlign w:val="bottom"/>
            <w:gridSpan w:val="3"/>
          </w:tcPr>
          <w:p>
            <w:pPr>
              <w:jc w:val="center"/>
              <w:ind w:left="63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tcPr>
          <w:p>
            <w:pPr>
              <w:jc w:val="center"/>
              <w:ind w:left="61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20" w:type="dxa"/>
            <w:vAlign w:val="bottom"/>
            <w:shd w:val="clear" w:color="auto" w:fill="CFF0FC"/>
          </w:tcPr>
          <w:p>
            <w:pPr>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3,374,560</w:t>
            </w:r>
          </w:p>
        </w:tc>
        <w:tc>
          <w:tcPr>
            <w:tcW w:w="4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27,651</w:t>
            </w:r>
          </w:p>
        </w:tc>
        <w:tc>
          <w:tcPr>
            <w:tcW w:w="160" w:type="dxa"/>
            <w:vAlign w:val="bottom"/>
            <w:shd w:val="clear" w:color="auto" w:fill="CFF0FC"/>
          </w:tcPr>
          <w:p>
            <w:pPr>
              <w:spacing w:after="0"/>
              <w:rPr>
                <w:sz w:val="8"/>
                <w:szCs w:val="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1,829,377</w:t>
            </w:r>
          </w:p>
        </w:tc>
        <w:tc>
          <w:tcPr>
            <w:tcW w:w="840" w:type="dxa"/>
            <w:vAlign w:val="bottom"/>
            <w:gridSpan w:val="2"/>
            <w:vMerge w:val="restart"/>
            <w:shd w:val="clear" w:color="auto" w:fill="CFF0FC"/>
          </w:tcPr>
          <w:p>
            <w:pPr>
              <w:jc w:val="right"/>
              <w:ind w:right="577"/>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439</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(14,077 )</w:t>
            </w:r>
          </w:p>
        </w:tc>
        <w:tc>
          <w:tcPr>
            <w:tcW w:w="60" w:type="dxa"/>
            <w:vAlign w:val="bottom"/>
            <w:vMerge w:val="restart"/>
            <w:shd w:val="clear" w:color="auto" w:fill="CFF0FC"/>
          </w:tcPr>
          <w:p>
            <w:pPr>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(13,638 )</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2020</w:t>
            </w:r>
          </w:p>
        </w:tc>
        <w:tc>
          <w:tcPr>
            <w:tcW w:w="920" w:type="dxa"/>
            <w:vAlign w:val="bottom"/>
            <w:vMerge w:val="continue"/>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2"/>
                <w:szCs w:val="12"/>
                <w:color w:val="auto"/>
              </w:rPr>
              <w:t>Issuance of Series A</w:t>
            </w: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Arial" w:cs="Arial" w:eastAsia="Arial" w:hAnsi="Arial"/>
                <w:sz w:val="13"/>
                <w:szCs w:val="13"/>
                <w:color w:val="auto"/>
              </w:rPr>
              <w:t>convertible</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00"/>
              <w:spacing w:after="0" w:line="122" w:lineRule="exact"/>
              <w:rPr>
                <w:sz w:val="20"/>
                <w:szCs w:val="20"/>
                <w:color w:val="auto"/>
              </w:rPr>
            </w:pPr>
            <w:r>
              <w:rPr>
                <w:rFonts w:ascii="Arial" w:cs="Arial" w:eastAsia="Arial" w:hAnsi="Arial"/>
                <w:sz w:val="13"/>
                <w:szCs w:val="13"/>
                <w:color w:val="auto"/>
              </w:rPr>
              <w:t>preferred stock, net of</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Arial" w:cs="Arial" w:eastAsia="Arial" w:hAnsi="Arial"/>
                <w:sz w:val="13"/>
                <w:szCs w:val="13"/>
                <w:color w:val="auto"/>
              </w:rPr>
              <w:t>issuance</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2,848,486</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23,495</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620" w:type="dxa"/>
            <w:vAlign w:val="bottom"/>
          </w:tcPr>
          <w:p>
            <w:pPr>
              <w:ind w:left="100"/>
              <w:spacing w:after="0"/>
              <w:rPr>
                <w:sz w:val="20"/>
                <w:szCs w:val="20"/>
                <w:color w:val="auto"/>
              </w:rPr>
            </w:pPr>
            <w:r>
              <w:rPr>
                <w:rFonts w:ascii="Arial" w:cs="Arial" w:eastAsia="Arial" w:hAnsi="Arial"/>
                <w:sz w:val="13"/>
                <w:szCs w:val="13"/>
                <w:color w:val="auto"/>
              </w:rPr>
              <w:t>costs</w:t>
            </w: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Issuance of Series B</w:t>
            </w:r>
          </w:p>
        </w:tc>
        <w:tc>
          <w:tcPr>
            <w:tcW w:w="9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convertible</w:t>
            </w:r>
          </w:p>
        </w:tc>
        <w:tc>
          <w:tcPr>
            <w:tcW w:w="9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100"/>
              <w:spacing w:after="0" w:line="122" w:lineRule="exact"/>
              <w:rPr>
                <w:sz w:val="20"/>
                <w:szCs w:val="20"/>
                <w:color w:val="auto"/>
              </w:rPr>
            </w:pPr>
            <w:r>
              <w:rPr>
                <w:rFonts w:ascii="Arial" w:cs="Arial" w:eastAsia="Arial" w:hAnsi="Arial"/>
                <w:sz w:val="13"/>
                <w:szCs w:val="13"/>
                <w:color w:val="auto"/>
              </w:rPr>
              <w:t>preferred stock, net of</w:t>
            </w:r>
          </w:p>
        </w:tc>
        <w:tc>
          <w:tcPr>
            <w:tcW w:w="9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issuance</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3,874,793</w:t>
            </w: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106,128</w:t>
            </w:r>
          </w:p>
        </w:tc>
        <w:tc>
          <w:tcPr>
            <w:tcW w:w="16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costs</w:t>
            </w:r>
          </w:p>
        </w:tc>
        <w:tc>
          <w:tcPr>
            <w:tcW w:w="9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2"/>
                <w:szCs w:val="12"/>
                <w:color w:val="auto"/>
              </w:rPr>
              <w:t>Issuance of common stock</w:t>
            </w: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Arial" w:cs="Arial" w:eastAsia="Arial" w:hAnsi="Arial"/>
                <w:sz w:val="13"/>
                <w:szCs w:val="13"/>
                <w:color w:val="auto"/>
              </w:rPr>
              <w:t>under</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color w:val="auto"/>
              </w:rPr>
              <w:t>139,212</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100"/>
              <w:spacing w:after="0"/>
              <w:rPr>
                <w:sz w:val="20"/>
                <w:szCs w:val="20"/>
                <w:color w:val="auto"/>
              </w:rPr>
            </w:pPr>
            <w:r>
              <w:rPr>
                <w:rFonts w:ascii="Arial" w:cs="Arial" w:eastAsia="Arial" w:hAnsi="Arial"/>
                <w:sz w:val="13"/>
                <w:szCs w:val="13"/>
                <w:color w:val="auto"/>
              </w:rPr>
              <w:t>benefit plans</w:t>
            </w: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Vesting of shares of common</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234,239</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4"/>
              </w:rPr>
              <w:t>stock subject to repurchase</w:t>
            </w:r>
          </w:p>
        </w:tc>
        <w:tc>
          <w:tcPr>
            <w:tcW w:w="9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(4,209 )</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(4,209 )</w:t>
            </w:r>
          </w:p>
        </w:tc>
        <w:tc>
          <w:tcPr>
            <w:tcW w:w="0" w:type="dxa"/>
            <w:vAlign w:val="bottom"/>
          </w:tcPr>
          <w:p>
            <w:pPr>
              <w:spacing w:after="0"/>
              <w:rPr>
                <w:sz w:val="1"/>
                <w:szCs w:val="1"/>
                <w:color w:val="auto"/>
              </w:rPr>
            </w:pPr>
          </w:p>
        </w:tc>
      </w:tr>
      <w:tr>
        <w:trPr>
          <w:trHeight w:val="20"/>
        </w:trPr>
        <w:tc>
          <w:tcPr>
            <w:tcW w:w="16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Pr>
          <w:p>
            <w:pPr>
              <w:spacing w:after="0" w:line="142" w:lineRule="exact"/>
              <w:rPr>
                <w:sz w:val="20"/>
                <w:szCs w:val="20"/>
                <w:color w:val="auto"/>
              </w:rPr>
            </w:pPr>
            <w:r>
              <w:rPr>
                <w:rFonts w:ascii="Arial" w:cs="Arial" w:eastAsia="Arial" w:hAnsi="Arial"/>
                <w:sz w:val="13"/>
                <w:szCs w:val="13"/>
                <w:b w:val="1"/>
                <w:bCs w:val="1"/>
                <w:color w:val="auto"/>
                <w:w w:val="99"/>
              </w:rPr>
              <w:t>Balance at March 31, 2021</w:t>
            </w: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6,223,046</w:t>
            </w:r>
          </w:p>
        </w:tc>
        <w:tc>
          <w:tcPr>
            <w:tcW w:w="180" w:type="dxa"/>
            <w:vAlign w:val="bottom"/>
          </w:tcPr>
          <w:p>
            <w:pPr>
              <w:spacing w:after="0"/>
              <w:rPr>
                <w:sz w:val="12"/>
                <w:szCs w:val="12"/>
                <w:color w:val="auto"/>
              </w:rPr>
            </w:pPr>
          </w:p>
        </w:tc>
        <w:tc>
          <w:tcPr>
            <w:tcW w:w="240" w:type="dxa"/>
            <w:vAlign w:val="bottom"/>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51,146</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3,874,793</w:t>
            </w:r>
          </w:p>
        </w:tc>
        <w:tc>
          <w:tcPr>
            <w:tcW w:w="160" w:type="dxa"/>
            <w:vAlign w:val="bottom"/>
          </w:tcPr>
          <w:p>
            <w:pPr>
              <w:spacing w:after="0"/>
              <w:rPr>
                <w:sz w:val="12"/>
                <w:szCs w:val="12"/>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106,128</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2,202,828</w:t>
            </w:r>
          </w:p>
        </w:tc>
        <w:tc>
          <w:tcPr>
            <w:tcW w:w="120" w:type="dxa"/>
            <w:vAlign w:val="bottom"/>
          </w:tcPr>
          <w:p>
            <w:pPr>
              <w:spacing w:after="0"/>
              <w:rPr>
                <w:sz w:val="12"/>
                <w:szCs w:val="12"/>
                <w:color w:val="auto"/>
              </w:rPr>
            </w:pPr>
          </w:p>
        </w:tc>
        <w:tc>
          <w:tcPr>
            <w:tcW w:w="720" w:type="dxa"/>
            <w:vAlign w:val="bottom"/>
          </w:tcPr>
          <w:p>
            <w:pPr>
              <w:jc w:val="right"/>
              <w:ind w:right="577"/>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764</w:t>
            </w:r>
          </w:p>
        </w:tc>
        <w:tc>
          <w:tcPr>
            <w:tcW w:w="1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(18,286 )</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(17,522 )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1340" w:type="dxa"/>
            <w:vAlign w:val="bottom"/>
            <w:gridSpan w:val="3"/>
          </w:tcPr>
          <w:p>
            <w:pPr>
              <w:jc w:val="center"/>
              <w:ind w:left="637"/>
              <w:spacing w:after="0"/>
              <w:rPr>
                <w:sz w:val="20"/>
                <w:szCs w:val="20"/>
                <w:color w:val="auto"/>
              </w:rPr>
            </w:pPr>
            <w:r>
              <w:rPr>
                <w:rFonts w:ascii="Arial" w:cs="Arial" w:eastAsia="Arial" w:hAnsi="Arial"/>
                <w:sz w:val="13"/>
                <w:szCs w:val="13"/>
                <w:b w:val="1"/>
                <w:bCs w:val="1"/>
                <w:color w:val="auto"/>
                <w:w w:val="84"/>
              </w:rPr>
              <w:t>Series A</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center"/>
              <w:ind w:left="617"/>
              <w:spacing w:after="0"/>
              <w:rPr>
                <w:sz w:val="20"/>
                <w:szCs w:val="20"/>
                <w:color w:val="auto"/>
              </w:rPr>
            </w:pPr>
            <w:r>
              <w:rPr>
                <w:rFonts w:ascii="Arial" w:cs="Arial" w:eastAsia="Arial" w:hAnsi="Arial"/>
                <w:sz w:val="13"/>
                <w:szCs w:val="13"/>
                <w:b w:val="1"/>
                <w:bCs w:val="1"/>
                <w:color w:val="auto"/>
                <w:w w:val="84"/>
              </w:rPr>
              <w:t>Series B</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340" w:type="dxa"/>
            <w:vAlign w:val="bottom"/>
            <w:gridSpan w:val="3"/>
          </w:tcPr>
          <w:p>
            <w:pPr>
              <w:jc w:val="center"/>
              <w:ind w:left="63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tcPr>
          <w:p>
            <w:pPr>
              <w:jc w:val="center"/>
              <w:ind w:left="61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4"/>
                <w:szCs w:val="14"/>
                <w:color w:val="auto"/>
              </w:rPr>
            </w:pPr>
          </w:p>
        </w:tc>
        <w:tc>
          <w:tcPr>
            <w:tcW w:w="2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20" w:type="dxa"/>
            <w:vAlign w:val="bottom"/>
            <w:shd w:val="clear" w:color="auto" w:fill="CFF0FC"/>
          </w:tcPr>
          <w:p>
            <w:pPr>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8"/>
                <w:szCs w:val="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41,441,135</w:t>
            </w:r>
          </w:p>
        </w:tc>
        <w:tc>
          <w:tcPr>
            <w:tcW w:w="840" w:type="dxa"/>
            <w:vAlign w:val="bottom"/>
            <w:gridSpan w:val="2"/>
            <w:vMerge w:val="restart"/>
            <w:shd w:val="clear" w:color="auto" w:fill="CFF0FC"/>
          </w:tcPr>
          <w:p>
            <w:pPr>
              <w:jc w:val="right"/>
              <w:ind w:right="577"/>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342,104</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(40,371 )</w:t>
            </w:r>
          </w:p>
        </w:tc>
        <w:tc>
          <w:tcPr>
            <w:tcW w:w="60" w:type="dxa"/>
            <w:vAlign w:val="bottom"/>
            <w:vMerge w:val="restart"/>
            <w:shd w:val="clear" w:color="auto" w:fill="CFF0FC"/>
          </w:tcPr>
          <w:p>
            <w:pPr>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301,737</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2021</w:t>
            </w:r>
          </w:p>
        </w:tc>
        <w:tc>
          <w:tcPr>
            <w:tcW w:w="920" w:type="dxa"/>
            <w:vAlign w:val="bottom"/>
            <w:vMerge w:val="continue"/>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line="108" w:lineRule="exact"/>
              <w:rPr>
                <w:sz w:val="20"/>
                <w:szCs w:val="20"/>
                <w:color w:val="auto"/>
              </w:rPr>
            </w:pPr>
            <w:r>
              <w:rPr>
                <w:rFonts w:ascii="Arial" w:cs="Arial" w:eastAsia="Arial" w:hAnsi="Arial"/>
                <w:sz w:val="12"/>
                <w:szCs w:val="12"/>
                <w:color w:val="auto"/>
              </w:rPr>
              <w:t>Issuance of common stock</w:t>
            </w: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Arial" w:cs="Arial" w:eastAsia="Arial" w:hAnsi="Arial"/>
                <w:sz w:val="13"/>
                <w:szCs w:val="13"/>
                <w:color w:val="auto"/>
              </w:rPr>
              <w:t>under</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color w:val="auto"/>
              </w:rPr>
              <w:t>28,951</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100"/>
              <w:spacing w:after="0"/>
              <w:rPr>
                <w:sz w:val="20"/>
                <w:szCs w:val="20"/>
                <w:color w:val="auto"/>
              </w:rPr>
            </w:pPr>
            <w:r>
              <w:rPr>
                <w:rFonts w:ascii="Arial" w:cs="Arial" w:eastAsia="Arial" w:hAnsi="Arial"/>
                <w:sz w:val="13"/>
                <w:szCs w:val="13"/>
                <w:color w:val="auto"/>
              </w:rPr>
              <w:t>benefit plans</w:t>
            </w: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Vesting of shares of common</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226,478</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4"/>
              </w:rPr>
              <w:t>stock subject to repurchase</w:t>
            </w:r>
          </w:p>
        </w:tc>
        <w:tc>
          <w:tcPr>
            <w:tcW w:w="9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(14,826 )</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(14,826 )</w:t>
            </w:r>
          </w:p>
        </w:tc>
        <w:tc>
          <w:tcPr>
            <w:tcW w:w="0" w:type="dxa"/>
            <w:vAlign w:val="bottom"/>
          </w:tcPr>
          <w:p>
            <w:pPr>
              <w:spacing w:after="0"/>
              <w:rPr>
                <w:sz w:val="1"/>
                <w:szCs w:val="1"/>
                <w:color w:val="auto"/>
              </w:rPr>
            </w:pPr>
          </w:p>
        </w:tc>
      </w:tr>
      <w:tr>
        <w:trPr>
          <w:trHeight w:val="20"/>
        </w:trPr>
        <w:tc>
          <w:tcPr>
            <w:tcW w:w="16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Pr>
          <w:p>
            <w:pPr>
              <w:spacing w:after="0" w:line="142" w:lineRule="exact"/>
              <w:rPr>
                <w:sz w:val="20"/>
                <w:szCs w:val="20"/>
                <w:color w:val="auto"/>
              </w:rPr>
            </w:pPr>
            <w:r>
              <w:rPr>
                <w:rFonts w:ascii="Arial" w:cs="Arial" w:eastAsia="Arial" w:hAnsi="Arial"/>
                <w:sz w:val="13"/>
                <w:szCs w:val="13"/>
                <w:b w:val="1"/>
                <w:bCs w:val="1"/>
                <w:color w:val="auto"/>
                <w:w w:val="99"/>
              </w:rPr>
              <w:t>Balance at March 31, 2022</w:t>
            </w: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40" w:type="dxa"/>
            <w:vAlign w:val="bottom"/>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41,696,564</w:t>
            </w:r>
          </w:p>
        </w:tc>
        <w:tc>
          <w:tcPr>
            <w:tcW w:w="120" w:type="dxa"/>
            <w:vAlign w:val="bottom"/>
          </w:tcPr>
          <w:p>
            <w:pPr>
              <w:spacing w:after="0"/>
              <w:rPr>
                <w:sz w:val="12"/>
                <w:szCs w:val="12"/>
                <w:color w:val="auto"/>
              </w:rPr>
            </w:pPr>
          </w:p>
        </w:tc>
        <w:tc>
          <w:tcPr>
            <w:tcW w:w="720" w:type="dxa"/>
            <w:vAlign w:val="bottom"/>
          </w:tcPr>
          <w:p>
            <w:pPr>
              <w:jc w:val="right"/>
              <w:ind w:right="577"/>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346,377</w:t>
            </w:r>
          </w:p>
        </w:tc>
        <w:tc>
          <w:tcPr>
            <w:tcW w:w="1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(55,197 )</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291,184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-1453515</wp:posOffset>
            </wp:positionV>
            <wp:extent cx="431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-1453515</wp:posOffset>
            </wp:positionV>
            <wp:extent cx="254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-1453515</wp:posOffset>
            </wp:positionV>
            <wp:extent cx="254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-1453515</wp:posOffset>
            </wp:positionV>
            <wp:extent cx="254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-1453515</wp:posOffset>
            </wp:positionV>
            <wp:extent cx="1714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-1453515</wp:posOffset>
            </wp:positionV>
            <wp:extent cx="1714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-1453515</wp:posOffset>
            </wp:positionV>
            <wp:extent cx="1714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-1453515</wp:posOffset>
            </wp:positionV>
            <wp:extent cx="342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-1453515</wp:posOffset>
            </wp:positionV>
            <wp:extent cx="342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-107950</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-107950</wp:posOffset>
            </wp:positionV>
            <wp:extent cx="254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-107950</wp:posOffset>
            </wp:positionV>
            <wp:extent cx="254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-107950</wp:posOffset>
            </wp:positionV>
            <wp:extent cx="254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-107950</wp:posOffset>
            </wp:positionV>
            <wp:extent cx="1714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-107950</wp:posOffset>
            </wp:positionV>
            <wp:extent cx="1714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-107950</wp:posOffset>
            </wp:positionV>
            <wp:extent cx="1714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-107950</wp:posOffset>
            </wp:positionV>
            <wp:extent cx="342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-107950</wp:posOffset>
            </wp:positionV>
            <wp:extent cx="3429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Cash Flows</w:t>
      </w:r>
    </w:p>
    <w:p>
      <w:pPr>
        <w:ind w:left="5180"/>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thousands)</w:t>
      </w:r>
    </w:p>
    <w:p>
      <w:pPr>
        <w:spacing w:after="0" w:line="22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793"/>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4"/>
              </w:rPr>
              <w:t>(14,826 )</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(4,209 )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operations: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3,972</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(91 )</w:t>
            </w: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(574 )</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Right-of-use assets and lease liabilities, net</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(8,925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(4,678</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(239 )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(60 )</w:t>
            </w: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Proceeds from the issuance of Series A convertible preferred stock, net of issuance costs</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23,495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the issuance of Series B convertible preferred stock, net of issuance costs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106,128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issuances of common stock under benefit plans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for financing lease</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76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238</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130,152</w:t>
            </w:r>
          </w:p>
        </w:tc>
        <w:tc>
          <w:tcPr>
            <w:tcW w:w="80" w:type="dxa"/>
            <w:vAlign w:val="bottom"/>
            <w:tcBorders>
              <w:top w:val="single" w:sz="8" w:color="CFF0FC"/>
            </w:tcBorders>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(decrease) increase for the period</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(8,926 )</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125,414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302,425</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15,467</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the period</w:t>
            </w:r>
          </w:p>
        </w:tc>
        <w:tc>
          <w:tcPr>
            <w:tcW w:w="100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293,499</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140,881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Reconciliation of cash, cash equivalents and restricted cash to the balance sheet</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jc w:val="right"/>
              <w:ind w:right="793"/>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292,499</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140,638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100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293,499</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140,881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asset obtained in exchange for lease liability</w:t>
            </w:r>
          </w:p>
        </w:tc>
        <w:tc>
          <w:tcPr>
            <w:tcW w:w="1000" w:type="dxa"/>
            <w:vAlign w:val="bottom"/>
            <w:shd w:val="clear" w:color="auto" w:fill="CFF0FC"/>
          </w:tcPr>
          <w:p>
            <w:pPr>
              <w:jc w:val="right"/>
              <w:ind w:right="793"/>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1,547</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Purchases of equipment included in accounts payable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Deferred offering costs included in accounts payable and accrued expenses</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Series B issuance costs included in accounts payable and accrued expenses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-1873885</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-1873885</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-1345565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-1328420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-1345565</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-1328420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-796290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-779780</wp:posOffset>
            </wp:positionV>
            <wp:extent cx="51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-796290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-779780</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12" w:lineRule="exact"/>
        <w:rPr>
          <w:sz w:val="20"/>
          <w:szCs w:val="20"/>
          <w:color w:val="auto"/>
        </w:rPr>
      </w:pPr>
    </w:p>
    <w:p>
      <w:pPr>
        <w:ind w:right="220" w:firstLine="749"/>
        <w:spacing w:after="0" w:line="248" w:lineRule="auto"/>
        <w:rPr>
          <w:sz w:val="20"/>
          <w:szCs w:val="20"/>
          <w:color w:val="auto"/>
        </w:rPr>
      </w:pPr>
      <w:r>
        <w:rPr>
          <w:rFonts w:ascii="Arial" w:cs="Arial" w:eastAsia="Arial" w:hAnsi="Arial"/>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82" w:lineRule="exact"/>
        <w:rPr>
          <w:sz w:val="20"/>
          <w:szCs w:val="20"/>
          <w:color w:val="auto"/>
        </w:rPr>
      </w:pPr>
    </w:p>
    <w:p>
      <w:pPr>
        <w:ind w:right="440" w:firstLine="749"/>
        <w:spacing w:after="0" w:line="261" w:lineRule="auto"/>
        <w:rPr>
          <w:sz w:val="20"/>
          <w:szCs w:val="20"/>
          <w:color w:val="auto"/>
        </w:rPr>
      </w:pPr>
      <w:r>
        <w:rPr>
          <w:rFonts w:ascii="Arial" w:cs="Arial" w:eastAsia="Arial" w:hAnsi="Arial"/>
          <w:sz w:val="18"/>
          <w:szCs w:val="18"/>
          <w:color w:val="auto"/>
        </w:rPr>
        <w:t>On September 17, 2021, the Company completed its initial public offering (the IPO) and issued 12,420,000 shares of common stock for net proceeds of approximately $181.2 million. See Note 6 to these financial statements for additional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1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On September 7, 2021, the Company effected a 2.5974-for-1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500,000,000. The accompanying financial statements and notes to the financial statements give retroactive effect to the Forward Stock Split for all periods presented,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color w:val="auto"/>
        </w:rPr>
        <w:t>The accompanying unaudited financial statements have been prepared in accordance with generally accepted accounting principles in the United States (GAAP). Any reference in these notes to applicable guidance is meant to refer to GAAP as found in the Accounting Standards Codification (ASC) and Accounting Standards Updates (ASU) promulgated by the Financial Accounting Standards Board (FASB). The accompanying unaudited financial statements do not include all of the information and notes required by GAAP for complete financial statements. These unaudited financial statements include only normal and recurring adjustments that the Company believes are necessary to fairly state the Company’s financial position and the results of its operations and cash flows. The results for the three months ended March 31, 2022 and 2021 are not necessarily indicative of the results expected for the full fiscal year or any subsequent interim period. The balance sheet at March 31, 2022 has been derived from the financial statements at that date but does not include all disclosures required by GAAP for complete financial statements. Because all of the disclosures required by GAAP for complete financial statements are not included herein, these unaudited financial statements and the notes accompanying them should be read in conjunction with the Company’s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12"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From inception to March 31, 2022, the Company has devoted substantially all of its resources to organizing and staffing the company, business planning, raising capital, developing its proprietary SNÅP platform, undertaking research and development activities for its development programs, establishing its intellectual property portfolio, and providing general and administrative support for its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to develop its current and future product candidates. From inception through March 31, 2022, the Company funded its operations primarily through the issuance of common stock in its IPO, the sale of convertible preferred stock and the issuance of Simple Agreements for Future Equity (SAFEs).</w:t>
      </w:r>
    </w:p>
    <w:p>
      <w:pPr>
        <w:spacing w:after="0" w:line="163" w:lineRule="exact"/>
        <w:rPr>
          <w:sz w:val="20"/>
          <w:szCs w:val="20"/>
          <w:color w:val="auto"/>
        </w:rPr>
      </w:pPr>
    </w:p>
    <w:p>
      <w:pPr>
        <w:ind w:right="280" w:firstLine="749"/>
        <w:spacing w:after="0" w:line="276"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61"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w:t>
      </w: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right="460"/>
        <w:spacing w:after="0" w:line="261" w:lineRule="auto"/>
        <w:rPr>
          <w:sz w:val="20"/>
          <w:szCs w:val="20"/>
          <w:color w:val="auto"/>
        </w:rPr>
      </w:pPr>
      <w:r>
        <w:rPr>
          <w:rFonts w:ascii="Arial" w:cs="Arial" w:eastAsia="Arial" w:hAnsi="Arial"/>
          <w:sz w:val="18"/>
          <w:szCs w:val="18"/>
          <w:color w:val="auto"/>
        </w:rPr>
        <w:t>acquiring additional funding (if needed), that the Company’s projections of its future working capital needs will prove accurate, or that any additional funding would be sufficient to continue operations in future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During the three months ended March 31, 2022, there have been no changes to our significant accounting policies as described in the Company’s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12"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March 31, 2022 and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Transactions between related parties are considered to be related party transactions even though they may not be given accounting recognition. FASB ASC 850, Related Party Disclosures (FASB ASC 850) requires that transactions with related parties that would make a difference in decision making shall be disclosed so that users of the financial statements can evaluate their significance. Related party transactions typically occur within the context of the following relationships:</w:t>
      </w:r>
    </w:p>
    <w:p>
      <w:pPr>
        <w:spacing w:after="0" w:line="188" w:lineRule="exact"/>
        <w:rPr>
          <w:sz w:val="20"/>
          <w:szCs w:val="20"/>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Affiliates of the entity;</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Entities for which investments in their equity securities is typically accounted for under the equity method by the investing entity;</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Trusts for the benefit of employees;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Principal owners of the entity and members of their immediate families;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the entity and members of their immediate families;</w:t>
      </w:r>
    </w:p>
    <w:p>
      <w:pPr>
        <w:spacing w:after="0" w:line="211" w:lineRule="exact"/>
        <w:rPr>
          <w:rFonts w:ascii="Arial" w:cs="Arial" w:eastAsia="Arial" w:hAnsi="Arial"/>
          <w:sz w:val="18"/>
          <w:szCs w:val="18"/>
          <w:color w:val="auto"/>
        </w:rPr>
      </w:pPr>
    </w:p>
    <w:p>
      <w:pPr>
        <w:ind w:left="1080" w:right="140" w:hanging="323"/>
        <w:spacing w:after="0" w:line="32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parties that can significantly influence the management or operating policies of the transacting parties and can significantly influence the other to an extent that one or more of the transacting parties might be prevented from fully pursuing its own separate interests.</w:t>
      </w:r>
    </w:p>
    <w:p>
      <w:pPr>
        <w:spacing w:after="0" w:line="124" w:lineRule="exact"/>
        <w:rPr>
          <w:sz w:val="20"/>
          <w:szCs w:val="20"/>
          <w:color w:val="auto"/>
        </w:rPr>
      </w:pPr>
    </w:p>
    <w:p>
      <w:pPr>
        <w:ind w:right="140" w:firstLine="749"/>
        <w:spacing w:after="0" w:line="257" w:lineRule="auto"/>
        <w:rPr>
          <w:sz w:val="20"/>
          <w:szCs w:val="20"/>
          <w:color w:val="auto"/>
        </w:rPr>
      </w:pPr>
      <w:r>
        <w:rPr>
          <w:rFonts w:ascii="Arial" w:cs="Arial" w:eastAsia="Arial" w:hAnsi="Arial"/>
          <w:sz w:val="17"/>
          <w:szCs w:val="17"/>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For the three months ended March 31, 2022, van den Boom &amp; Associates rendered contracted services totaling approximately $0.2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There were no other significant updates not already disclosed in the Company’s audited financial statements for the years ended December 31, 2021 and 2020 to the recently issued accounting standards for the three months ended March 31, 2022.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35" w:lineRule="exact"/>
        <w:rPr>
          <w:sz w:val="20"/>
          <w:szCs w:val="20"/>
          <w:color w:val="auto"/>
        </w:rPr>
      </w:pPr>
    </w:p>
    <w:p>
      <w:pPr>
        <w:ind w:left="760" w:right="52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either directly or indirectly, for substantially the full term of the asset or liability.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—Prices or valuation techniques that require inputs that are both significant to the fair value measurement and unobservable (i.e.</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supported by little or no market activity).</w:t>
      </w:r>
    </w:p>
    <w:p>
      <w:pPr>
        <w:spacing w:after="0" w:line="196"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The carrying amounts of the Company’s financial instruments, including cash and cash equivalents, prepaid and other current assets, accounts payable, and accrued liabilities, approximate fair value due to their short maturities. Included in cash and cash equivalents at March 31, 2022 and December 31, 2021 are money market funds with a carrying value and fair value of $292.5 million and $302.2 million, respectively, based upon a Level 1 fair value assessment.</w:t>
      </w:r>
    </w:p>
    <w:p>
      <w:pPr>
        <w:spacing w:after="0" w:line="188"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Equipment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Computers and software</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r>
      <w:tr>
        <w:trPr>
          <w:trHeight w:val="196"/>
        </w:trPr>
        <w:tc>
          <w:tcPr>
            <w:tcW w:w="5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(233 )</w:t>
            </w:r>
          </w:p>
        </w:tc>
        <w:tc>
          <w:tcPr>
            <w:tcW w:w="14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(169 )</w:t>
            </w:r>
          </w:p>
        </w:tc>
      </w:tr>
      <w:tr>
        <w:trPr>
          <w:trHeight w:val="23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recognized $64,000 and $22,000 in depreciation expense for the three months ended March 31, 2022 and 2021,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December 31,</w:t>
            </w: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3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payroll and other employee benefits</w:t>
            </w: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1,278</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2,081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1,257</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legal and professional fees</w:t>
            </w: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w w:val="97"/>
              </w:rPr>
              <w:t>Accrued other general and administrative fees</w:t>
            </w:r>
          </w:p>
        </w:tc>
        <w:tc>
          <w:tcPr>
            <w:tcW w:w="1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36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15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3,426</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2,815</w:t>
            </w:r>
          </w:p>
        </w:tc>
        <w:tc>
          <w:tcPr>
            <w:tcW w:w="1680" w:type="dxa"/>
            <w:vAlign w:val="bottom"/>
          </w:tcPr>
          <w:p>
            <w:pPr>
              <w:spacing w:after="0"/>
              <w:rPr>
                <w:sz w:val="20"/>
                <w:szCs w:val="20"/>
                <w:color w:val="auto"/>
              </w:rPr>
            </w:pPr>
          </w:p>
        </w:tc>
      </w:tr>
      <w:tr>
        <w:trPr>
          <w:trHeight w:val="399"/>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20" w:type="dxa"/>
            <w:vAlign w:val="bottom"/>
          </w:tcPr>
          <w:p>
            <w:pPr>
              <w:jc w:val="right"/>
              <w:ind w:right="10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-367665</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-350520</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-367665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-350520</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12" w:lineRule="exact"/>
        <w:rPr>
          <w:sz w:val="20"/>
          <w:szCs w:val="20"/>
          <w:color w:val="auto"/>
        </w:rPr>
      </w:pPr>
    </w:p>
    <w:p>
      <w:pPr>
        <w:ind w:right="380" w:firstLine="749"/>
        <w:spacing w:after="0" w:line="324" w:lineRule="auto"/>
        <w:rPr>
          <w:sz w:val="20"/>
          <w:szCs w:val="20"/>
          <w:color w:val="auto"/>
        </w:rPr>
      </w:pPr>
      <w:r>
        <w:rPr>
          <w:rFonts w:ascii="Arial" w:cs="Arial" w:eastAsia="Arial" w:hAnsi="Arial"/>
          <w:sz w:val="16"/>
          <w:szCs w:val="16"/>
          <w:color w:val="auto"/>
        </w:rPr>
        <w:t>In January 2020 and February 2021, the Company issued, at each date, 2,848,486 shares of Series A convertible preferred stock at a price of $8.25 per share resulting in gross proceeds of $23.5 million, at each date, and incurred issuance costs of $0.2 million and $5,000, respectively.</w:t>
      </w:r>
    </w:p>
    <w:p>
      <w:pPr>
        <w:spacing w:after="0" w:line="124"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In March 2021, the Company issued 3,874,793 shares of Series B convertible preferred stock, at a price of $27.4337 per share, resulting in net proceeds of $106.1 million excluding issuance costs of $0.2 million.</w:t>
      </w:r>
    </w:p>
    <w:p>
      <w:pPr>
        <w:spacing w:after="0" w:line="171"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In September 2021, upon completion of the IPO, all of the Company’s shares of convertible preferred stock converted into 26,228,089 shares of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60" w:type="dxa"/>
            <w:vAlign w:val="bottom"/>
            <w:gridSpan w:val="2"/>
          </w:tcPr>
          <w:p>
            <w:pPr>
              <w:ind w:left="760"/>
              <w:spacing w:after="0"/>
              <w:rPr>
                <w:sz w:val="20"/>
                <w:szCs w:val="20"/>
                <w:color w:val="auto"/>
              </w:rPr>
            </w:pPr>
            <w:r>
              <w:rPr>
                <w:rFonts w:ascii="Arial" w:cs="Arial" w:eastAsia="Arial" w:hAnsi="Arial"/>
                <w:sz w:val="18"/>
                <w:szCs w:val="18"/>
                <w:color w:val="auto"/>
              </w:rPr>
              <w:t>Common stock reserved for future issuance consisted of the following:</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options granted and outstanding</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3,844,194</w:t>
            </w:r>
          </w:p>
        </w:tc>
        <w:tc>
          <w:tcPr>
            <w:tcW w:w="18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3,771,516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5240" w:type="dxa"/>
            <w:vAlign w:val="bottom"/>
          </w:tcPr>
          <w:p>
            <w:pPr>
              <w:spacing w:after="0" w:line="162" w:lineRule="exact"/>
              <w:rPr>
                <w:sz w:val="20"/>
                <w:szCs w:val="20"/>
                <w:color w:val="auto"/>
              </w:rPr>
            </w:pPr>
            <w:r>
              <w:rPr>
                <w:rFonts w:ascii="Arial" w:cs="Arial" w:eastAsia="Arial" w:hAnsi="Arial"/>
                <w:sz w:val="18"/>
                <w:szCs w:val="18"/>
                <w:color w:val="auto"/>
              </w:rPr>
              <w:t>Shares available for future issuance under the 2021</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6,436,972</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4,384,274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Incentive Award Plan</w:t>
            </w:r>
          </w:p>
        </w:tc>
        <w:tc>
          <w:tcPr>
            <w:tcW w:w="148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52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Shares available for future issuance under the 2021</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777,844</w:t>
            </w:r>
          </w:p>
        </w:tc>
        <w:tc>
          <w:tcPr>
            <w:tcW w:w="180" w:type="dxa"/>
            <w:vAlign w:val="bottom"/>
            <w:vMerge w:val="restart"/>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380,000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Employee Stock Purchase Plan</w:t>
            </w:r>
          </w:p>
        </w:tc>
        <w:tc>
          <w:tcPr>
            <w:tcW w:w="148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5240" w:type="dxa"/>
            <w:vAlign w:val="bottom"/>
          </w:tcPr>
          <w:p>
            <w:pPr>
              <w:spacing w:after="0" w:line="196" w:lineRule="exact"/>
              <w:rPr>
                <w:sz w:val="20"/>
                <w:szCs w:val="20"/>
                <w:color w:val="auto"/>
              </w:rPr>
            </w:pPr>
            <w:r>
              <w:rPr>
                <w:rFonts w:ascii="Arial" w:cs="Arial" w:eastAsia="Arial" w:hAnsi="Arial"/>
                <w:sz w:val="18"/>
                <w:szCs w:val="18"/>
                <w:color w:val="auto"/>
              </w:rPr>
              <w:t>Total common stock reserved for future issuance</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11,059,010</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8,535,790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-159385</wp:posOffset>
            </wp:positionV>
            <wp:extent cx="431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431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9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Since inception, the Company has issued 2,820,560 shares of restricted common stock at a price of $0.0001 per share to certain founders of the Company (Founders Stock). The Company maintains a repurchase right whereby the shares of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March 31, 2022 and December 31, 2021 were 372,700 and 495,170 shares, respectively. The amount recorded as liabilities associated with shares issued with repurchase rights were immaterial as of March 31, 2022 and December 31, 2021.</w:t>
      </w:r>
    </w:p>
    <w:p>
      <w:pPr>
        <w:spacing w:after="0" w:line="189" w:lineRule="exact"/>
        <w:rPr>
          <w:sz w:val="20"/>
          <w:szCs w:val="20"/>
          <w:color w:val="auto"/>
        </w:rPr>
      </w:pPr>
    </w:p>
    <w:p>
      <w:pPr>
        <w:ind w:right="420" w:firstLine="749"/>
        <w:spacing w:after="0" w:line="243" w:lineRule="auto"/>
        <w:rPr>
          <w:sz w:val="20"/>
          <w:szCs w:val="20"/>
          <w:color w:val="auto"/>
        </w:rPr>
      </w:pPr>
      <w:r>
        <w:rPr>
          <w:rFonts w:ascii="Arial" w:cs="Arial" w:eastAsia="Arial" w:hAnsi="Arial"/>
          <w:sz w:val="18"/>
          <w:szCs w:val="18"/>
          <w:color w:val="auto"/>
        </w:rPr>
        <w:t>For the three months ended March 31, 2022 and 2021, 122,470 and 127,175 shares vested in each period and the Company recognized $0.1 million of stock-based compensation expense for each period related to the awards, respectively. As of March 31, 2022, the total unrecognized compensation expense related to unvested Founders Stock was $0.2 million and is expected to be recognized over a weighted-average period of approximately 0.8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Incentive Plans and Stock-Based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September 2021, the Company's Board of Directors adopted, and its stockholders approved, the 2021 Incentive Award Plan (the 2021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Upon the adoption of the 2021 Plan, the Company restricted the grant of future equity awards under the 2020 Plan.</w:t>
      </w:r>
    </w:p>
    <w:p>
      <w:pPr>
        <w:spacing w:after="0" w:line="196" w:lineRule="exact"/>
        <w:rPr>
          <w:sz w:val="20"/>
          <w:szCs w:val="20"/>
          <w:color w:val="auto"/>
        </w:rPr>
      </w:pPr>
    </w:p>
    <w:p>
      <w:pPr>
        <w:ind w:right="120" w:firstLine="749"/>
        <w:spacing w:after="0" w:line="266" w:lineRule="auto"/>
        <w:rPr>
          <w:sz w:val="20"/>
          <w:szCs w:val="20"/>
          <w:color w:val="auto"/>
        </w:rPr>
      </w:pPr>
      <w:r>
        <w:rPr>
          <w:rFonts w:ascii="Arial" w:cs="Arial" w:eastAsia="Arial" w:hAnsi="Arial"/>
          <w:sz w:val="16"/>
          <w:szCs w:val="16"/>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The number of shares reserved under the 2021 Plan also included 1,032,150 shares of the Company’s common stock that remained available for issuance under the 2020 Plan as of immediately prior to the effectiveness of the 2021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will automatically increase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 w:name="page11"/>
    <w:bookmarkEnd w:id="10"/>
    <w:p>
      <w:pPr>
        <w:ind w:right="20" w:firstLine="749"/>
        <w:spacing w:after="0" w:line="276" w:lineRule="auto"/>
        <w:rPr>
          <w:sz w:val="20"/>
          <w:szCs w:val="20"/>
          <w:color w:val="auto"/>
        </w:rPr>
      </w:pPr>
      <w:r>
        <w:rPr>
          <w:rFonts w:ascii="Arial" w:cs="Arial" w:eastAsia="Arial" w:hAnsi="Arial"/>
          <w:sz w:val="16"/>
          <w:szCs w:val="16"/>
          <w:color w:val="auto"/>
        </w:rPr>
        <w:t>The options granted under the 2020 Plan and the 2021 Plan are exercisable at various dates as determined upon grant and will expire no more than ten years from their date of grant. The exercise price of each option shall be determined by the Company’s Board of Directors based on the fair market value of the Company’s stock on the date of the option grant. The exercise price shall not be less than 100% of the fair market value of the Company’s common stock at the time the option is granted. Most option grants generally vest 25% on the first anniversary of the original vesting commencement date, with the balance vesting monthly over the remaining three years and early exercise is permitted. The vesting period generally occurs over four years unless there is a specific performance vesting trigger at which time those shares will vest when the performance trigger is probable to occur.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Company’s stock option activity for the period ended March 31, 2022 is as follows: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6"/>
                <w:szCs w:val="16"/>
                <w:color w:val="auto"/>
              </w:rPr>
            </w:pPr>
          </w:p>
        </w:tc>
        <w:tc>
          <w:tcPr>
            <w:tcW w:w="11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Intrinsic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3,771,516</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w:t>
            </w:r>
          </w:p>
        </w:tc>
        <w:tc>
          <w:tcPr>
            <w:tcW w:w="1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28,901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190,487</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11.55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(1,433 )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(116,376 )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2022</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3,844,194</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8.95</w:t>
            </w:r>
          </w:p>
        </w:tc>
        <w:tc>
          <w:tcPr>
            <w:tcW w:w="12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8.7</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19,938</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line="182" w:lineRule="exact"/>
              <w:rPr>
                <w:sz w:val="20"/>
                <w:szCs w:val="20"/>
                <w:color w:val="auto"/>
              </w:rPr>
            </w:pPr>
            <w:r>
              <w:rPr>
                <w:rFonts w:ascii="Arial" w:cs="Arial" w:eastAsia="Arial" w:hAnsi="Arial"/>
                <w:sz w:val="18"/>
                <w:szCs w:val="18"/>
                <w:color w:val="auto"/>
              </w:rPr>
              <w:t>Exercisable at March 31, 2022</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891,348</w:t>
            </w:r>
          </w:p>
        </w:tc>
        <w:tc>
          <w:tcPr>
            <w:tcW w:w="20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5.79</w:t>
            </w:r>
          </w:p>
        </w:tc>
        <w:tc>
          <w:tcPr>
            <w:tcW w:w="1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8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Vested and expected to vest as of</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3,844,194</w:t>
            </w:r>
          </w:p>
        </w:tc>
        <w:tc>
          <w:tcPr>
            <w:tcW w:w="20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19,938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88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8"/>
                <w:szCs w:val="18"/>
                <w:color w:val="auto"/>
              </w:rPr>
              <w:t>March 31, 2022</w:t>
            </w: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920" w:type="dxa"/>
            <w:vAlign w:val="bottom"/>
            <w:tcBorders>
              <w:bottom w:val="single" w:sz="8" w:color="CFF0FC"/>
            </w:tcBorders>
            <w:vMerge w:val="continue"/>
            <w:shd w:val="clear" w:color="auto" w:fill="CFF0FC"/>
          </w:tcPr>
          <w:p>
            <w:pPr>
              <w:spacing w:after="0"/>
              <w:rPr>
                <w:sz w:val="18"/>
                <w:szCs w:val="18"/>
                <w:color w:val="auto"/>
              </w:rPr>
            </w:pPr>
          </w:p>
        </w:tc>
        <w:tc>
          <w:tcPr>
            <w:tcW w:w="1240" w:type="dxa"/>
            <w:vAlign w:val="bottom"/>
            <w:tcBorders>
              <w:bottom w:val="single" w:sz="8" w:color="CFF0FC"/>
            </w:tcBorders>
            <w:gridSpan w:val="2"/>
            <w:vMerge w:val="continue"/>
            <w:shd w:val="clear" w:color="auto" w:fill="CFF0FC"/>
          </w:tcPr>
          <w:p>
            <w:pPr>
              <w:spacing w:after="0"/>
              <w:rPr>
                <w:sz w:val="18"/>
                <w:szCs w:val="18"/>
                <w:color w:val="auto"/>
              </w:rPr>
            </w:pPr>
          </w:p>
        </w:tc>
        <w:tc>
          <w:tcPr>
            <w:tcW w:w="320" w:type="dxa"/>
            <w:vAlign w:val="bottom"/>
            <w:tcBorders>
              <w:bottom w:val="single" w:sz="8" w:color="CFF0FC"/>
            </w:tcBorders>
            <w:gridSpan w:val="2"/>
            <w:vMerge w:val="continue"/>
            <w:shd w:val="clear" w:color="auto" w:fill="CFF0FC"/>
          </w:tcPr>
          <w:p>
            <w:pPr>
              <w:spacing w:after="0"/>
              <w:rPr>
                <w:sz w:val="18"/>
                <w:szCs w:val="18"/>
                <w:color w:val="auto"/>
              </w:rPr>
            </w:pPr>
          </w:p>
        </w:tc>
        <w:tc>
          <w:tcPr>
            <w:tcW w:w="920" w:type="dxa"/>
            <w:vAlign w:val="bottom"/>
            <w:tcBorders>
              <w:bottom w:val="single" w:sz="8" w:color="CFF0FC"/>
            </w:tcBorders>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-419735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-401955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As of March 31, 2022, 184,214 performance-based stock options were both outstanding and unvested, with total unrecognized stock-based compensation expense of $0.8 million. The achievement of the performance conditions for these options was deemed probable to occur as of March 31, 2022, therefore the Company recognized $1.5 million in expense over the requisite service period related to these awards for the three months ended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jc w:val="both"/>
        <w:ind w:right="180" w:firstLine="749"/>
        <w:spacing w:after="0" w:line="248" w:lineRule="auto"/>
        <w:rPr>
          <w:sz w:val="20"/>
          <w:szCs w:val="20"/>
          <w:color w:val="auto"/>
        </w:rPr>
      </w:pPr>
      <w:r>
        <w:rPr>
          <w:rFonts w:ascii="Arial" w:cs="Arial" w:eastAsia="Arial" w:hAnsi="Arial"/>
          <w:sz w:val="18"/>
          <w:szCs w:val="18"/>
          <w:color w:val="auto"/>
        </w:rPr>
        <w:t>The Company estimated the fair value of stock options using the Black-Scholes valuation model. The Company accounts for any forfeitures of options when they occur. Previously recognized compensation expense for an award is reversed in the period that the award is forfeited. The fair value of stock options was estimated using the following assumptions:</w:t>
      </w:r>
    </w:p>
    <w:p>
      <w:pPr>
        <w:spacing w:after="0" w:line="389"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center"/>
              <w:ind w:right="3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Stock Options:</w:t>
            </w: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Stock price</w:t>
            </w: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$10.96 - 12.31</w:t>
            </w:r>
          </w:p>
        </w:tc>
        <w:tc>
          <w:tcPr>
            <w:tcW w:w="1400" w:type="dxa"/>
            <w:vAlign w:val="bottom"/>
            <w:gridSpan w:val="3"/>
          </w:tcPr>
          <w:p>
            <w:pPr>
              <w:jc w:val="center"/>
              <w:ind w:left="30"/>
              <w:spacing w:after="0" w:line="202" w:lineRule="exact"/>
              <w:rPr>
                <w:sz w:val="20"/>
                <w:szCs w:val="20"/>
                <w:color w:val="auto"/>
              </w:rPr>
            </w:pPr>
            <w:r>
              <w:rPr>
                <w:rFonts w:ascii="Arial" w:cs="Arial" w:eastAsia="Arial" w:hAnsi="Arial"/>
                <w:sz w:val="18"/>
                <w:szCs w:val="18"/>
                <w:color w:val="auto"/>
                <w:w w:val="91"/>
              </w:rPr>
              <w:t>$0.99 - 2.24</w:t>
            </w:r>
          </w:p>
        </w:tc>
        <w:tc>
          <w:tcPr>
            <w:tcW w:w="12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rate of interest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80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- 2.0%</w:t>
            </w: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8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- 1.0%</w:t>
            </w:r>
          </w:p>
        </w:tc>
        <w:tc>
          <w:tcPr>
            <w:tcW w:w="12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Expected term (years)</w:t>
            </w: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6.0 - 6.1</w:t>
            </w:r>
          </w:p>
        </w:tc>
        <w:tc>
          <w:tcPr>
            <w:tcW w:w="1400" w:type="dxa"/>
            <w:vAlign w:val="bottom"/>
            <w:gridSpan w:val="3"/>
          </w:tcPr>
          <w:p>
            <w:pPr>
              <w:jc w:val="center"/>
              <w:ind w:left="30"/>
              <w:spacing w:after="0" w:line="202" w:lineRule="exact"/>
              <w:rPr>
                <w:sz w:val="20"/>
                <w:szCs w:val="20"/>
                <w:color w:val="auto"/>
              </w:rPr>
            </w:pPr>
            <w:r>
              <w:rPr>
                <w:rFonts w:ascii="Arial" w:cs="Arial" w:eastAsia="Arial" w:hAnsi="Arial"/>
                <w:sz w:val="18"/>
                <w:szCs w:val="18"/>
                <w:color w:val="auto"/>
                <w:w w:val="90"/>
              </w:rPr>
              <w:t>6.0 - 6.1</w:t>
            </w:r>
          </w:p>
        </w:tc>
        <w:tc>
          <w:tcPr>
            <w:tcW w:w="12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86.4</w:t>
            </w:r>
          </w:p>
        </w:tc>
        <w:tc>
          <w:tcPr>
            <w:tcW w:w="80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- 90.4%</w:t>
            </w: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99.7</w:t>
            </w:r>
          </w:p>
        </w:tc>
        <w:tc>
          <w:tcPr>
            <w:tcW w:w="8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- 99.9%</w:t>
            </w:r>
          </w:p>
        </w:tc>
        <w:tc>
          <w:tcPr>
            <w:tcW w:w="120" w:type="dxa"/>
            <w:vAlign w:val="bottom"/>
            <w:shd w:val="clear" w:color="auto" w:fill="CFF0FC"/>
          </w:tcPr>
          <w:p>
            <w:pPr>
              <w:spacing w:after="0"/>
              <w:rPr>
                <w:sz w:val="17"/>
                <w:szCs w:val="17"/>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spacing w:after="0"/>
              <w:rPr>
                <w:sz w:val="20"/>
                <w:szCs w:val="20"/>
                <w:color w:val="auto"/>
              </w:rPr>
            </w:pPr>
          </w:p>
        </w:tc>
        <w:tc>
          <w:tcPr>
            <w:tcW w:w="800" w:type="dxa"/>
            <w:vAlign w:val="bottom"/>
          </w:tcPr>
          <w:p>
            <w:pPr>
              <w:jc w:val="center"/>
              <w:ind w:right="41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center"/>
              <w:ind w:right="4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right="780" w:firstLine="749"/>
        <w:spacing w:after="0" w:line="261" w:lineRule="auto"/>
        <w:rPr>
          <w:sz w:val="20"/>
          <w:szCs w:val="20"/>
          <w:color w:val="auto"/>
        </w:rPr>
      </w:pPr>
      <w:r>
        <w:rPr>
          <w:rFonts w:ascii="Arial" w:cs="Arial" w:eastAsia="Arial" w:hAnsi="Arial"/>
          <w:sz w:val="18"/>
          <w:szCs w:val="18"/>
          <w:color w:val="auto"/>
        </w:rPr>
        <w:t>Stock-based compensation expense recognized for all equity awards, including Founder's Stock, has been reported in the statements of operations and comprehensive loss as follows (in thousands):</w:t>
      </w:r>
    </w:p>
    <w:p>
      <w:pPr>
        <w:spacing w:after="0" w:line="3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9"/>
              </w:rPr>
              <w:t>Three Months Ended</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940" w:type="dxa"/>
            <w:vAlign w:val="bottom"/>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180" w:type="dxa"/>
            <w:vAlign w:val="bottom"/>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1,478</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6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2,494</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r>
      <w:tr>
        <w:trPr>
          <w:trHeight w:val="236"/>
        </w:trPr>
        <w:tc>
          <w:tcPr>
            <w:tcW w:w="3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3,972</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The weighted-average grant date fair value of employee option grants for the three months ended March 31, 2022 and 2021 was $8.52 and $1.76 per share, respectively.</w:t>
      </w: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ind w:right="100" w:firstLine="749"/>
        <w:spacing w:after="0" w:line="261" w:lineRule="auto"/>
        <w:rPr>
          <w:sz w:val="20"/>
          <w:szCs w:val="20"/>
          <w:color w:val="auto"/>
        </w:rPr>
      </w:pPr>
      <w:r>
        <w:rPr>
          <w:rFonts w:ascii="Arial" w:cs="Arial" w:eastAsia="Arial" w:hAnsi="Arial"/>
          <w:sz w:val="18"/>
          <w:szCs w:val="18"/>
          <w:color w:val="auto"/>
        </w:rPr>
        <w:t>As of March 31, 2022, the unrecognized compensation cost related to outstanding employee and nonemployee options was $20.4 million, and is expected to be recognized as expense over a weighted-average period of approximately 2.5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80" w:firstLine="749"/>
        <w:spacing w:after="0" w:line="268" w:lineRule="auto"/>
        <w:rPr>
          <w:sz w:val="20"/>
          <w:szCs w:val="20"/>
          <w:color w:val="auto"/>
        </w:rPr>
      </w:pPr>
      <w:r>
        <w:rPr>
          <w:rFonts w:ascii="Arial" w:cs="Arial" w:eastAsia="Arial" w:hAnsi="Arial"/>
          <w:sz w:val="16"/>
          <w:szCs w:val="16"/>
          <w:color w:val="auto"/>
        </w:rPr>
        <w:t>In September 2021, the Company’s Board of Directors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w:t>
      </w:r>
    </w:p>
    <w:p>
      <w:pPr>
        <w:spacing w:after="0" w:line="1" w:lineRule="exact"/>
        <w:rPr>
          <w:sz w:val="20"/>
          <w:szCs w:val="20"/>
          <w:color w:val="auto"/>
        </w:rPr>
      </w:pPr>
    </w:p>
    <w:p>
      <w:pPr>
        <w:ind w:right="140" w:firstLine="8"/>
        <w:spacing w:after="0" w:line="23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smaller amount as determined by the Company’s Board of Directors.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six months, with new offering periods commencing every six months on or about the dates of March 15 and September 15 of each year. During the three months ended March 31, 2022, the Company issued 27,518 shares of common stock in connection with the ESPP.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March 31, 2022 and December 31, 2021, 495,870 and 599,878 unvested shares issued under early exercise provisions were subject to repurchase by the Company, respectively. As of March 31, 2022 and December 31, 2021, the Company recorded $0.3 million and $$0.4 million, respectively, associated with shares issued with repurchase rights in other long-term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720" w:right="2120" w:hanging="134"/>
        <w:spacing w:after="0" w:line="226" w:lineRule="auto"/>
        <w:rPr>
          <w:sz w:val="20"/>
          <w:szCs w:val="20"/>
          <w:color w:val="auto"/>
        </w:rPr>
      </w:pPr>
      <w:r>
        <w:rPr>
          <w:rFonts w:ascii="Arial" w:cs="Arial" w:eastAsia="Arial" w:hAnsi="Arial"/>
          <w:sz w:val="18"/>
          <w:szCs w:val="18"/>
          <w:color w:val="auto"/>
        </w:rPr>
        <w:t>Weighted average shares used to compute net loss per common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641223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(14,826 )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(4,209 )</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41,551,713</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2,009,370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83"/>
        </w:trPr>
        <w:tc>
          <w:tcPr>
            <w:tcW w:w="360" w:type="dxa"/>
            <w:vAlign w:val="bottom"/>
            <w:tcBorders>
              <w:bottom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(0.36</w:t>
            </w:r>
          </w:p>
        </w:tc>
        <w:tc>
          <w:tcPr>
            <w:tcW w:w="24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(2.09</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3940"/>
          </w:cols>
          <w:pgMar w:left="320" w:top="530" w:right="339" w:bottom="1440" w:gutter="0" w:footer="0" w:header="0"/>
          <w:type w:val="continuous"/>
        </w:sectPr>
      </w:pPr>
    </w:p>
    <w:p>
      <w:pPr>
        <w:spacing w:after="0" w:line="29"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 March 31,</w:t>
            </w:r>
          </w:p>
        </w:tc>
        <w:tc>
          <w:tcPr>
            <w:tcW w:w="10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Unvested restricted common stock subject to repurchase</w:t>
            </w:r>
          </w:p>
        </w:tc>
        <w:tc>
          <w:tcPr>
            <w:tcW w:w="22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372,700</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864,007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20" w:type="dxa"/>
            <w:vAlign w:val="bottom"/>
          </w:tcPr>
          <w:p>
            <w:pPr>
              <w:spacing w:after="0" w:line="162" w:lineRule="exact"/>
              <w:rPr>
                <w:sz w:val="20"/>
                <w:szCs w:val="20"/>
                <w:color w:val="auto"/>
              </w:rPr>
            </w:pPr>
            <w:r>
              <w:rPr>
                <w:rFonts w:ascii="Arial" w:cs="Arial" w:eastAsia="Arial" w:hAnsi="Arial"/>
                <w:sz w:val="18"/>
                <w:szCs w:val="18"/>
                <w:color w:val="auto"/>
              </w:rPr>
              <w:t>Unvested common stock upon early exercise of stock</w:t>
            </w:r>
          </w:p>
        </w:tc>
        <w:tc>
          <w:tcPr>
            <w:tcW w:w="3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495,870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818,700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options</w:t>
            </w:r>
          </w:p>
        </w:tc>
        <w:tc>
          <w:tcPr>
            <w:tcW w:w="3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22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3,844,194</w:t>
            </w:r>
          </w:p>
        </w:tc>
        <w:tc>
          <w:tcPr>
            <w:tcW w:w="2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865,032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4,712,764</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2,547,739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vMerge w:val="restart"/>
          </w:tcPr>
          <w:p>
            <w:pPr>
              <w:jc w:val="right"/>
              <w:ind w:right="1550"/>
              <w:spacing w:after="0"/>
              <w:rPr>
                <w:sz w:val="20"/>
                <w:szCs w:val="20"/>
                <w:color w:val="auto"/>
              </w:rPr>
            </w:pPr>
            <w:r>
              <w:rPr>
                <w:rFonts w:ascii="Arial" w:cs="Arial" w:eastAsia="Arial" w:hAnsi="Arial"/>
                <w:sz w:val="18"/>
                <w:szCs w:val="18"/>
                <w:color w:val="auto"/>
              </w:rPr>
              <w:t>11</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-502285</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-502285</wp:posOffset>
            </wp:positionV>
            <wp:extent cx="3429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9. Leases</w:t>
      </w:r>
    </w:p>
    <w:p>
      <w:pPr>
        <w:spacing w:after="0" w:line="216"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The Company has leases for its office and laboratory space, including its corporate headquarters, with terms that expire in 2033. The Company has two options to extend the term of the operating lease for a period of three years each. However, as the Company was not reasonably certain to exercise either of those options at lease commencement, neither option was recognized as part of the associated operating lease Right of Use (ROU) asset or liability.</w:t>
      </w:r>
    </w:p>
    <w:p>
      <w:pPr>
        <w:spacing w:after="0" w:line="188"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March 2022, the Company entered into an agreement (the Expansion Lease), for an additional office and laboratory space. The Expansion Lease is expected to commence in the second quarter of 2023 and projected lease payments over the life of the lease are expected to be $5.5 million with a lease expiration of 120 months after the commencement of the Expansion Lease. The Company has an option to renew the Expansion Lease and its existing operating lease, which has the same lessor and has been amended to have the same lease term as the Expansion Lease for two additional thirty-six month periods</w:t>
      </w:r>
    </w:p>
    <w:p>
      <w:pPr>
        <w:spacing w:after="0" w:line="189"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In connection with the Company's operating leases, the Company paid a security deposit of $71,000 and is required to maintain a letter of credit of $1.0 million until 2027 at which time it can be reduced to $0.5 million throughout the end of the lease term.</w:t>
      </w:r>
    </w:p>
    <w:p>
      <w:pPr>
        <w:spacing w:after="0" w:line="171" w:lineRule="exact"/>
        <w:rPr>
          <w:sz w:val="20"/>
          <w:szCs w:val="20"/>
          <w:color w:val="auto"/>
        </w:rPr>
      </w:pPr>
    </w:p>
    <w:p>
      <w:pPr>
        <w:jc w:val="both"/>
        <w:ind w:right="140" w:firstLine="749"/>
        <w:spacing w:after="0" w:line="248" w:lineRule="auto"/>
        <w:rPr>
          <w:sz w:val="20"/>
          <w:szCs w:val="20"/>
          <w:color w:val="auto"/>
        </w:rPr>
      </w:pPr>
      <w:r>
        <w:rPr>
          <w:rFonts w:ascii="Arial" w:cs="Arial" w:eastAsia="Arial" w:hAnsi="Arial"/>
          <w:sz w:val="18"/>
          <w:szCs w:val="18"/>
          <w:color w:val="auto"/>
        </w:rPr>
        <w:t>The Company's operating lease cost was $0.1 million and $0.0 million for the three months ended March 31, 2022 and 2021, respectively. Cash paid for amounts included in the measurement of lease liabilities was $0.1 million and $0.1 million for the three months ended March 31, 2022 and 2021, respectively.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Maturities of lease liabilities, weighted-average remaining term and weighted-average discount rate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March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 ending December 31,</w:t>
            </w:r>
          </w:p>
        </w:tc>
        <w:tc>
          <w:tcPr>
            <w:tcW w:w="19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2022 (remaining nine months)</w:t>
            </w:r>
          </w:p>
        </w:tc>
        <w:tc>
          <w:tcPr>
            <w:tcW w:w="330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3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2023</w:t>
            </w:r>
          </w:p>
        </w:tc>
        <w:tc>
          <w:tcPr>
            <w:tcW w:w="19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2024</w:t>
            </w: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2025</w:t>
            </w:r>
          </w:p>
        </w:tc>
        <w:tc>
          <w:tcPr>
            <w:tcW w:w="19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2026</w:t>
            </w: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327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5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Thereafter</w:t>
            </w:r>
          </w:p>
        </w:tc>
        <w:tc>
          <w:tcPr>
            <w:tcW w:w="19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2,378</w:t>
            </w:r>
          </w:p>
        </w:tc>
        <w:tc>
          <w:tcPr>
            <w:tcW w:w="100" w:type="dxa"/>
            <w:vAlign w:val="bottom"/>
            <w:tcBorders>
              <w:bottom w:val="single" w:sz="8" w:color="CFF0FC"/>
            </w:tcBorders>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560" w:type="dxa"/>
            <w:vAlign w:val="bottom"/>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3,848</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3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9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(1,146 )</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5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Present value of lease liabilities</w:t>
            </w:r>
          </w:p>
        </w:tc>
        <w:tc>
          <w:tcPr>
            <w:tcW w:w="192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2,702</w:t>
            </w:r>
          </w:p>
        </w:tc>
        <w:tc>
          <w:tcPr>
            <w:tcW w:w="10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3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lease liabilities</w:t>
            </w:r>
          </w:p>
        </w:tc>
        <w:tc>
          <w:tcPr>
            <w:tcW w:w="19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(119 )</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5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Lease liabilities, noncurrent</w:t>
            </w:r>
          </w:p>
        </w:tc>
        <w:tc>
          <w:tcPr>
            <w:tcW w:w="3000" w:type="dxa"/>
            <w:vAlign w:val="bottom"/>
            <w:tcBorders>
              <w:top w:val="single" w:sz="8" w:color="CFF0FC"/>
            </w:tcBorders>
            <w:gridSpan w:val="2"/>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2,583</w:t>
            </w:r>
          </w:p>
        </w:tc>
        <w:tc>
          <w:tcPr>
            <w:tcW w:w="10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35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Weighted-average remaining lease term</w:t>
            </w:r>
          </w:p>
        </w:tc>
        <w:tc>
          <w:tcPr>
            <w:tcW w:w="3060" w:type="dxa"/>
            <w:vAlign w:val="bottom"/>
            <w:gridSpan w:val="3"/>
            <w:vMerge w:val="restart"/>
            <w:shd w:val="clear" w:color="auto" w:fill="CFF0FC"/>
          </w:tcPr>
          <w:p>
            <w:pPr>
              <w:ind w:left="2740"/>
              <w:spacing w:after="0"/>
              <w:rPr>
                <w:sz w:val="20"/>
                <w:szCs w:val="20"/>
                <w:color w:val="auto"/>
              </w:rPr>
            </w:pPr>
            <w:r>
              <w:rPr>
                <w:rFonts w:ascii="Arial" w:cs="Arial" w:eastAsia="Arial" w:hAnsi="Arial"/>
                <w:sz w:val="18"/>
                <w:szCs w:val="18"/>
                <w:color w:val="auto"/>
                <w:w w:val="85"/>
              </w:rPr>
              <w:t>11.3</w:t>
            </w:r>
          </w:p>
        </w:tc>
        <w:tc>
          <w:tcPr>
            <w:tcW w:w="2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(years) - operating leases</w:t>
            </w:r>
          </w:p>
        </w:tc>
        <w:tc>
          <w:tcPr>
            <w:tcW w:w="3060" w:type="dxa"/>
            <w:vAlign w:val="bottom"/>
            <w:gridSpan w:val="3"/>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3560" w:type="dxa"/>
            <w:vAlign w:val="bottom"/>
          </w:tcPr>
          <w:p>
            <w:pPr>
              <w:spacing w:after="0" w:line="162" w:lineRule="exact"/>
              <w:rPr>
                <w:sz w:val="20"/>
                <w:szCs w:val="20"/>
                <w:color w:val="auto"/>
              </w:rPr>
            </w:pPr>
            <w:r>
              <w:rPr>
                <w:rFonts w:ascii="Arial" w:cs="Arial" w:eastAsia="Arial" w:hAnsi="Arial"/>
                <w:sz w:val="18"/>
                <w:szCs w:val="18"/>
                <w:color w:val="auto"/>
              </w:rPr>
              <w:t>Weighted-average incremental borrowing</w:t>
            </w:r>
          </w:p>
        </w:tc>
        <w:tc>
          <w:tcPr>
            <w:tcW w:w="3300" w:type="dxa"/>
            <w:vAlign w:val="bottom"/>
            <w:gridSpan w:val="4"/>
            <w:vMerge w:val="restart"/>
          </w:tcPr>
          <w:p>
            <w:pPr>
              <w:ind w:left="2740"/>
              <w:spacing w:after="0"/>
              <w:rPr>
                <w:sz w:val="20"/>
                <w:szCs w:val="20"/>
                <w:color w:val="auto"/>
              </w:rPr>
            </w:pPr>
            <w:r>
              <w:rPr>
                <w:rFonts w:ascii="Arial" w:cs="Arial" w:eastAsia="Arial" w:hAnsi="Arial"/>
                <w:sz w:val="18"/>
                <w:szCs w:val="18"/>
                <w:color w:val="auto"/>
                <w:w w:val="96"/>
              </w:rPr>
              <w:t>6.50 %</w:t>
            </w:r>
          </w:p>
        </w:tc>
        <w:tc>
          <w:tcPr>
            <w:tcW w:w="15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7.50 %</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rate - operating leases</w:t>
            </w:r>
          </w:p>
        </w:tc>
        <w:tc>
          <w:tcPr>
            <w:tcW w:w="3300" w:type="dxa"/>
            <w:vAlign w:val="bottom"/>
            <w:gridSpan w:val="4"/>
            <w:vMerge w:val="continue"/>
          </w:tcPr>
          <w:p>
            <w:pPr>
              <w:spacing w:after="0"/>
              <w:rPr>
                <w:sz w:val="20"/>
                <w:szCs w:val="20"/>
                <w:color w:val="auto"/>
              </w:rPr>
            </w:pPr>
          </w:p>
        </w:tc>
        <w:tc>
          <w:tcPr>
            <w:tcW w:w="1560" w:type="dxa"/>
            <w:vAlign w:val="bottom"/>
            <w:gridSpan w:val="4"/>
            <w:vMerge w:val="continue"/>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jc w:val="right"/>
              <w:ind w:right="1090"/>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42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-1899285</wp:posOffset>
            </wp:positionV>
            <wp:extent cx="6032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-1633855</wp:posOffset>
            </wp:positionV>
            <wp:extent cx="6032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-1367790</wp:posOffset>
            </wp:positionV>
            <wp:extent cx="603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2021 and the related Management’s Discussion and Analysis of Financial Condition and Results of Operations, both of which are contained in the Annual Report on Form 10-K for the year ended December 31, 2021 (the 2021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the COVID-19 pandemic on our business,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ind w:firstLine="794"/>
        <w:spacing w:after="0" w:line="252" w:lineRule="auto"/>
        <w:rPr>
          <w:sz w:val="20"/>
          <w:szCs w:val="20"/>
          <w:color w:val="auto"/>
        </w:rPr>
      </w:pPr>
      <w:r>
        <w:rPr>
          <w:rFonts w:ascii="Arial" w:cs="Arial" w:eastAsia="Arial" w:hAnsi="Arial"/>
          <w:sz w:val="17"/>
          <w:szCs w:val="17"/>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(FGFR) family members, which are altered in approximately 7% of all cancers. We are advancing multiple product candidates toward the clinic including our lead product candidate TYRA-300, an FGFR3 inhibitor with an initial focus on patients with metastatic urothelial carcinoma of the bladder and urinary tract. Our second product candidate, TYRA-200, is an FGFR2 inhibitor with an initial focus on patients with intrahepatic cholangiocarcinoma who have developed drug resistance mutations to existing FGFR inhibitors due to activating mutations and gene alterations in FGFR2. We anticipate submitting an Investigational New Drug application (IND) with the U.S. Food and Drug Administration (FDA) for TYRA-300 in mid-2022 and for TYRA-200 in the second half of 2022. In addition, we have pipeline development programs targeting FGFR3-related achondroplasia and other FGFR3-related skeletal dysplasias, REarranged during Transfection kinase (RET), and FGFR4-related cancers.</w:t>
      </w:r>
    </w:p>
    <w:p>
      <w:pPr>
        <w:spacing w:after="0" w:line="167"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 for Future Equity. Our net losses for the three months ended March 31, 2022 and 2021 were $14.8 million and $4.2 million, respectively. As of March 31, 2022, we had an accumulated deficit of $55.2 million. As of March 31, 2022, we had cash and cash equivalents of $292.5 million.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 w:name="page15"/>
    <w:bookmarkEnd w:id="14"/>
    <w:p>
      <w:pPr>
        <w:ind w:firstLine="749"/>
        <w:spacing w:after="0" w:line="279" w:lineRule="auto"/>
        <w:rPr>
          <w:sz w:val="20"/>
          <w:szCs w:val="20"/>
          <w:color w:val="auto"/>
        </w:rPr>
      </w:pPr>
      <w:r>
        <w:rPr>
          <w:rFonts w:ascii="Arial" w:cs="Arial" w:eastAsia="Arial" w:hAnsi="Arial"/>
          <w:sz w:val="16"/>
          <w:szCs w:val="16"/>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planned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59" w:lineRule="exact"/>
        <w:rPr>
          <w:sz w:val="20"/>
          <w:szCs w:val="20"/>
          <w:color w:val="auto"/>
        </w:rPr>
      </w:pPr>
    </w:p>
    <w:p>
      <w:pPr>
        <w:ind w:right="80" w:firstLine="749"/>
        <w:spacing w:after="0" w:line="270" w:lineRule="auto"/>
        <w:rPr>
          <w:sz w:val="20"/>
          <w:szCs w:val="20"/>
          <w:color w:val="auto"/>
        </w:rPr>
      </w:pPr>
      <w:r>
        <w:rPr>
          <w:rFonts w:ascii="Arial" w:cs="Arial" w:eastAsia="Arial" w:hAnsi="Arial"/>
          <w:sz w:val="16"/>
          <w:szCs w:val="16"/>
          <w:color w:val="auto"/>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71"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The global COVID-19 pandemic continues to evolve, and we will continue to monitor the COVID-19 situation closely. The extent of the impact of the COVID-19 pandemic on our business, operations and development timelines and plans remains uncertain, and will depend on certain developments, including the duration and spread of the pandemic and its impact on our development activities, contract research organizations (CROs), third-party manufacturers and other third parties with whom we do business, as well as its impact on regulatory authorities and our key scientific and management personnel.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71" w:lineRule="exact"/>
        <w:rPr>
          <w:sz w:val="20"/>
          <w:szCs w:val="20"/>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costs, including:</w:t>
      </w:r>
    </w:p>
    <w:p>
      <w:pPr>
        <w:spacing w:after="0" w:line="211" w:lineRule="exact"/>
        <w:rPr>
          <w:rFonts w:ascii="Arial" w:cs="Arial" w:eastAsia="Arial" w:hAnsi="Arial"/>
          <w:sz w:val="18"/>
          <w:szCs w:val="18"/>
          <w:color w:val="auto"/>
        </w:rPr>
      </w:pPr>
    </w:p>
    <w:p>
      <w:pPr>
        <w:ind w:left="1380" w:right="120" w:hanging="308"/>
        <w:spacing w:after="0" w:line="261"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product candidates, including under agreements with third parties, such as consultants and CROs;</w:t>
      </w:r>
    </w:p>
    <w:p>
      <w:pPr>
        <w:spacing w:after="0" w:line="170" w:lineRule="exact"/>
        <w:rPr>
          <w:rFonts w:ascii="Arial" w:cs="Arial" w:eastAsia="Arial" w:hAnsi="Arial"/>
          <w:sz w:val="18"/>
          <w:szCs w:val="18"/>
          <w:color w:val="auto"/>
        </w:rPr>
      </w:pPr>
    </w:p>
    <w:p>
      <w:pPr>
        <w:ind w:left="1380" w:hanging="30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costs associated with consultants for chemistry, manufacturing and controls, or CMC development, and other services; and</w:t>
      </w:r>
    </w:p>
    <w:p>
      <w:pPr>
        <w:spacing w:after="0" w:line="211" w:lineRule="exact"/>
        <w:rPr>
          <w:rFonts w:ascii="Arial" w:cs="Arial" w:eastAsia="Arial" w:hAnsi="Arial"/>
          <w:sz w:val="18"/>
          <w:szCs w:val="18"/>
          <w:color w:val="auto"/>
        </w:rPr>
      </w:pPr>
    </w:p>
    <w:p>
      <w:pPr>
        <w:ind w:left="1380" w:right="800" w:hanging="308"/>
        <w:spacing w:after="0" w:line="261"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cost of manufacturing compounds for use in our preclinical studies, including under agreements with third parties, such as consultants and third-party manufacturers; and</w:t>
      </w:r>
    </w:p>
    <w:p>
      <w:pPr>
        <w:spacing w:after="0" w:line="170" w:lineRule="exact"/>
        <w:rPr>
          <w:rFonts w:ascii="Arial" w:cs="Arial" w:eastAsia="Arial" w:hAnsi="Arial"/>
          <w:sz w:val="18"/>
          <w:szCs w:val="18"/>
          <w:color w:val="auto"/>
        </w:rPr>
      </w:pPr>
    </w:p>
    <w:p>
      <w:pPr>
        <w:ind w:left="1120" w:hanging="363"/>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211" w:lineRule="exact"/>
        <w:rPr>
          <w:rFonts w:ascii="Arial" w:cs="Arial" w:eastAsia="Arial" w:hAnsi="Arial"/>
          <w:sz w:val="18"/>
          <w:szCs w:val="18"/>
          <w:color w:val="auto"/>
        </w:rPr>
      </w:pPr>
    </w:p>
    <w:p>
      <w:pPr>
        <w:ind w:left="1380" w:right="20" w:hanging="308"/>
        <w:spacing w:after="0" w:line="261"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170" w:lineRule="exact"/>
        <w:rPr>
          <w:rFonts w:ascii="Arial" w:cs="Arial" w:eastAsia="Arial" w:hAnsi="Arial"/>
          <w:sz w:val="18"/>
          <w:szCs w:val="18"/>
          <w:color w:val="auto"/>
        </w:rPr>
      </w:pPr>
    </w:p>
    <w:p>
      <w:pPr>
        <w:ind w:left="1380" w:hanging="30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211" w:lineRule="exact"/>
        <w:rPr>
          <w:rFonts w:ascii="Arial" w:cs="Arial" w:eastAsia="Arial" w:hAnsi="Arial"/>
          <w:sz w:val="18"/>
          <w:szCs w:val="18"/>
          <w:color w:val="auto"/>
        </w:rPr>
      </w:pPr>
    </w:p>
    <w:p>
      <w:pPr>
        <w:ind w:left="1380" w:hanging="308"/>
        <w:spacing w:after="0"/>
        <w:tabs>
          <w:tab w:leader="none" w:pos="1380" w:val="left"/>
        </w:tabs>
        <w:numPr>
          <w:ilvl w:val="1"/>
          <w:numId w:val="5"/>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allocated expenses for rent and maintenance of facilities, and supplies.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right="200" w:firstLine="749"/>
        <w:spacing w:after="0" w:line="241" w:lineRule="auto"/>
        <w:rPr>
          <w:sz w:val="20"/>
          <w:szCs w:val="20"/>
          <w:color w:val="auto"/>
        </w:rPr>
      </w:pPr>
      <w:r>
        <w:rPr>
          <w:rFonts w:ascii="Arial" w:cs="Arial" w:eastAsia="Arial" w:hAnsi="Arial"/>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89"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research and development expenses may vary significantly based on a wide variety of factors such as:</w:t>
      </w:r>
    </w:p>
    <w:p>
      <w:pPr>
        <w:spacing w:after="0" w:line="212" w:lineRule="exact"/>
        <w:rPr>
          <w:sz w:val="20"/>
          <w:szCs w:val="20"/>
          <w:color w:val="auto"/>
        </w:rPr>
      </w:pPr>
    </w:p>
    <w:p>
      <w:pPr>
        <w:ind w:left="1080" w:hanging="323"/>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and scope, rate of progress, expense and results of our discovery and preclinical development activities and clinical trials;</w:t>
      </w:r>
    </w:p>
    <w:p>
      <w:pPr>
        <w:spacing w:after="0" w:line="223" w:lineRule="exact"/>
        <w:rPr>
          <w:rFonts w:ascii="Arial" w:cs="Arial" w:eastAsia="Arial" w:hAnsi="Arial"/>
          <w:sz w:val="17"/>
          <w:szCs w:val="17"/>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receipt, and terms of any approvals from applicable regulatory authorities including the FDA and non-U.S. regulators;</w:t>
      </w:r>
    </w:p>
    <w:p>
      <w:pPr>
        <w:spacing w:after="0" w:line="223" w:lineRule="exact"/>
        <w:rPr>
          <w:rFonts w:ascii="Arial" w:cs="Arial" w:eastAsia="Arial" w:hAnsi="Arial"/>
          <w:sz w:val="17"/>
          <w:szCs w:val="17"/>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11" w:lineRule="exact"/>
        <w:rPr>
          <w:rFonts w:ascii="Arial" w:cs="Arial" w:eastAsia="Arial" w:hAnsi="Arial"/>
          <w:sz w:val="18"/>
          <w:szCs w:val="18"/>
          <w:color w:val="auto"/>
        </w:rPr>
      </w:pPr>
    </w:p>
    <w:p>
      <w:pPr>
        <w:ind w:left="1080" w:right="380" w:hanging="323"/>
        <w:spacing w:after="0" w:line="26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in light of the COVID-19 pandemic environment; and</w:t>
      </w:r>
    </w:p>
    <w:p>
      <w:pPr>
        <w:spacing w:after="0" w:line="170"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right="220" w:firstLine="749"/>
        <w:spacing w:after="0" w:line="26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1"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SEC, requirements, director and officer insurance costs, and investor and public relations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3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9,645</w:t>
            </w:r>
          </w:p>
        </w:tc>
        <w:tc>
          <w:tcPr>
            <w:tcW w:w="2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3,522</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6,123</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5,189</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689</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4,500</w:t>
            </w:r>
          </w:p>
        </w:tc>
        <w:tc>
          <w:tcPr>
            <w:tcW w:w="10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14,834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4,211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10,623</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(14,834 )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(4,211 )</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(10,623 )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(10 )</w:t>
            </w:r>
          </w:p>
        </w:tc>
        <w:tc>
          <w:tcPr>
            <w:tcW w:w="30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(10 )</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(14,826 )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(4,209 )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(10,617 )</w:t>
            </w: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-1290955</wp:posOffset>
            </wp:positionV>
            <wp:extent cx="6032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-1290955</wp:posOffset>
            </wp:positionV>
            <wp:extent cx="603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-1290955</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-502285</wp:posOffset>
            </wp:positionV>
            <wp:extent cx="603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-502285</wp:posOffset>
            </wp:positionV>
            <wp:extent cx="603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-502285</wp:posOffset>
            </wp:positionV>
            <wp:extent cx="603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Research and development expenses were $9.6 million and $3.5 million for the three months ended March 31, 2022 and 2021, respectively. The increase of $6.1 million was primarily due to additional spend to support the advancement of our TYRA-300, TYRA-200 and our SNÅP platform, including $2.8 million of higher personnel-related costs, including $1.4 million of non-cash stock-based compensation costs.</w:t>
      </w:r>
    </w:p>
    <w:p>
      <w:pPr>
        <w:spacing w:after="0" w:line="164"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three months ended March 31, 2022 and 2021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46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External research and development expense by</w:t>
            </w:r>
          </w:p>
        </w:tc>
        <w:tc>
          <w:tcPr>
            <w:tcW w:w="9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program</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TYRA-300</w:t>
            </w:r>
          </w:p>
        </w:tc>
        <w:tc>
          <w:tcPr>
            <w:tcW w:w="960" w:type="dxa"/>
            <w:vAlign w:val="bottom"/>
          </w:tcPr>
          <w:p>
            <w:pPr>
              <w:jc w:val="right"/>
              <w:ind w:right="77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2,292</w:t>
            </w:r>
          </w:p>
        </w:tc>
        <w:tc>
          <w:tcPr>
            <w:tcW w:w="11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1,340</w:t>
            </w:r>
          </w:p>
        </w:tc>
        <w:tc>
          <w:tcPr>
            <w:tcW w:w="60" w:type="dxa"/>
            <w:vAlign w:val="bottom"/>
          </w:tcPr>
          <w:p>
            <w:pPr>
              <w:spacing w:after="0"/>
              <w:rPr>
                <w:sz w:val="17"/>
                <w:szCs w:val="17"/>
                <w:color w:val="auto"/>
              </w:rPr>
            </w:pPr>
          </w:p>
        </w:tc>
      </w:tr>
      <w:tr>
        <w:trPr>
          <w:trHeight w:val="202"/>
        </w:trPr>
        <w:tc>
          <w:tcPr>
            <w:tcW w:w="4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TYRA-200</w:t>
            </w: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1,007</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60" w:type="dxa"/>
            <w:vAlign w:val="bottom"/>
            <w:shd w:val="clear" w:color="auto" w:fill="CFF0FC"/>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FGFR3 ACH</w:t>
            </w:r>
          </w:p>
        </w:tc>
        <w:tc>
          <w:tcPr>
            <w:tcW w:w="9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RET</w:t>
            </w: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1,466</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shd w:val="clear" w:color="auto" w:fill="CFF0FC"/>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FGFR4</w:t>
            </w:r>
          </w:p>
        </w:tc>
        <w:tc>
          <w:tcPr>
            <w:tcW w:w="9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60" w:type="dxa"/>
            <w:vAlign w:val="bottom"/>
          </w:tcPr>
          <w:p>
            <w:pPr>
              <w:spacing w:after="0"/>
              <w:rPr>
                <w:sz w:val="17"/>
                <w:szCs w:val="17"/>
                <w:color w:val="auto"/>
              </w:rPr>
            </w:pPr>
          </w:p>
        </w:tc>
      </w:tr>
      <w:tr>
        <w:trPr>
          <w:trHeight w:val="203"/>
        </w:trPr>
        <w:tc>
          <w:tcPr>
            <w:tcW w:w="4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development programs</w:t>
            </w: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Unallocated research and development expense</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research and development</w:t>
            </w: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60" w:type="dxa"/>
            <w:vAlign w:val="bottom"/>
            <w:shd w:val="clear" w:color="auto" w:fill="CFF0FC"/>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Personnel-related expenses</w:t>
            </w:r>
          </w:p>
        </w:tc>
        <w:tc>
          <w:tcPr>
            <w:tcW w:w="9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1,626</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c>
          <w:tcPr>
            <w:tcW w:w="60" w:type="dxa"/>
            <w:vAlign w:val="bottom"/>
          </w:tcPr>
          <w:p>
            <w:pPr>
              <w:spacing w:after="0"/>
              <w:rPr>
                <w:sz w:val="17"/>
                <w:szCs w:val="17"/>
                <w:color w:val="auto"/>
              </w:rPr>
            </w:pPr>
          </w:p>
        </w:tc>
      </w:tr>
      <w:tr>
        <w:trPr>
          <w:trHeight w:val="203"/>
        </w:trPr>
        <w:tc>
          <w:tcPr>
            <w:tcW w:w="46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1,478</w:t>
            </w: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w:t>
            </w:r>
          </w:p>
        </w:tc>
        <w:tc>
          <w:tcPr>
            <w:tcW w:w="960" w:type="dxa"/>
            <w:vAlign w:val="bottom"/>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9,645</w:t>
            </w:r>
          </w:p>
        </w:tc>
        <w:tc>
          <w:tcPr>
            <w:tcW w:w="1140" w:type="dxa"/>
            <w:vAlign w:val="bottom"/>
            <w:gridSpan w:val="2"/>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3,522</w:t>
            </w:r>
          </w:p>
        </w:tc>
        <w:tc>
          <w:tcPr>
            <w:tcW w:w="6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-159385</wp:posOffset>
            </wp:positionV>
            <wp:extent cx="431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General and administrative expenses were $5.2 million and $0.7 million for the three months ended March 31, 2022 and 2021, respectively. The increase of $4.5 million was primarily due to increases of $3.3 million in personnel-related expenses, including $2.4 million in non-cash stock-based compensation costs, $0.6 million in professional services related to legal, accounting, and other consulting fees and $0.6 million in other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600" w:firstLine="749"/>
        <w:spacing w:after="0" w:line="248" w:lineRule="auto"/>
        <w:rPr>
          <w:sz w:val="20"/>
          <w:szCs w:val="20"/>
          <w:color w:val="auto"/>
        </w:rPr>
      </w:pPr>
      <w:r>
        <w:rPr>
          <w:rFonts w:ascii="Arial" w:cs="Arial" w:eastAsia="Arial" w:hAnsi="Arial"/>
          <w:sz w:val="18"/>
          <w:szCs w:val="18"/>
          <w:color w:val="auto"/>
        </w:rPr>
        <w:t>On September 17, 2021, we completed our IPO and issued 12,420,000 shares of common stock for net proceeds of approximately $181.2 million. Prior to our initial public offering, we funded our operations primarily through private placements of our convertible preferred stock with aggregate gross proceeds of $157.2 million.</w:t>
      </w:r>
    </w:p>
    <w:p>
      <w:pPr>
        <w:spacing w:after="0" w:line="18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82"/>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(8,925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(4,678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(239 )</w:t>
            </w:r>
          </w:p>
        </w:tc>
        <w:tc>
          <w:tcPr>
            <w:tcW w:w="10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130,152</w:t>
            </w:r>
          </w:p>
        </w:tc>
        <w:tc>
          <w:tcPr>
            <w:tcW w:w="10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60" w:type="dxa"/>
            <w:vAlign w:val="bottom"/>
          </w:tcPr>
          <w:p>
            <w:pPr>
              <w:spacing w:after="0" w:line="196" w:lineRule="exact"/>
              <w:rPr>
                <w:sz w:val="20"/>
                <w:szCs w:val="20"/>
                <w:color w:val="auto"/>
              </w:rPr>
            </w:pPr>
            <w:r>
              <w:rPr>
                <w:rFonts w:ascii="Arial" w:cs="Arial" w:eastAsia="Arial" w:hAnsi="Arial"/>
                <w:sz w:val="18"/>
                <w:szCs w:val="18"/>
                <w:color w:val="auto"/>
                <w:w w:val="99"/>
              </w:rPr>
              <w:t>Net cash (decrease) increase for the period</w:t>
            </w:r>
          </w:p>
        </w:tc>
        <w:tc>
          <w:tcPr>
            <w:tcW w:w="1800" w:type="dxa"/>
            <w:vAlign w:val="bottom"/>
            <w:gridSpan w:val="2"/>
          </w:tcPr>
          <w:p>
            <w:pPr>
              <w:jc w:val="right"/>
              <w:ind w:right="882"/>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(8,926 )</w:t>
            </w:r>
          </w:p>
        </w:tc>
        <w:tc>
          <w:tcPr>
            <w:tcW w:w="1040" w:type="dxa"/>
            <w:vAlign w:val="bottom"/>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2"/>
              </w:rPr>
              <w:t>125,414</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17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-502285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-502285</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jc w:val="both"/>
        <w:ind w:right="200" w:firstLine="749"/>
        <w:spacing w:after="0" w:line="248" w:lineRule="auto"/>
        <w:rPr>
          <w:sz w:val="20"/>
          <w:szCs w:val="20"/>
          <w:color w:val="auto"/>
        </w:rPr>
      </w:pPr>
      <w:r>
        <w:rPr>
          <w:rFonts w:ascii="Arial" w:cs="Arial" w:eastAsia="Arial" w:hAnsi="Arial"/>
          <w:sz w:val="18"/>
          <w:szCs w:val="18"/>
          <w:color w:val="auto"/>
        </w:rPr>
        <w:t>Net cash used in operating activities for the three months ended March 31, 2022 was $8.9 million, consisting primarily of our net loss of $14.8 million, adjusted for $4.0 million of non-cash charges related to stock-based compensation expense and $1.9.0 million for net changes in operating assets and liabilities.</w:t>
      </w:r>
    </w:p>
    <w:p>
      <w:pPr>
        <w:spacing w:after="0" w:line="182" w:lineRule="exact"/>
        <w:rPr>
          <w:sz w:val="20"/>
          <w:szCs w:val="20"/>
          <w:color w:val="auto"/>
        </w:rPr>
      </w:pPr>
    </w:p>
    <w:p>
      <w:pPr>
        <w:ind w:right="300" w:firstLine="749"/>
        <w:spacing w:after="0" w:line="248" w:lineRule="auto"/>
        <w:rPr>
          <w:sz w:val="20"/>
          <w:szCs w:val="20"/>
          <w:color w:val="auto"/>
        </w:rPr>
      </w:pPr>
      <w:r>
        <w:rPr>
          <w:rFonts w:ascii="Arial" w:cs="Arial" w:eastAsia="Arial" w:hAnsi="Arial"/>
          <w:sz w:val="18"/>
          <w:szCs w:val="18"/>
          <w:color w:val="auto"/>
        </w:rPr>
        <w:t>Net cash used in operating activities for the three months ended March 31, 2021 was $4.7 million, consisting primarily of our net loss of $4.2 million and $0.7 million for net changes in operating assets and liabilities, partially offset by $0.2 million of non-cash charges related to stock-based compensation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560" w:firstLine="749"/>
        <w:spacing w:after="0" w:line="261" w:lineRule="auto"/>
        <w:rPr>
          <w:sz w:val="20"/>
          <w:szCs w:val="20"/>
          <w:color w:val="auto"/>
        </w:rPr>
      </w:pPr>
      <w:r>
        <w:rPr>
          <w:rFonts w:ascii="Arial" w:cs="Arial" w:eastAsia="Arial" w:hAnsi="Arial"/>
          <w:sz w:val="18"/>
          <w:szCs w:val="18"/>
          <w:color w:val="auto"/>
        </w:rPr>
        <w:t>Net cash used in investing activities for the three months ended March 31, 2022 and 2021 was $0.2 million and $0.1 million, respectively, consisting of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Net cash provided by financing activities was $0.2 million for the three months ended March 31, 2022 and was primarily related to $0.2 million from proceeds received from the issuance of common stock under benefit plans.</w:t>
      </w:r>
    </w:p>
    <w:p>
      <w:pPr>
        <w:spacing w:after="0" w:line="171" w:lineRule="exact"/>
        <w:rPr>
          <w:sz w:val="20"/>
          <w:szCs w:val="20"/>
          <w:color w:val="auto"/>
        </w:rPr>
      </w:pPr>
    </w:p>
    <w:p>
      <w:pPr>
        <w:ind w:right="320" w:firstLine="749"/>
        <w:spacing w:after="0" w:line="270" w:lineRule="auto"/>
        <w:rPr>
          <w:sz w:val="20"/>
          <w:szCs w:val="20"/>
          <w:color w:val="auto"/>
        </w:rPr>
      </w:pPr>
      <w:r>
        <w:rPr>
          <w:rFonts w:ascii="Arial" w:cs="Arial" w:eastAsia="Arial" w:hAnsi="Arial"/>
          <w:sz w:val="17"/>
          <w:szCs w:val="17"/>
          <w:color w:val="auto"/>
        </w:rPr>
        <w:t>Net cash provided by financing activities was $130.2 million for the three months ended March 31, 2021, primarily related to net proceeds of $23.5 million from the second closing of our Series A convertible preferred stock, $106.1 million in net proceeds from the issuance of our Series B convertible preferred stock, and $0.6 million from proceeds received from the issuance of common stock under equity plans.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1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080" w:right="20" w:hanging="323"/>
        <w:spacing w:after="0" w:line="24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81" w:lineRule="exact"/>
        <w:rPr>
          <w:rFonts w:ascii="Arial" w:cs="Arial" w:eastAsia="Arial" w:hAnsi="Arial"/>
          <w:sz w:val="18"/>
          <w:szCs w:val="18"/>
          <w:color w:val="auto"/>
        </w:rPr>
      </w:pPr>
    </w:p>
    <w:p>
      <w:pPr>
        <w:ind w:left="1080" w:right="340" w:hanging="323"/>
        <w:spacing w:after="0" w:line="26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manufacturing for current or future product candidates, including commercial scale manufacturing if any product candidate is approved;</w:t>
      </w:r>
    </w:p>
    <w:p>
      <w:pPr>
        <w:spacing w:after="0" w:line="170"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current or future product candidates;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11" w:lineRule="exact"/>
        <w:rPr>
          <w:rFonts w:ascii="Arial" w:cs="Arial" w:eastAsia="Arial" w:hAnsi="Arial"/>
          <w:sz w:val="18"/>
          <w:szCs w:val="18"/>
          <w:color w:val="auto"/>
        </w:rPr>
      </w:pPr>
    </w:p>
    <w:p>
      <w:pPr>
        <w:ind w:left="1080" w:right="160" w:hanging="323"/>
        <w:spacing w:after="0" w:line="26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70" w:lineRule="exact"/>
        <w:rPr>
          <w:rFonts w:ascii="Arial" w:cs="Arial" w:eastAsia="Arial" w:hAnsi="Arial"/>
          <w:sz w:val="18"/>
          <w:szCs w:val="18"/>
          <w:color w:val="auto"/>
        </w:rPr>
      </w:pPr>
    </w:p>
    <w:p>
      <w:pPr>
        <w:ind w:left="1080" w:right="460" w:hanging="323"/>
        <w:spacing w:after="0" w:line="26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70"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if any current or future product candidate is approved;</w:t>
      </w:r>
    </w:p>
    <w:p>
      <w:pPr>
        <w:spacing w:after="0" w:line="223" w:lineRule="exact"/>
        <w:rPr>
          <w:rFonts w:ascii="Arial" w:cs="Arial" w:eastAsia="Arial" w:hAnsi="Arial"/>
          <w:sz w:val="17"/>
          <w:szCs w:val="17"/>
          <w:color w:val="auto"/>
        </w:rPr>
      </w:pPr>
    </w:p>
    <w:p>
      <w:pPr>
        <w:ind w:left="1080" w:hanging="323"/>
        <w:spacing w:after="0" w:line="24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 and</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delays or issues with any of the above, including the risk of each of which may be exacerbated by the ongoing COVID-19 pandemic.</w:t>
      </w:r>
    </w:p>
    <w:p>
      <w:pPr>
        <w:spacing w:after="0" w:line="223"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three months ended March 31, 2022 to the information regarding our contractual obligations that was disclosed in “Management’s Discussion and Analysis of Financial Condition and Results of Operations” included in the 2021 Annual Report.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contractual obligations and commitments as of March 31, 2022 (in thousands):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6"/>
              </w:rPr>
              <w:t>Remainder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8"/>
              </w:rPr>
              <w:t>2023-2024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8"/>
              </w:rPr>
              <w:t>2025-2026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420" w:firstLine="749"/>
        <w:spacing w:after="0" w:line="248"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March 31, 2022, as compared to the critical accounting policies and estimates disclosed in “Management’s Discussion and Analysis of Financial Condition and Results of Operations” included in the 2021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See Note 2 to our financial statements included elsewhere in this Quarterly Report on Form 10-Q for recently issued accounting pronouncements that may potentially impact our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As of March 31, 2022,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2021 Annual Report.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ind w:right="100" w:firstLine="749"/>
        <w:spacing w:after="0" w:line="274"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Changes in Internal Control Over Financial Reporting</w:t>
      </w:r>
    </w:p>
    <w:p>
      <w:pPr>
        <w:spacing w:after="0" w:line="216"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Due to a transition period established by SEC rules applicable to newly public companies, our management is not required to evaluate the effectiveness of our internal control over financial reporting until the filing of our Annual Report on Form 10-K for the year ended December 31, 2022. As a result, this Quarterly Report on Form 10-Q does not address whether there have been any changes in our internal control over financial reporting.</w:t>
      </w: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100" w:firstLine="749"/>
        <w:spacing w:after="0" w:line="294"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has been no material changes to the risk factors disclosed in Item 1A of our 2021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16"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80"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There has been no material change in the planned use of such proceeds from that described in our final prospectus filed with the SEC pursuant to Rule 424(b)(4) under the Securities Act on September 15,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4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160" w:type="dxa"/>
            <w:vAlign w:val="bottom"/>
          </w:tcPr>
          <w:p>
            <w:pPr>
              <w:spacing w:after="0"/>
              <w:rPr>
                <w:sz w:val="24"/>
                <w:szCs w:val="24"/>
                <w:color w:val="auto"/>
              </w:rPr>
            </w:pPr>
          </w:p>
        </w:tc>
        <w:tc>
          <w:tcPr>
            <w:tcW w:w="2940" w:type="dxa"/>
            <w:vAlign w:val="bottom"/>
            <w:gridSpan w:val="5"/>
          </w:tcPr>
          <w:p>
            <w:pPr>
              <w:ind w:left="44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5800" w:type="dxa"/>
            <w:vAlign w:val="bottom"/>
            <w:gridSpan w:val="23"/>
            <w:vMerge w:val="restart"/>
          </w:tcPr>
          <w:p>
            <w:pPr>
              <w:spacing w:after="0"/>
              <w:rPr>
                <w:rFonts w:ascii="Arial" w:cs="Arial" w:eastAsia="Arial" w:hAnsi="Arial"/>
                <w:sz w:val="18"/>
                <w:szCs w:val="18"/>
                <w:color w:val="0000FF"/>
              </w:rPr>
            </w:pPr>
            <w:hyperlink r:id="rId126">
              <w:r>
                <w:rPr>
                  <w:rFonts w:ascii="Arial" w:cs="Arial" w:eastAsia="Arial" w:hAnsi="Arial"/>
                  <w:sz w:val="18"/>
                  <w:szCs w:val="18"/>
                  <w:color w:val="0000FF"/>
                </w:rPr>
                <w:t>Amended and Restated Certificate of Incorporation</w:t>
              </w:r>
            </w:hyperlink>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00" w:type="dxa"/>
            <w:vAlign w:val="bottom"/>
            <w:gridSpan w:val="23"/>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Arial" w:cs="Arial" w:eastAsia="Arial" w:hAnsi="Arial"/>
                <w:sz w:val="18"/>
                <w:szCs w:val="18"/>
                <w:color w:val="auto"/>
                <w:w w:val="99"/>
              </w:rPr>
              <w:t>8-K</w:t>
            </w:r>
          </w:p>
        </w:tc>
        <w:tc>
          <w:tcPr>
            <w:tcW w:w="10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8"/>
                <w:szCs w:val="18"/>
                <w:color w:val="auto"/>
                <w:w w:val="89"/>
              </w:rPr>
              <w:t>9/17/21</w:t>
            </w:r>
          </w:p>
        </w:tc>
        <w:tc>
          <w:tcPr>
            <w:tcW w:w="120" w:type="dxa"/>
            <w:vAlign w:val="bottom"/>
            <w:vMerge w:val="continue"/>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10"/>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Amended and Restated Bylaws</w:t>
              </w:r>
            </w:hyperlink>
          </w:p>
        </w:tc>
        <w:tc>
          <w:tcPr>
            <w:tcW w:w="212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9/17/21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13"/>
          </w:tcPr>
          <w:p>
            <w:pPr>
              <w:spacing w:after="0"/>
              <w:rPr>
                <w:rFonts w:ascii="Arial" w:cs="Arial" w:eastAsia="Arial" w:hAnsi="Arial"/>
                <w:sz w:val="18"/>
                <w:szCs w:val="18"/>
                <w:color w:val="0000FF"/>
                <w:w w:val="89"/>
              </w:rPr>
            </w:pPr>
            <w:hyperlink r:id="rId128">
              <w:r>
                <w:rPr>
                  <w:rFonts w:ascii="Arial" w:cs="Arial" w:eastAsia="Arial" w:hAnsi="Arial"/>
                  <w:sz w:val="18"/>
                  <w:szCs w:val="18"/>
                  <w:color w:val="0000FF"/>
                  <w:w w:val="89"/>
                </w:rPr>
                <w:t>Specimen stock certificate evidencing the shares of common stock</w:t>
              </w:r>
            </w:hyperlink>
          </w:p>
        </w:tc>
        <w:tc>
          <w:tcPr>
            <w:tcW w:w="20" w:type="dxa"/>
            <w:vAlign w:val="bottom"/>
            <w:tcBorders>
              <w:bottom w:val="single" w:sz="8" w:color="0000EE"/>
            </w:tcBorders>
          </w:tcPr>
          <w:p>
            <w:pPr>
              <w:spacing w:after="0"/>
              <w:rPr>
                <w:sz w:val="24"/>
                <w:szCs w:val="24"/>
                <w:color w:val="auto"/>
              </w:rPr>
            </w:pPr>
          </w:p>
        </w:tc>
        <w:tc>
          <w:tcPr>
            <w:tcW w:w="100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3"/>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Amended and Restated Investors’ Rights Agreement, dated March 5, 2021, by</w:t>
              </w:r>
            </w:hyperlink>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9/9/21</w:t>
            </w:r>
          </w:p>
        </w:tc>
        <w:tc>
          <w:tcPr>
            <w:tcW w:w="1220" w:type="dxa"/>
            <w:vAlign w:val="bottom"/>
            <w:gridSpan w:val="2"/>
          </w:tcPr>
          <w:p>
            <w:pPr>
              <w:jc w:val="right"/>
              <w:ind w:right="3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and among the Registrant and certain of its stockholders</w:t>
              </w:r>
            </w:hyperlink>
          </w:p>
        </w:tc>
        <w:tc>
          <w:tcPr>
            <w:tcW w:w="20" w:type="dxa"/>
            <w:vAlign w:val="bottom"/>
            <w:tcBorders>
              <w:top w:val="single" w:sz="8" w:color="0000FF"/>
              <w:bottom w:val="single" w:sz="8" w:color="0000EE"/>
            </w:tcBorders>
          </w:tcPr>
          <w:p>
            <w:pPr>
              <w:spacing w:after="0"/>
              <w:rPr>
                <w:sz w:val="13"/>
                <w:szCs w:val="13"/>
                <w:color w:val="auto"/>
              </w:rPr>
            </w:pPr>
          </w:p>
        </w:tc>
        <w:tc>
          <w:tcPr>
            <w:tcW w:w="16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12"/>
          </w:tcPr>
          <w:p>
            <w:pPr>
              <w:spacing w:after="0" w:line="169"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First Amendment to Lease between the Registrant and</w:t>
              </w:r>
            </w:hyperlink>
          </w:p>
        </w:tc>
        <w:tc>
          <w:tcPr>
            <w:tcW w:w="1740" w:type="dxa"/>
            <w:vAlign w:val="bottom"/>
            <w:gridSpan w:val="11"/>
          </w:tcPr>
          <w:p>
            <w:pPr>
              <w:spacing w:after="0" w:line="169"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Fabric 2656 State, LLC,</w:t>
              </w:r>
            </w:hyperlink>
          </w:p>
        </w:tc>
        <w:tc>
          <w:tcPr>
            <w:tcW w:w="160" w:type="dxa"/>
            <w:vAlign w:val="bottom"/>
          </w:tcPr>
          <w:p>
            <w:pPr>
              <w:spacing w:after="0"/>
              <w:rPr>
                <w:sz w:val="14"/>
                <w:szCs w:val="14"/>
                <w:color w:val="auto"/>
              </w:rPr>
            </w:pPr>
          </w:p>
        </w:tc>
        <w:tc>
          <w:tcPr>
            <w:tcW w:w="600" w:type="dxa"/>
            <w:vAlign w:val="bottom"/>
          </w:tcPr>
          <w:p>
            <w:pPr>
              <w:jc w:val="center"/>
              <w:spacing w:after="0" w:line="169" w:lineRule="exact"/>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0"/>
              <w:spacing w:after="0" w:line="169" w:lineRule="exact"/>
              <w:rPr>
                <w:sz w:val="20"/>
                <w:szCs w:val="20"/>
                <w:color w:val="auto"/>
              </w:rPr>
            </w:pPr>
            <w:r>
              <w:rPr>
                <w:rFonts w:ascii="Arial" w:cs="Arial" w:eastAsia="Arial" w:hAnsi="Arial"/>
                <w:sz w:val="18"/>
                <w:szCs w:val="18"/>
                <w:color w:val="auto"/>
                <w:w w:val="91"/>
              </w:rPr>
              <w:t>3/3/22</w:t>
            </w:r>
          </w:p>
        </w:tc>
        <w:tc>
          <w:tcPr>
            <w:tcW w:w="1220" w:type="dxa"/>
            <w:vAlign w:val="bottom"/>
            <w:gridSpan w:val="2"/>
          </w:tcPr>
          <w:p>
            <w:pPr>
              <w:jc w:val="center"/>
              <w:ind w:left="10"/>
              <w:spacing w:after="0" w:line="169" w:lineRule="exact"/>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dated March 2,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424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7"/>
          </w:tcPr>
          <w:p>
            <w:pPr>
              <w:spacing w:after="0" w:line="169" w:lineRule="exact"/>
              <w:rPr>
                <w:rFonts w:ascii="Arial" w:cs="Arial" w:eastAsia="Arial" w:hAnsi="Arial"/>
                <w:sz w:val="18"/>
                <w:szCs w:val="18"/>
                <w:color w:val="0000FF"/>
                <w:w w:val="84"/>
              </w:rPr>
            </w:pPr>
            <w:hyperlink r:id="rId131">
              <w:r>
                <w:rPr>
                  <w:rFonts w:ascii="Arial" w:cs="Arial" w:eastAsia="Arial" w:hAnsi="Arial"/>
                  <w:sz w:val="18"/>
                  <w:szCs w:val="18"/>
                  <w:color w:val="0000FF"/>
                  <w:w w:val="84"/>
                </w:rPr>
                <w:t>Office Lease between</w:t>
              </w:r>
            </w:hyperlink>
          </w:p>
        </w:tc>
        <w:tc>
          <w:tcPr>
            <w:tcW w:w="4300" w:type="dxa"/>
            <w:vAlign w:val="bottom"/>
            <w:gridSpan w:val="16"/>
          </w:tcPr>
          <w:p>
            <w:pPr>
              <w:ind w:left="100"/>
              <w:spacing w:after="0" w:line="169"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the Registrant and Fabric 2676 State Street, LLC, dated</w:t>
              </w:r>
            </w:hyperlink>
          </w:p>
        </w:tc>
        <w:tc>
          <w:tcPr>
            <w:tcW w:w="160" w:type="dxa"/>
            <w:vAlign w:val="bottom"/>
          </w:tcPr>
          <w:p>
            <w:pPr>
              <w:spacing w:after="0"/>
              <w:rPr>
                <w:sz w:val="14"/>
                <w:szCs w:val="14"/>
                <w:color w:val="auto"/>
              </w:rPr>
            </w:pPr>
          </w:p>
        </w:tc>
        <w:tc>
          <w:tcPr>
            <w:tcW w:w="600" w:type="dxa"/>
            <w:vAlign w:val="bottom"/>
          </w:tcPr>
          <w:p>
            <w:pPr>
              <w:jc w:val="center"/>
              <w:spacing w:after="0" w:line="169" w:lineRule="exact"/>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0"/>
              <w:spacing w:after="0" w:line="169" w:lineRule="exact"/>
              <w:rPr>
                <w:sz w:val="20"/>
                <w:szCs w:val="20"/>
                <w:color w:val="auto"/>
              </w:rPr>
            </w:pPr>
            <w:r>
              <w:rPr>
                <w:rFonts w:ascii="Arial" w:cs="Arial" w:eastAsia="Arial" w:hAnsi="Arial"/>
                <w:sz w:val="18"/>
                <w:szCs w:val="18"/>
                <w:color w:val="auto"/>
                <w:w w:val="91"/>
              </w:rPr>
              <w:t>3/3/22</w:t>
            </w:r>
          </w:p>
        </w:tc>
        <w:tc>
          <w:tcPr>
            <w:tcW w:w="1220" w:type="dxa"/>
            <w:vAlign w:val="bottom"/>
            <w:gridSpan w:val="2"/>
          </w:tcPr>
          <w:p>
            <w:pPr>
              <w:jc w:val="center"/>
              <w:ind w:left="10"/>
              <w:spacing w:after="0" w:line="169" w:lineRule="exact"/>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March 2, 2022</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gridSpan w:val="23"/>
          </w:tcPr>
          <w:p>
            <w:pPr>
              <w:spacing w:after="0" w:line="169" w:lineRule="exact"/>
              <w:rPr>
                <w:rFonts w:ascii="Arial" w:cs="Arial" w:eastAsia="Arial" w:hAnsi="Arial"/>
                <w:sz w:val="18"/>
                <w:szCs w:val="18"/>
                <w:color w:val="0000FF"/>
                <w:w w:val="93"/>
              </w:rPr>
            </w:pPr>
            <w:hyperlink w:anchor="page25">
              <w:r>
                <w:rPr>
                  <w:rFonts w:ascii="Arial" w:cs="Arial" w:eastAsia="Arial" w:hAnsi="Arial"/>
                  <w:sz w:val="18"/>
                  <w:szCs w:val="18"/>
                  <w:color w:val="0000FF"/>
                  <w:w w:val="93"/>
                </w:rPr>
                <w:t>Certification of Chief Executive Officer, as required by Rule 13a-14(a) or Rule</w:t>
              </w:r>
            </w:hyperlink>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w:anchor="page25">
              <w:r>
                <w:rPr>
                  <w:rFonts w:ascii="Arial" w:cs="Arial" w:eastAsia="Arial" w:hAnsi="Arial"/>
                  <w:sz w:val="18"/>
                  <w:szCs w:val="18"/>
                  <w:color w:val="0000FF"/>
                  <w:w w:val="93"/>
                </w:rPr>
                <w:t>15d-14(a), as adopted pursuant to Section 302 of the Sarbanes-Oxley Act of</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2002</w:t>
              </w:r>
            </w:hyperlink>
          </w:p>
        </w:tc>
        <w:tc>
          <w:tcPr>
            <w:tcW w:w="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gridSpan w:val="23"/>
          </w:tcPr>
          <w:p>
            <w:pPr>
              <w:spacing w:after="0" w:line="169" w:lineRule="exact"/>
              <w:rPr>
                <w:rFonts w:ascii="Arial" w:cs="Arial" w:eastAsia="Arial" w:hAnsi="Arial"/>
                <w:sz w:val="18"/>
                <w:szCs w:val="18"/>
                <w:color w:val="0000FF"/>
                <w:w w:val="94"/>
              </w:rPr>
            </w:pPr>
            <w:hyperlink w:anchor="page26">
              <w:r>
                <w:rPr>
                  <w:rFonts w:ascii="Arial" w:cs="Arial" w:eastAsia="Arial" w:hAnsi="Arial"/>
                  <w:sz w:val="18"/>
                  <w:szCs w:val="18"/>
                  <w:color w:val="0000FF"/>
                  <w:w w:val="94"/>
                </w:rPr>
                <w:t>Certification of Chief Financial Officer, as required by Rule 13a-14(a) or Rule</w:t>
              </w:r>
            </w:hyperlink>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w:anchor="page26">
              <w:r>
                <w:rPr>
                  <w:rFonts w:ascii="Arial" w:cs="Arial" w:eastAsia="Arial" w:hAnsi="Arial"/>
                  <w:sz w:val="18"/>
                  <w:szCs w:val="18"/>
                  <w:color w:val="0000FF"/>
                  <w:w w:val="93"/>
                </w:rPr>
                <w:t>15d-14(a), as adopted pursuant to Section 302 of the Sarbanes-Oxley Act of</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2002</w:t>
              </w:r>
            </w:hyperlink>
          </w:p>
        </w:tc>
        <w:tc>
          <w:tcPr>
            <w:tcW w:w="60" w:type="dxa"/>
            <w:vAlign w:val="bottom"/>
            <w:tcBorders>
              <w:top w:val="single" w:sz="8" w:color="0000FF"/>
              <w:bottom w:val="single" w:sz="8" w:color="0000EE"/>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gridSpan w:val="23"/>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Certification of Chief Executive Officer pursuant to Section 906 of the</w:t>
              </w:r>
            </w:hyperlink>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27">
              <w:r>
                <w:rPr>
                  <w:rFonts w:ascii="Arial" w:cs="Arial" w:eastAsia="Arial" w:hAnsi="Arial"/>
                  <w:sz w:val="18"/>
                  <w:szCs w:val="18"/>
                  <w:color w:val="0000FF"/>
                </w:rPr>
                <w:t>Sarbanes-Oxley Act of 2002</w:t>
              </w:r>
            </w:hyperlink>
          </w:p>
        </w:tc>
        <w:tc>
          <w:tcPr>
            <w:tcW w:w="6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37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gridSpan w:val="23"/>
          </w:tcPr>
          <w:p>
            <w:pPr>
              <w:spacing w:after="0" w:line="169"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Certification of Chief Financial Officer pursuant to Section 906 of the Sarbanes-</w:t>
              </w:r>
            </w:hyperlink>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28">
              <w:r>
                <w:rPr>
                  <w:rFonts w:ascii="Arial" w:cs="Arial" w:eastAsia="Arial" w:hAnsi="Arial"/>
                  <w:sz w:val="18"/>
                  <w:szCs w:val="18"/>
                  <w:color w:val="0000FF"/>
                  <w:w w:val="92"/>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4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rPr>
              <w:t>Inline XBRL Instance Document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rPr>
              <w:t>Inline XBRL Taxonomy Calculation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4"/>
        </w:trPr>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rPr>
              <w:t>Inline XBRL Taxonomy Label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4"/>
        </w:trPr>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rPr>
              <w:t>Inline XBRL Presentation Linkbase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3"/>
          </w:tcPr>
          <w:p>
            <w:pPr>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2" w:lineRule="exact"/>
        <w:rPr>
          <w:sz w:val="20"/>
          <w:szCs w:val="20"/>
          <w:color w:val="auto"/>
        </w:rPr>
      </w:pPr>
    </w:p>
    <w:p>
      <w:pPr>
        <w:ind w:right="40" w:firstLine="8"/>
        <w:spacing w:after="0" w:line="243" w:lineRule="auto"/>
        <w:tabs>
          <w:tab w:leader="none" w:pos="4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240"/>
              <w:spacing w:after="0"/>
              <w:rPr>
                <w:sz w:val="20"/>
                <w:szCs w:val="20"/>
                <w:color w:val="auto"/>
              </w:rPr>
            </w:pPr>
            <w:r>
              <w:rPr>
                <w:rFonts w:ascii="Arial" w:cs="Arial" w:eastAsia="Arial" w:hAnsi="Arial"/>
                <w:sz w:val="18"/>
                <w:szCs w:val="18"/>
                <w:b w:val="1"/>
                <w:bCs w:val="1"/>
                <w:color w:val="auto"/>
              </w:rPr>
              <w:t>TYRA BIOSCIENCES, INC.</w:t>
            </w:r>
          </w:p>
        </w:tc>
      </w:tr>
      <w:tr>
        <w:trPr>
          <w:trHeight w:val="378"/>
        </w:trPr>
        <w:tc>
          <w:tcPr>
            <w:tcW w:w="346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560" w:type="dxa"/>
            <w:vAlign w:val="bottom"/>
          </w:tcPr>
          <w:p>
            <w:pPr>
              <w:ind w:left="22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78"/>
        </w:trPr>
        <w:tc>
          <w:tcPr>
            <w:tcW w:w="3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Todd Harris, Ph.D.</w:t>
            </w:r>
          </w:p>
        </w:tc>
      </w:tr>
      <w:tr>
        <w:trPr>
          <w:trHeight w:val="203"/>
        </w:trPr>
        <w:tc>
          <w:tcPr>
            <w:tcW w:w="3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4"/>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378"/>
        </w:trPr>
        <w:tc>
          <w:tcPr>
            <w:tcW w:w="346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560" w:type="dxa"/>
            <w:vAlign w:val="bottom"/>
          </w:tcPr>
          <w:p>
            <w:pPr>
              <w:ind w:left="22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78"/>
        </w:trPr>
        <w:tc>
          <w:tcPr>
            <w:tcW w:w="3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Esther van den Boom</w:t>
            </w:r>
          </w:p>
        </w:tc>
      </w:tr>
      <w:tr>
        <w:trPr>
          <w:trHeight w:val="203"/>
        </w:trPr>
        <w:tc>
          <w:tcPr>
            <w:tcW w:w="3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r>
        <w:trPr>
          <w:trHeight w:val="405"/>
        </w:trPr>
        <w:tc>
          <w:tcPr>
            <w:tcW w:w="3460" w:type="dxa"/>
            <w:vAlign w:val="bottom"/>
          </w:tcPr>
          <w:p>
            <w:pPr>
              <w:spacing w:after="0"/>
              <w:rPr>
                <w:sz w:val="24"/>
                <w:szCs w:val="24"/>
                <w:color w:val="auto"/>
              </w:rPr>
            </w:pP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5220" w:type="dxa"/>
            <w:vAlign w:val="bottom"/>
          </w:tcPr>
          <w:p>
            <w:pPr>
              <w:spacing w:after="0"/>
              <w:rPr>
                <w:sz w:val="24"/>
                <w:szCs w:val="24"/>
                <w:color w:val="auto"/>
              </w:rPr>
            </w:pPr>
          </w:p>
        </w:tc>
      </w:tr>
      <w:tr>
        <w:trPr>
          <w:trHeight w:val="101"/>
        </w:trPr>
        <w:tc>
          <w:tcPr>
            <w:tcW w:w="346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Todd Harris, certify that:</w:t>
      </w:r>
    </w:p>
    <w:p>
      <w:pPr>
        <w:spacing w:after="0" w:line="212"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Tyra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Todd Harris, Ph.D.</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722"/>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Tyra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Esther van den Boom</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09"/>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Tyra Biosciences,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Todd Harris, Ph.D.</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507"/>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Tyra Biosciences,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Esther van den Boom</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7"/>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26" Type="http://schemas.openxmlformats.org/officeDocument/2006/relationships/hyperlink" Target="https://www.sec.gov/Archives/edgar/data/1863127/000119312521276124/d220261dex31.htm" TargetMode="External"/><Relationship Id="rId127" Type="http://schemas.openxmlformats.org/officeDocument/2006/relationships/hyperlink" Target="https://www.sec.gov/Archives/edgar/data/1863127/000119312521276124/d220261dex32.htm" TargetMode="External"/><Relationship Id="rId128" Type="http://schemas.openxmlformats.org/officeDocument/2006/relationships/hyperlink" Target="https://www.sec.gov/Archives/edgar/data/1863127/000119312521252729/d189651dex41.htm" TargetMode="External"/><Relationship Id="rId129" Type="http://schemas.openxmlformats.org/officeDocument/2006/relationships/hyperlink" Target="https://www.sec.gov/Archives/edgar/data/1863127/000119312521268272/d189651dex42.htm" TargetMode="External"/><Relationship Id="rId130" Type="http://schemas.openxmlformats.org/officeDocument/2006/relationships/hyperlink" Target="https://www.sec.gov/Archives/edgar/data/1863127/000095017022002814/tyra-ex10_14.htm" TargetMode="External"/><Relationship Id="rId131" Type="http://schemas.openxmlformats.org/officeDocument/2006/relationships/hyperlink" Target="https://www.sec.gov/Archives/edgar/data/1863127/000095017022002814/tyra-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2022-05-06T12:13:20Z</dcterms:created>
  <dcterms:modified xsi:type="dcterms:W3CDTF">2022-05-06T12:13:20Z</dcterms:modified>
</cp:coreProperties>
</file>