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025d8k.htm"/>
      <w:bookmarkStart w:id="1" w:name="ksd10202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Tyra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001-40800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83-1476348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2656 State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Carlsbad,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92008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(619) 728-4760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TYRA</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Tyra Biosciences, Inc. (TYRA or the Company) entered into an underwriting agreement (the Underwriting Agreement) with Jefferies LLC, Guggenheim Securities, LLC, Cantor Fitzgerald &amp; Co. and Barclays Capital Inc., as representatives of the several underwriters named therein (collectively, the Underwriters), relating to the issuance and sale of (i) 9,079,000 shares (the Shares) of the Company’s common stock, par value $0.0001 per share (the Common Stock), at an offering price of $22.03 per Share, and (ii) with respect to certain investors, pre-funded warrants to purchase an aggregate of 9,078,529 shares of Common Stock at an offering price of $22.029 per pre-funded warrant (the Pre-Funded Warrants), which represents the per share price for the Shares less a nominal $0.001 per share exercise price for each Pre-Funded Warrant. The Underwriters have agreed to purchase the Shares from the Company pursuant to the Underwriting Agreement at a price of $20.7082 per Share and Pre-Funded Warrants at a price of $20.7072 per Pre-Funded Warrant. The gross proceeds to the Company from this offering are expected to be approximately $400.0 million, before deducting underwriting discounts and commissions and estimated offering expenses. The offering is expected to close on September 15,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will have an exercise price of $0.001 per share of Common Stock, will be immediately exercisable on the date of issuance and will not expire. Under the terms of the Pre-Funded Warrants, the Company may not effect the exercise of any Pre-Funded Warrant, and a holder will not be entitled to exercise any portion of any Pre-Funded Warrant, which, upon giving effect to such exercise, would cause a holder (together with its affiliates) to own more than a specified beneficial ownership limitation of either 4.99%, 9.99% or 19.99% (as selected by such holder prior to the issuance of the Pre-Funded Warrant) of the number of shares of the Common Stock outstanding immediately after giving effect to such exercise, as such percentage ownership is determined in accordance with the terms of the Pre-Funded Warrants. However, any holder may increase or decrease such percentage to any other percentage not in excess of 19.99%, provided that any increase in such percentage shall not be effective until 61 days after such notice is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the number of shares of Common Stock issuable upon exercise of each Pre-Funded Warrant will be subject to appropriate adjustment in the event of certain stock dividends and distributions, stock splits, stock combinations, reclassifications or similar events affecting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certain fundamental transactions (as described in the Pre-Funded Warrants), a holder of Pre-Funded Warrants will be entitled to receive, upon exercise of the Pre-Funded Warrants, the kind and amount of securities, cash or property that such holder would have received had they exercised in full the Pre-Funded Warrants immediately prior to such fundamental transaction without regard to any limitations on exercise contained in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shelf registration statement on Form S-3 (Registration Statement No. 333-298911), including the prospectus included therein, previously filed with the Securities and Exchange Commission (the SEC) and which became automatically effective upon filing, and a prospectus supplement and the accompanying prospectus filed with the SEC pursuant to Rule 424(b)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and the Pre-Funded Warrants are not complete and are qualified in their entirety by reference to the full text of the Underwriting Agreement and form of Pre-Funded Warrant, copies of which are filed as Exhibit 1.1 and Exhibit 4.1, respectively, to this report and which are incorporated by reference herein. A copy of the opinion of Latham &amp; Watkins LLP, relating to the legality of the issuance and sale of the Shares and Pre-Funded Warrants in this offering is attached as Exhibit 5.1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a press release on September 14, 2026 announcing the pricing of the offering, which press release is attached as Exhibit 99.1 to this report. </w:t>
      </w:r>
    </w:p>
    <w:p>
      <w:pPr>
        <w:pStyle w:val="TextBody"/>
        <w:bidi w:val="0"/>
        <w:spacing w:before="240" w:after="0"/>
        <w:jc w:val="center"/>
        <w:rPr>
          <w:rFonts w:ascii="Times New Roman" w:hAnsi="Times New Roman"/>
          <w:i/>
          <w:sz w:val="20"/>
        </w:rPr>
      </w:pPr>
      <w:r>
        <w:rPr>
          <w:rFonts w:ascii="Times New Roman" w:hAnsi="Times New Roman"/>
          <w:i/>
          <w:sz w:val="20"/>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Tyra cautions you that statements contained in this report regarding matters that are not historical facts are forward-looking statements. The forward-looking statements are based on our current beliefs and expectations and include, but are not limited to: our expectations regarding the expected closing of the offering and the anticipated gross proceeds from the offering. Actual results may differ from those set forth in this report due to the risks and uncertainties associated with market conditions and the satisfaction of customary closing conditions related to the offering, as well as risks and uncertainties inherent in our business described in our prior filings with the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120"/>
        <w:gridCol w:w="894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8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2025dex11.htm">
              <w:r>
                <w:rPr>
                  <w:rStyle w:val="InternetLink"/>
                </w:rPr>
                <w:t xml:space="preserve">Underwriting Agreement, dated September 14, 2026, by and among Tyra Biosciences, Inc. and Jefferies LLC, Guggenheim Securities, LLC, Cantor Fitzgerald &amp; Co. and Barclays Capital Inc., as representatives of the several underwriters named therein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2025dex41.htm">
              <w:r>
                <w:rPr>
                  <w:rStyle w:val="InternetLink"/>
                </w:rPr>
                <w:t xml:space="preserve">Form of Pre-Funded Warrant (2026 Offering)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2025dex51.htm">
              <w:r>
                <w:rPr>
                  <w:rStyle w:val="InternetLink"/>
                </w:rPr>
                <w:t xml:space="preserve">Opinion of Latham &amp; Watkins LLP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2025dex51.htm">
              <w:r>
                <w:rPr>
                  <w:rStyle w:val="InternetLink"/>
                </w:rPr>
                <w:t xml:space="preserve">Consent of Latham &amp; Watkins LLP (included in Exhibit 5.1)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02025dex991.htm">
              <w:r>
                <w:rPr>
                  <w:rStyle w:val="InternetLink"/>
                </w:rPr>
                <w:t xml:space="preserve">Press Release dated September 14,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5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97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TYRA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 Fawaz</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xml:space="preserve">Ali Fawaz </w:t>
              <w:br/>
              <w:t>General Counsel and Secretary</w:t>
            </w:r>
          </w:p>
        </w:tc>
      </w:tr>
    </w:tbl>
    <w:p>
      <w:pPr>
        <w:pStyle w:val="TextBody"/>
        <w:bidi w:val="0"/>
        <w:spacing w:before="0" w:after="0"/>
        <w:jc w:val="right"/>
        <w:rPr>
          <w:rFonts w:ascii="Times New Roman" w:hAnsi="Times New Roman"/>
          <w:b/>
          <w:i/>
          <w:sz w:val="20"/>
        </w:rPr>
      </w:pPr>
      <w:bookmarkStart w:id="2" w:name="d102025dex11.htm"/>
      <w:bookmarkStart w:id="3" w:name="ksd102025dex11"/>
      <w:bookmarkEnd w:id="2"/>
      <w:bookmarkEnd w:id="3"/>
      <w:r>
        <w:rPr>
          <w:rFonts w:ascii="Times New Roman" w:hAnsi="Times New Roman"/>
          <w:b/>
          <w:i/>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Tyra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9,079,000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Pre-Funded Warrants to Purchase 9,078,529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Tyra Biosciences, Inc., a Delaware corporation (the “Company”), confirms its agreement with Jefferies LLC, Guggenheim Securities, LLC, Cantor Fitzgerald &amp; Co., Barclays Capital Inc. and each of the other Underwriters named in Schedule A hereto (collectively, the “Underwriters,” which term shall also include any underwriter substituted as hereinafter provided in Section 10 hereof), for whom Jefferies LLC, Guggenheim Securities, LLC, Cantor Fitzgerald &amp; Co. and Barclays Capital Inc. are acting as representatives (in such capacity, the “Representatives”), with respect to the sale by the Company and the purchase by the Underwriters, acting severally and not jointly, of the respective numbers of (i) shares of Common Stock, par value $0.0001 per share, of the Company (the “Common Stock”) and (ii) pre-funded warrants, in the form set forth in Exhibit B hereto, to purchase shares of Common Stock (the “Pre-Funded Warrants”), each as set forth in Schedule A hereto. The aforesaid 9,079,000 shares of Common Stock (the “Shares”) and Pre-Funded Warrants to purchase 9,078,529 shares of Common Stock to be purchased by the Underwriters are herein called, collectively, the “Securities.” The shares of Common Stock issuable upon exercise of the Pre-Funded Warrants are herein called the “Warrant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understands that the Underwriters propose to make an offering of the Securities as soon as the Representatives deem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prepared and filed with the Securities and Exchange Commission (the “Commission”) an automatic shelf registration statement on Form S-3 (No. 333-298911), covering the offering and sale of certain securities, including the Securities and the Warrant Shares, under the Securities Act of 1933, as amended (the “1933 Act”), and the rules and regulations promulgated thereunder (the “1933 Act Regulations”), which such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The related prospectus covering the Securities in the form first used to confirm sales of the Securities (or in the form first made available to the Underwriters by the Company to meet requests of purchasers pursuant to Rule 173 under the 1933 Act) is hereinafter referred to as the “Base Prospectus.” Each preliminary prospectus used in connection with the offering of the Securities, if any, including the documents incorporated or deemed to be incorporated by reference therein pursuant to Item 12 of Form S-3 under the 1933 Act, are collectively referred to herein as a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execution and delivery of this Agreement, the Company will prepare and file a final prospectus relating to the Securities in accordance with the provisions of Rule 424(b) under the 1933 Act Regulations (“Rule 424(b)”). The Base Prospectus, as supplemented by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pPr>
      <w:r>
        <w:rPr/>
        <w:t>“</w:t>
      </w:r>
      <w:r>
        <w:rPr>
          <w:rFonts w:ascii="Times New Roman" w:hAnsi="Times New Roman"/>
          <w:sz w:val="20"/>
        </w:rPr>
        <w:t xml:space="preserve">1934 Act” means the Securities Exchange Act of 1934, as amended. </w:t>
      </w:r>
    </w:p>
    <w:p>
      <w:pPr>
        <w:pStyle w:val="TextBody"/>
        <w:bidi w:val="0"/>
        <w:spacing w:before="240" w:after="0"/>
        <w:jc w:val="left"/>
        <w:rPr/>
      </w:pPr>
      <w:r>
        <w:rPr/>
        <w:t>“</w:t>
      </w:r>
      <w:r>
        <w:rPr>
          <w:rFonts w:ascii="Times New Roman" w:hAnsi="Times New Roman"/>
          <w:sz w:val="20"/>
        </w:rPr>
        <w:t xml:space="preserve">1934 Act Regulations” means the rules and regulations of the Commission under the 1934 Act. </w:t>
      </w:r>
    </w:p>
    <w:p>
      <w:pPr>
        <w:pStyle w:val="TextBody"/>
        <w:bidi w:val="0"/>
        <w:spacing w:before="240" w:after="0"/>
        <w:jc w:val="left"/>
        <w:rPr/>
      </w:pPr>
      <w:r>
        <w:rPr/>
        <w:t>“</w:t>
      </w:r>
      <w:r>
        <w:rPr>
          <w:rFonts w:ascii="Times New Roman" w:hAnsi="Times New Roman"/>
          <w:sz w:val="20"/>
        </w:rPr>
        <w:t xml:space="preserve">Applicable Time” means 6:05 A.M. New York City time, on September 14, 2026 or such other time as agreed by the Company and the Representatives. </w:t>
      </w:r>
    </w:p>
    <w:p>
      <w:pPr>
        <w:pStyle w:val="TextBody"/>
        <w:bidi w:val="0"/>
        <w:spacing w:before="240" w:after="0"/>
        <w:jc w:val="left"/>
        <w:rPr/>
      </w:pPr>
      <w:r>
        <w:rPr/>
        <w:t>“</w:t>
      </w:r>
      <w:r>
        <w:rPr>
          <w:rFonts w:ascii="Times New Roman" w:hAnsi="Times New Roman"/>
          <w:sz w:val="20"/>
        </w:rPr>
        <w:t xml:space="preserve">General Disclosure Package” means any Issuer General Use Free Writing Prospectuses issued at or prior to the Applicable Time, the most recent preliminary prospectus, if any, (including any documents incorporated therein by reference) that is distributed to investors prior to the Applicable Time and the information included on Schedule B-1 hereto, all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240" w:after="0"/>
        <w:jc w:val="left"/>
        <w:rPr/>
      </w:pPr>
      <w:r>
        <w:rPr/>
        <w:t>“</w:t>
      </w:r>
      <w:r>
        <w:rPr>
          <w:rFonts w:ascii="Times New Roman" w:hAnsi="Times New Roman"/>
          <w:sz w:val="20"/>
        </w:rPr>
        <w:t>Issuer General Use Free Writing Prospectus”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 as evidenced by its being specified in Schedule B-2 hereto. </w:t>
      </w:r>
    </w:p>
    <w:p>
      <w:pPr>
        <w:pStyle w:val="TextBody"/>
        <w:bidi w:val="0"/>
        <w:spacing w:before="240" w:after="0"/>
        <w:jc w:val="left"/>
        <w:rPr/>
      </w:pPr>
      <w:r>
        <w:rPr/>
        <w:t>“</w:t>
      </w:r>
      <w:r>
        <w:rPr>
          <w:rFonts w:ascii="Times New Roman" w:hAnsi="Times New Roman"/>
          <w:sz w:val="20"/>
        </w:rPr>
        <w:t xml:space="preserve">Issuer Limited Use Free Writing Prospectus” means any Issuer Free Writing Prospectus that is not an Issuer General Use Free Writing Prospectus. </w:t>
      </w:r>
    </w:p>
    <w:p>
      <w:pPr>
        <w:pStyle w:val="TextBody"/>
        <w:bidi w:val="0"/>
        <w:spacing w:before="240" w:after="0"/>
        <w:jc w:val="left"/>
        <w:rPr/>
      </w:pPr>
      <w:r>
        <w:rPr/>
        <w:t>“</w:t>
      </w:r>
      <w:r>
        <w:rPr>
          <w:rFonts w:ascii="Times New Roman" w:hAnsi="Times New Roman"/>
          <w:sz w:val="20"/>
        </w:rPr>
        <w:t xml:space="preserve">Testing-the-Waters Communication” means any oral or written communication with potential investors undertaken in reliance on Section 5(d) of, or Rule 163B, under the 1933 Act. </w:t>
      </w:r>
    </w:p>
    <w:p>
      <w:pPr>
        <w:pStyle w:val="TextBody"/>
        <w:bidi w:val="0"/>
        <w:spacing w:before="240" w:after="0"/>
        <w:jc w:val="left"/>
        <w:rPr/>
      </w:pPr>
      <w:r>
        <w:rPr/>
        <w:t>“</w:t>
      </w:r>
      <w:r>
        <w:rPr>
          <w:rFonts w:ascii="Times New Roman" w:hAnsi="Times New Roman"/>
          <w:sz w:val="20"/>
        </w:rPr>
        <w:t xml:space="preserve">Written Testing-the-Waters Communication” means any Testing-the-Waters Communication that is a written communication within the meaning of Rule 405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1934 Act and the 1934 Act Regulations, incorporated or deemed to be incorporated by reference in or otherwise deemed by 1933 Act Regulations to be a part of or included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and the Closing Time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The Registration Statement is an “automatic shelf registration statement” within the meaning of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under the 1933 Act have been instituted or are pending or, to the Company’s knowledge, contemplated. The Company has complied with each request (if any) from the Commission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of its effectiveness, each deemed effective date with respect to the Underwriters pursuant to Rule 430B(f)(2) under the 1933 Act Regulations, the Applicable Time and the Closing Time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and the Closing Time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1934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on the date hereof, at the Closing Time, contained, contains or will contain an untrue statement of a material fact or omitted, omits or will omit to state a material fact required to be stated therein or necessary to make the statements therein not misleading. At the Applicable Time and at the Closing Time,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and second sentences of the third paragraph under the heading “Underwriting,” the information in the first sentence of the fourth paragraph under the heading “Underwriting,” the information in the first two sentences of the first paragraph under the heading “Underwriting—Commission and Expenses,” the information in the first sentence of the first paragraph under the heading “Underwriting—Stabilization,” the first, second and fifth sentences of second paragraph under the heading “Underwriting—Stabilization,” and the fourth paragraph under the heading “Underwriting—Stabilization,” in each case contained in the Prospectus (collectively,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provided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it being understood and agreed that the only such information furnished by any Underwriter consists of the information described as such in Section 1(a)(ii) hereof.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 Act Regulations (“Rule 163”) and otherwise complied with the requirements of Rule 163, including without limitation the legending requirement, to qualify such offer for the exemption from Section 5(c) of the 1933 Act provided by Rule 163.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in connection with the offering to which this Agreement relates other than Testing-the-Waters Communications with the consent of the Representatives with (x) entities that are qualified institutional buyers within the meaning of Rule 144A under the 1933 Act or (y) institutions that are accredited investors within the meaning of Rule 501 under the 1933 Act, and otherwise in compliance with the requirements of either Section 5(d) or Rule 163B under the 1933 Act, and (B) has not authorized anyone other than the Representatives to engage in Testing-the-Waters Communications. The Company reconfirms that the Representatives have been authorized to act on its behalf in undertaking Testing-the-Waters Communications specifically authorized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Emerging Growth Company Status</w:t>
      </w:r>
      <w:r>
        <w:rPr>
          <w:rFonts w:ascii="Times New Roman" w:hAnsi="Times New Roman"/>
          <w:sz w:val="20"/>
        </w:rPr>
        <w:t xml:space="preserve">. From the time of the initial filing of the Registration Statement with the Commission (or, if earlier, the first date on which the Company engaged directly or through any individual or entity (“Person”) authorized to act on its behalf in any Testing-the-Waters Communication) through the date hereof, the Company has been and is an “emerging growth company,” as defined in Section 2(a) of the 1933 Act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Well-Known Seasoned Issuer</w:t>
      </w:r>
      <w:r>
        <w:rPr>
          <w:rFonts w:ascii="Times New Roman" w:hAnsi="Times New Roman"/>
          <w:sz w:val="20"/>
        </w:rPr>
        <w:t xml:space="preserve">. (A) At the original effectiveness of the Registration Statement, (B) at the time of the most recent amendment thereto for purposes of complying with Section 10(a)(3) of the 1933 Act, whether by post-effective amendment, an incorporated report filed pursuant to Section 13 or 15(d) of the 1934 Act or a form of prospectus, (C) at the time the Company or any person acting on its behalf, within the meaning of Rule 163(c) under the 1933 Act for purposes of this clause only, made any offer relating to the Securities in reliance on Rule 163, and (D) as of the Applicable Time, the Company was and is a “well-known seasoned issuer” within the meaning of Rule 405.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Independent Accountants</w:t>
      </w:r>
      <w:r>
        <w:rPr>
          <w:rFonts w:ascii="Times New Roman" w:hAnsi="Times New Roman"/>
          <w:sz w:val="20"/>
        </w:rPr>
        <w:t xml:space="preserve">. The accountants who certified the financial statements and supporting schedules included or incorporated by reference in the Registration Statement, the General Disclosure Package and the Prospectus are independent public accountants with respect to the Company as required by the 1933 Act, the 1933 Act Regulations, the 1934 Act, the 1934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the General Disclosure Package and the Prospectus, together with the related schedules and notes, present fairly in all material respects the financial position of the Company at the dates indicated and the statements of operations and comprehensive loss, stockholders’ equity and cash flows of the Company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supporting schedules included or incorporated by reference in the Registration Statement, the General Disclosure Package and the Prospectus, if any, present fairly in all material respects in accordance with GAAP the information required to be stated therein. The selected financial data and the summary financial information, if any, included or incorporated by reference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The interactive data in eXtensible Business Reporting Language, if any,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whether or not arising in the ordinary course of business (a “Material Adverse Effect”),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Good Standing of the Company</w:t>
      </w:r>
      <w:r>
        <w:rPr>
          <w:rFonts w:ascii="Times New Roman" w:hAnsi="Times New Roman"/>
          <w:sz w:val="20"/>
        </w:rPr>
        <w:t xml:space="preserve">.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as applicable, whether by reason of the ownership or leasing of property or the conduct of business, except where the failure so to qualify or to be in good standing would not, singly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No Subsidiaries</w:t>
      </w:r>
      <w:r>
        <w:rPr>
          <w:rFonts w:ascii="Times New Roman" w:hAnsi="Times New Roman"/>
          <w:sz w:val="20"/>
        </w:rPr>
        <w:t xml:space="preserve">. The Company has no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Capitalization</w:t>
      </w:r>
      <w:r>
        <w:rPr>
          <w:rFonts w:ascii="Times New Roman" w:hAnsi="Times New Roman"/>
          <w:sz w:val="20"/>
        </w:rPr>
        <w:t xml:space="preserve">.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Authorization and Description of Securities</w:t>
      </w:r>
      <w:r>
        <w:rPr>
          <w:rFonts w:ascii="Times New Roman" w:hAnsi="Times New Roman"/>
          <w:sz w:val="20"/>
        </w:rPr>
        <w:t xml:space="preserve">. The Securities to be purchased by the Underwriters from the Company have been duly authorized by the Company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The Pre-Funded Warrants to be purchased by the Underwriters from the Company have been duly authorized for issuance and sale to the Underwriters pursuant to this Agreement and, when executed and delivered by the Company pursuant to this Agreement against payment of the consideration set forth herein,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and in accordance therewith, will be validly issued, fully paid and nonassessable, and the issuance of the Warrant Shares is not subject to any preemptive rights, rights of first refusal or other similar rights to subscribe for or purchase the Warrant Shares. The Securities, when issued, will conform to the description thereof set forth in or incorporated into the Registration Statement, the General Disclosure Package and the Prospectus. No holder of Securities will be subject to personal liability solely by reason of being such a holder.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Absence of Violations, Defaults and Conflicts</w:t>
      </w:r>
      <w:r>
        <w:rPr>
          <w:rFonts w:ascii="Times New Roman" w:hAnsi="Times New Roman"/>
          <w:sz w:val="20"/>
        </w:rPr>
        <w:t xml:space="preserve">. The Company is not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“Agreements and Instruments”),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properties, assets or operations (each, a “Governmental Entity”), except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violations that would not, singly or in the aggregate, reasonably be expected to result in a Material Adverse Effect. The execution, delivery and performance of this Agreement and the Pre-Funded Warrants and the consummation of the transactions contemplated herein and in the Registration Statement, the General Disclosure Package and the Prospectus (including the issuance and sale of the Securities and the Warrant Shares and the use of the proceeds from the sale of the Securities as described therein under the caption “Use of Proceeds”) and compliance by the Company with its obligations hereunder and under the Pre-Funded Warrants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(i) the provisions of the charter, by-laws or similar organizational document of the Company or (ii) any law, statute, rule, regulation, judgment, order, writ or decree of any Governmental Entity except, in the case of clause (ii) above, for such violations that would not, singly or in the aggregate,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Labor Dispute</w:t>
      </w:r>
      <w:r>
        <w:rPr>
          <w:rFonts w:ascii="Times New Roman" w:hAnsi="Times New Roman"/>
          <w:sz w:val="20"/>
        </w:rPr>
        <w:t xml:space="preserve">. No labor dispute with the employees of the Company exists or, to the knowledge of the Company, is imminent, and the Company is not aware of any existing or imminent labor disturbance by the employees of any of its principal suppliers, manufacturers, customers or contractors, which, in either case, would, singly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Absence of Proceedings</w:t>
      </w:r>
      <w:r>
        <w:rPr>
          <w:rFonts w:ascii="Times New Roman" w:hAnsi="Times New Roman"/>
          <w:sz w:val="20"/>
        </w:rPr>
        <w:t xml:space="preserve">. There is no action, suit, proceeding, inquiry or investigation before or brought by any Governmental Entity now pending or, to the knowledge of the Company, threatened, against or affecting the Company, which would reasonably be expected to result in a Material Adverse Effect, or which would reasonably be expected to materially affect its properties or assets or the consummation of the transactions contemplated in this Agreement or the performance by the Company of its obligations hereunder; and the aggregate of all pending legal or governmental proceedings to which the Company is a party or of which any of its properties or assets is the subject which are not described in the Registration Statement, the General Disclosure Package and the Prospectus, including ordinary routine litigation incidental to the business,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the General Disclosure Package or the Prospectus or to be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and the Pre-Funded Warrants, except (A) such as have been already obtained or as may be required under the 1933 Act, the 1933 Act Regulations, the rules of The Nasdaq Global Select Market, state securities laws or the rules of the Financial Industry Regulatory Authority, Inc. (“FINRA”); or (B) such as which the failure to obtain would not, singly or in the aggregate, impair the power or ability of the Company to perform its obligations under this Agreement or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Possession of Licenses and Permits</w:t>
      </w:r>
      <w:r>
        <w:rPr>
          <w:rFonts w:ascii="Times New Roman" w:hAnsi="Times New Roman"/>
          <w:sz w:val="20"/>
        </w:rPr>
        <w:t xml:space="preserve">. The Company possesses such valid and current registrations, listings, permits, licenses, approvals, clearances, certificates, consents and other authorizations issued by the appropriate Governmental Entities necessary to conduct the business now operated by it (collectively, “Governmental Licenses”) (including, without limitation, all such Governmental Licenses required by the United States Food and Drug Administration (the “FDA”), except where the failure so to possess would not, singly or in the aggregate, reasonably be expected to result in a Material Adverse Effect. The Company is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The Company has not received any notice of proceedings or other actions relating to the suspension, revocation or modification of any Governmental Licenses which, singly or in the aggregate, if taken or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Title to Property</w:t>
      </w:r>
      <w:r>
        <w:rPr>
          <w:rFonts w:ascii="Times New Roman" w:hAnsi="Times New Roman"/>
          <w:sz w:val="20"/>
        </w:rPr>
        <w:t xml:space="preserve">. The Company has good and marketable title to all real property owned by it and good title to all other properties owned by it,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and adversely affect the value of such property and do not materially interfere with the use made and proposed to be made of such property by the Company; and all of the leases and subleases material to the business of the Company and under which the Company holds properties described in the Registration Statement, the General Disclosure Package or the Prospectus, are in full force and effect, and the Company does not have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Possession of Intellectual Property</w:t>
      </w:r>
      <w:r>
        <w:rPr>
          <w:rFonts w:ascii="Times New Roman" w:hAnsi="Times New Roman"/>
          <w:sz w:val="20"/>
        </w:rPr>
        <w:t xml:space="preserve">. The Company owns or possesses, or can acquire on reasonable terms, all patents, statutory invention rights, invention disclosures, design rights, inventions, copyrights, rights in technology and software, data, know-how (including trade secrets and other unpatented and/or unpatentable proprietary or confidential information, systems or procedures), Internet domain names, trademarks, service marks, business names, trade names, trade dress and any applications (including provisional applications), registrations, or renewals for any of the foregoing, together with the goodwill associated with any of the foregoing, and other intellectual property (collectively, “Intellectual Property”), as is necessary to carry on the business as now operated by the Company and as proposed to be conducted as described in the Registration Statement, the General Disclosure Package and the Prospectus (such Intellectual Property, the “Company Intellectual Property”), except where the failure to own or possess or have the ability to acquire on reasonable terms any of the foregoing rights would not, individually or in the aggregate, reasonably be expected to result in a Material Adverse Effect. In addition, (A) the Company has not received any written notice of infringement and to the knowledge of the Company, there is no infringement, misappropriation, or other violation of, or conflict with, any valid Intellectual Property rights of third parties by the Company, except to the extent any such infringement, misappropriation, violation or conflict would not reasonably be expected, individually or in the aggregate, to have a Material Adverse Effect, (B) to the knowledge of the Company, (i) there is no pending or threatened action, suit, proceeding or claim against the Company or the Company Intellectual Property, as applicable, by any third party challenging the Company’s rights in, or the validity, ownership, registrability, enforceability or scope of, any Company Intellectual Property and (ii) there are no facts which would form a reasonable basis for such claim, except, in each case, as would not reasonably be expected, individually or in the aggregate, to have a Material Adverse Effect, (C) to the knowledge of the Company, there is no infringement,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misappropriation, or other violation of any Company Intellectual Property by third parties, (D) all Company Intellectual Property is owned by the Company and there are no third parties who have rights to any Company Intellectual Property, including no liens, security interests, or other encumbrances, (E) all Company Intellectual Property has been duly maintained and is in full force and effect and there are no material defects in, including in connection with the filing and prosecution of, any of the Company Intellectual Property, (F) to the knowledge of the Company, (i) the Company has taken reasonable steps necessary to secure the interests of the Company in the Company Intellectual Property from all employees, consultants, agents or contractors that developed such Company Intellectual Property, (ii) each person who is or was an employee or contractor of the Company and who is or was involved in the creation or development of any Company Intellectual Property for or on behalf of the Company has executed an agreement containing a valid assignment to the Company of such person’s rights in and to such Intellectual Property and (iii) no such person is in or has ever been in violation of any term of any agreement or covenant to or with a former employer where the basis of such violation relates to such person’s employment with the Company or actions undertaken by such person while employed with the Company, except to the extent any such violation would not reasonably be expected, individually or in the aggregate, to have a Material Adverse Effect, (G) the Company has taken all reasonable steps necessary to maintain and protect the confidentiality of the material trade secrets and other material confidential Company Intellectual Property and the confidentiality of such material trade secrets and material confidential Company Intellectual Property has not been compromised or disclosed to or accessed by any third party except pursuant to appropriate nondisclosure and confidentiality agreements, and (H) to the knowledge of the Company, no university, military, educational institution, research center, Governmental Entity or other organization has funded, contributed to or sponsored research and development conducted in connection with the business of the Company that (i) has any claim of right to, ownership of or other lien on any Company Intellectual Property or (ii) would affect the proprietary nature of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Environmental Laws</w:t>
      </w:r>
      <w:r>
        <w:rPr>
          <w:rFonts w:ascii="Times New Roman" w:hAnsi="Times New Roman"/>
          <w:sz w:val="20"/>
        </w:rPr>
        <w:t xml:space="preserve">. Except as described in the Registration Statement, the General Disclosure Package and the Prospectus or would not, singly or in the aggregate, reasonably be expected to result in a Material Adverse Effect, (A) the Company is not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has all permits, authorizations and approvals required under any applicable Environmental Laws and is in compliance with their requirements thereunder, (C) there are no pending or, to the Company’s knowledge, threatened administrative, regulatory or judicial actions, suits, demands, demand letters, claims, liens, notices of noncompliance or violation, investigations or proceedings relating to any Environmental Law against the Company and (D)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Accounting Controls and Disclosure Controls</w:t>
      </w:r>
      <w:r>
        <w:rPr>
          <w:rFonts w:ascii="Times New Roman" w:hAnsi="Times New Roman"/>
          <w:sz w:val="20"/>
        </w:rPr>
        <w:t xml:space="preserve">. The Company maintains effective internal control over financial reporting (as defined under Rule 13-a15 and 15d-15 under the rules and regulations of the Commission under the 1934 Act Regulations and a system of internal accounting controls sufficient to provide reasonable assurances that (A) transactions are executed in accordance with management’s general or specific authorization; (B) transactions are recorded as necessary to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 The Company maintains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Compliance with the Sarbanes-Oxley Act</w:t>
      </w:r>
      <w:r>
        <w:rPr>
          <w:rFonts w:ascii="Times New Roman" w:hAnsi="Times New Roman"/>
          <w:sz w:val="20"/>
        </w:rPr>
        <w:t xml:space="preserve">. There is and has been no failure on the part of the Company or any of the Company’s directors or officers, in their capacities as such, to comply in all material respects with any applicable provision of the Sarbanes-Oxley Act of 2002 and all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Payment of Taxes</w:t>
      </w:r>
      <w:r>
        <w:rPr>
          <w:rFonts w:ascii="Times New Roman" w:hAnsi="Times New Roman"/>
          <w:sz w:val="20"/>
        </w:rPr>
        <w:t xml:space="preserve">. Except insofar as the failure to file or pay (as applicable) would not result in a Material Adverse Effect, (A) all United States federal income tax returns of the Company required by law to be filed have been filed and all United States federal income taxes shown by such returns or otherwise assessed, which are due and payable, have been paid, except assessments against which appeals have been or will be promptly taken and as to which adequate reserves have been provided, and (B) the Company has filed all other tax returns that are required to have been filed by it pursuant to applicable foreign, state, local or other law, and has paid all other taxes due pursuant to such returns or pursuant to any assessment received by the Company, except for such taxes, if any, as are being contested in good faith and as to which adequate reserves have been established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Insurance</w:t>
      </w:r>
      <w:r>
        <w:rPr>
          <w:rFonts w:ascii="Times New Roman" w:hAnsi="Times New Roman"/>
          <w:sz w:val="20"/>
        </w:rPr>
        <w:t xml:space="preserve">. 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The Company has not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and Warrant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Absence of Manipulation</w:t>
      </w:r>
      <w:r>
        <w:rPr>
          <w:rFonts w:ascii="Times New Roman" w:hAnsi="Times New Roman"/>
          <w:sz w:val="20"/>
        </w:rPr>
        <w:t xml:space="preserve">. Neither the Company nor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and Warrant Shares or to result in a violation of Regulation M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Foreign Corrupt Practices Act</w:t>
      </w:r>
      <w:r>
        <w:rPr>
          <w:rFonts w:ascii="Times New Roman" w:hAnsi="Times New Roman"/>
          <w:sz w:val="20"/>
        </w:rPr>
        <w:t xml:space="preserve">. Neither the Company, any director or officer, nor, to the knowledge of the Company, any agent, employee, affiliate or other person acting on behalf of the Company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Money Laundering Laws</w:t>
      </w:r>
      <w:r>
        <w:rPr>
          <w:rFonts w:ascii="Times New Roman" w:hAnsi="Times New Roman"/>
          <w:sz w:val="20"/>
        </w:rPr>
        <w:t xml:space="preserve">. The operations of the Company are and have been conducted at all times in compliance with applicable financial recordkeeping and reporting requirements of the Currency and Foreign Transactions Reporting Act of 1970, as amended, applicable money laundering statutes of all jurisdictions in which the Company conducts business, the rules and regulations thereunder and any related or similar applicable rules, regulations or guidelines, issued, administered or enforced by any Governmental Entity (collectively, the “Money Laundering Laws”); and no action, suit or proceeding by or before any Governmental Entity involving the Company with respect to the 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OFAC</w:t>
      </w:r>
      <w:r>
        <w:rPr>
          <w:rFonts w:ascii="Times New Roman" w:hAnsi="Times New Roman"/>
          <w:sz w:val="20"/>
        </w:rPr>
        <w:t xml:space="preserve">. Neither the Company, any director or officer, nor, to the knowledge of the Company, any agent, employee, affiliate or representative of the Company is a Person currently the subject or target of any sanctions administered or enforced by the United States Government, including, without limitation, the U.S. Department of the Treasury’s Office of Foreign Assets Control (“OFAC”), the United Nations Security Council (“UNSC”), the European Union, His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Since April 24, 2019, the Company has not knowingly engaged in and is not now knowingly engaged in any dealings or transactions with any person or jurisdiction that, at the time of the dealing or transaction, is or was the subject or the target of Sanctions in violation of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Lending Relationship</w:t>
      </w:r>
      <w:r>
        <w:rPr>
          <w:rFonts w:ascii="Times New Roman" w:hAnsi="Times New Roman"/>
          <w:i/>
          <w:sz w:val="20"/>
        </w:rPr>
        <w:t xml:space="preserve">. </w:t>
      </w:r>
      <w:r>
        <w:rPr>
          <w:rFonts w:ascii="Times New Roman" w:hAnsi="Times New Roman"/>
          <w:sz w:val="20"/>
        </w:rPr>
        <w:t xml:space="preserve">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Cybersecurity</w:t>
      </w:r>
      <w:r>
        <w:rPr>
          <w:rFonts w:ascii="Times New Roman" w:hAnsi="Times New Roman"/>
          <w:sz w:val="20"/>
        </w:rPr>
        <w:t xml:space="preserve">. Except as would not reasonably be expected to result in a Material Adverse Effect, (A) there has been no security breach or incident, unauthorized access or disclosure, or other compromise of or relating to the Company’s information technology and computer systems, networks, hardware, software, data and databases (including the data and information of the Company’s customers, employees, suppliers, vendors and any third party data maintained, processed or stored by the Company, and any such data processed or stored by third parties on behalf of the Company), equipment or technology (collectively, “IT Systems and Data”): (B) the Company has not been notified of, and it has no knowledge of any event or condition that would reasonably be expected to result in, any security breach or incident, unauthorized access or disclosure or other compromise to its IT Systems and Data and (C) the Company has implemented appropriate controls, policies, procedures, and technological safeguards designed to maintain and protect the integrity, continuous operation, redundancy and security of their IT Systems and Data reasonably consistent with industry standards and practices, or as required by applicable regulatory standards.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Compliance with Healthcare Laws</w:t>
      </w:r>
      <w:r>
        <w:rPr>
          <w:rFonts w:ascii="Times New Roman" w:hAnsi="Times New Roman"/>
          <w:sz w:val="20"/>
        </w:rPr>
        <w:t xml:space="preserve">. The Company is, and during the last three (3) years, has been, in compliance with all Health Care Laws, except where failure to comply would not reasonably be expected, individually or in the aggregate, to result in a Material Adverse Effect. For purposes of this Agreement, “Health Care Laws” means: (i) the Federal Food, Drug, and Cosmetic Act (21 U.S.C. Section 301 et seq.); (ii) all applicable federal, state, local and foreign health care fraud and abuse laws, including, without limitation, the federal Anti-Kickback Statute (42 U.S.C. Section 1320a-7b(b)), the federal Civil False Claims Act (31 U.S.C. Section 3729 et seq.), the criminal false statements law (42 U.S.C. Section 1320a-7b(a)), 18 U.S.C. Sections 286 and 287, the health care fraud criminal provisions under the Health Insurance Portability and Accountability Act (42 U.S.C. Section 1320d et seq.) (“HIPAA”), the civil monetary penalties law (42 U.S.C. Section 1320a-7a), the exclusion law (42 U.S.C. Section 1320a-7), the federal Physician Payments Sunshine Act (42 U.S.C. Section 1320-7h), and applicable laws governing government funded or sponsored healthcare programs; (iii) HIPAA, as amended by the Health Information Technology for Economic and Clinical Health Act (42 U.S.C. Section 17921 et seq.); (iv) all other similar local, state, federal, national, supranational and foreign laws; and (v) the regulations promulgated pursuant to such laws set forth in subparts (i) through (iv). Except as would not reasonably be expected, individually or in the aggregate, to result in a Material Adverse Effect, during the last three (3) years, the Company has not received written notice of any claim, subpoena, civil investigative demand, action, suit, compliant (including a </w:t>
      </w:r>
      <w:r>
        <w:rPr>
          <w:rFonts w:ascii="Times New Roman" w:hAnsi="Times New Roman"/>
          <w:i/>
          <w:sz w:val="20"/>
        </w:rPr>
        <w:t xml:space="preserve">qui tam </w:t>
      </w:r>
      <w:r>
        <w:rPr>
          <w:rFonts w:ascii="Times New Roman" w:hAnsi="Times New Roman"/>
          <w:sz w:val="20"/>
        </w:rPr>
        <w:t xml:space="preserve">complaint), proceeding, hearing, enforcement, investigation, inquiry, arbitration or other action from any court or arbitrator or governmental authority or third party alleging that any product, operation, or activity is in violation of any Health Care Laws nor, to the Company’s knowledge, is any such claim, subpoena, civil investigative demand, action, suit, complaint (including a </w:t>
      </w:r>
      <w:r>
        <w:rPr>
          <w:rFonts w:ascii="Times New Roman" w:hAnsi="Times New Roman"/>
          <w:i/>
          <w:sz w:val="20"/>
        </w:rPr>
        <w:t xml:space="preserve">qui tam </w:t>
      </w:r>
      <w:r>
        <w:rPr>
          <w:rFonts w:ascii="Times New Roman" w:hAnsi="Times New Roman"/>
          <w:sz w:val="20"/>
        </w:rPr>
        <w:t xml:space="preserve">complaint), proceeding, hearing, enforcement, investigation, inquiry, arbitration or other action threatened. Except as would not reasonably be expected, individually or in the aggregate, to result in a Material Adverse Effect, during the last three (3) years, the Company has filed, maintained or submitted all reports, documents, forms, notices, applications, records, claims, submissions and supplements or amendments (“Submissions”) as required by any Health Care Laws, and all such Submissions were accurate on the date filed (or were corrected or supplemented by a subsequent submission). The Company is not, and has not during the last three (3) years been, a party to any corporate integrity agreements, monitoring agreements, consent decrees, settlement orders, or similar agreements with or imposed by any governmental authority. During the last three (3) years, neither the Company nor any of its respective employees, officers, directors,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knowledge, agents has been excluded, suspended or debarred from participation in any U.S. federal health care program or human clinical research or, to the knowledge of the Company, is or could reasonably expected to be subject to an inquiry, investigation, proceeding or other similar action by the FDA, or other applicable regulatory authority or other governmental entity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Clinical Data and Regulatory Compliance</w:t>
      </w:r>
      <w:r>
        <w:rPr>
          <w:rFonts w:ascii="Times New Roman" w:hAnsi="Times New Roman"/>
          <w:sz w:val="20"/>
        </w:rPr>
        <w:t xml:space="preserve">. The preclinical tests and clinical trials, to the extent applicable, conducted by or on behalf of, or sponsored by, the Company and that are described in, or the results of which are referred to in, the Registration Statement, the General Disclosure Package and the Prospectus were and, if still pending, are being conducted in all material respects in accordance with all applicable laws, rules, and regulations, including applicable Health Care Laws; each description of such tests and trials, and the results thereof, contained in the Registration Statement, the General Disclosure Package and the Prospectus is accurate in all material respects, and the Company has no knowledge of any other studies or tests the results of which are materially inconsistent with, or otherwise reasonably call into question, the results described or referred to in the Registration Statement, the General Disclosure Package and the Prospectus; the Company has not received any written notices or other written correspondence from any governmental authority requiring the termination, suspension or material modification of any preclinical tests or clinical trials that are described or referred to in the Registration Statement,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No Rated Securities</w:t>
      </w:r>
      <w:r>
        <w:rPr>
          <w:rFonts w:ascii="Times New Roman" w:hAnsi="Times New Roman"/>
          <w:sz w:val="20"/>
        </w:rPr>
        <w:t xml:space="preserve">. The Company does not have any debt securities or preferred stock that is rated by any “nationally recognized statistical rating organization” (as defined in Section 3(a)(62) of the 1934 Act).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Listing</w:t>
      </w:r>
      <w:r>
        <w:rPr>
          <w:rFonts w:ascii="Times New Roman" w:hAnsi="Times New Roman"/>
          <w:sz w:val="20"/>
        </w:rPr>
        <w:t xml:space="preserve">. The Shares and Warrant Shares are registered pursuant to Section 12(b) or 12(g) of the 1934 Act and are listed on The Nasdaq Global Select Market. The Company has taken no action designed to, or likely to have the effect of, terminating the registration of the Shares or Warrant Shares under the 1934 Act or delisting the Shares or Warrant Shares from The Nasdaq Global Select Market, nor has the Company received any notification that the Commission or The Nasdaq Global Select Market is contemplating terminating such registration or listing. To the Company’s knowledge, the Company is in compliance, in all material respects, with all listing requirements of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Outbound Investment Security Program</w:t>
      </w:r>
      <w:r>
        <w:rPr>
          <w:rFonts w:ascii="Times New Roman" w:hAnsi="Times New Roman"/>
          <w:sz w:val="20"/>
        </w:rPr>
        <w:t xml:space="preserve">. The Company is not a “covered foreign person”, as that term is defined in 31 C.F.R. § 850.209. The Company does not currently engage, or have plans to engage, directly or indirectly, in a “covered activity”, as that term is defined in 31 C.F.R. § 850.208 (“Covered Activity”). The Company does not have any joint venture that engages in or plans to engage inany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 Certificates</w:t>
      </w:r>
      <w:r>
        <w:rPr>
          <w:rFonts w:ascii="Times New Roman" w:hAnsi="Times New Roman"/>
          <w:sz w:val="20"/>
        </w:rPr>
        <w:t xml:space="preserve">. Any certificate signed by any officer of the Company delivered to the Representatives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Securities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(i) at the price per share set forth in Schedule A (the “Share Purchase Price”), that number of Shares set forth in Schedule A opposite the name of such Underwriter, and (ii) at the price per Pre-Funded Warrant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Schedule A, that number of Pre-Funded Warrants set forth in Schedule A opposite the name of such Underwriter, plus any additional number of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 The Company acknowledges and agrees that the Underwriters may offer and sell Securities to or through any affiliate of an Underwriter.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w:t>
      </w:r>
      <w:r>
        <w:rPr>
          <w:rFonts w:ascii="Times New Roman" w:hAnsi="Times New Roman"/>
          <w:sz w:val="20"/>
        </w:rPr>
        <w:t xml:space="preserve">. Payment of the purchase price for, and delivery of certificates or security entitlements for, the Securities shall be made at the offices of Cooley LLP, 3 Embarcadero Center, 20th Floor, San Francisco, CA 94111,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Securities which it has agreed to purchase. The Representatives, individually and not as representatives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Representatives shall instruct purchasers of the Pre-Funded Warrants in the offering to make payment for the Pre-Funded Warrants at the Closing Time to the Company by wire transfer in immediately available funds to the account specified by the Company, at a purchase price of $22.029 per Pre-Funded Warrant, in lieu of payment by the Underwriters for such Pre-Funded Warrants, and the Company shall deliver such Pre-Funded Warrants to such purchasers at the Closing Time in definitive form against such payment, in lieu of the Company’s obligation to deliver such Pre-Funded Warrants to the Underwriters; provided that, the Company shall promptly (but in no event later than the Closing Time), pay $1.3218 per such Pre-Funded Warrant to the Underwriters by wire transfer in immediately available funds to the account specified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purchaser of the Pre-Funded Warrants in the offering fails to make payment to the Company for all or part of the Pre-Funded Warrants at the Closing Time, the Representatives may elect, by written notice to the Company, to receive shares of Common Stock at the Share Purchase Price in lieu of all or a portion of such Pre-Funded Warrants to be delivered to the Underwriters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Section 3(b), will comply with the requirements of Rule 430B,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 for any amendment to the Registration Statement or any amendment or supplement to the Prospectus, including any documents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including pursuant to Section 8A under the 1933 Act,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reasonable best efforts to prevent the issuance of any stop order, prevention or suspension and, if any such order is issued, to obtain the lifting thereof as soon as practicable.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in the manner specified by Rule 424(g) in a prospectus filed pursuant to Rule 424(b).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Continued Compliance with Securities Laws</w:t>
      </w:r>
      <w:r>
        <w:rPr>
          <w:rFonts w:ascii="Times New Roman" w:hAnsi="Times New Roman"/>
          <w:sz w:val="20"/>
        </w:rPr>
        <w:t xml:space="preserve">.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Delivery of Registration Statements. </w:t>
      </w:r>
      <w:r>
        <w:rPr>
          <w:rFonts w:ascii="Times New Roman" w:hAnsi="Times New Roman"/>
          <w:sz w:val="20"/>
        </w:rPr>
        <w:t xml:space="preserve">The Company has furnished or will deliver to the Representatives and counsel for the Underwriters, if requested, without charge, conformed copies of the Registration Statement as originally filed and each amendment thereto (including exhibits filed therewith) and conformed copies of all consents and certificates of experts.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Blue Sky Qualifications</w:t>
      </w:r>
      <w:r>
        <w:rPr>
          <w:rFonts w:ascii="Times New Roman" w:hAnsi="Times New Roman"/>
          <w:sz w:val="20"/>
        </w:rPr>
        <w:t xml:space="preserve">. The Company will use its reasonable best efforts, in cooperation with the 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(which may be satisfied by filing with the Commission pursuant to EDGAR) to its securityholders as soon as practicable an earnings statement for the purposes of, and to provide to the Underwriters the benefits contemplated by, the last paragraph of Section 11(a) of the 1933 Act.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the manner specified in the Registration Statement, the General Disclosure Package and the Prospectus under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reasonable best efforts to effect and maintain the listing of the Common Stock (including the Shares and the Warrant Shares) on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Restriction on Sale of Securities</w:t>
      </w:r>
      <w:r>
        <w:rPr>
          <w:rFonts w:ascii="Times New Roman" w:hAnsi="Times New Roman"/>
          <w:sz w:val="20"/>
        </w:rPr>
        <w:t xml:space="preserve">. During a period of 60 days from the date of the Prospectus, the Company will not, without the prior written consent of Jefferies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(including the issuance of the Pre-Funded Warrants and Warrant Shares),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(F)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Common Stock, restricted stock awards and shares of Common Stock issuable upon the conversion, exercise or exchange of securities (on an as converted or as exercised basis, as the case may be) issued pursuant to this clause (F) shall not exceed 7.5% of the total number of shares of Common Stock issued and outstanding immediately following the issuance and sale of the Securities at the Closing Time pursuant hereto; and provided, further, that each recipient of shares of Common Stock, restricted stock awards or securities convertible into or exercisable or exchangeable for shares of Common Stock pursuant to this clause (F) shall execute a lock-up agreement substantially in the form of Exhibit A hereto or (G) any shares of Common Stock issued in an “at-the-market” offering pursuant to that certain Sales Agreement, by and between the Company and TD Securities (USA) LLC, dated May 8, 2025, as amended on August 4, 2026, provided that no sales shall be made until 30 days after the date of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(l)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prepared or authorized by the Company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Emerging Growth Company Status</w:t>
      </w:r>
      <w:r>
        <w:rPr>
          <w:rFonts w:ascii="Times New Roman" w:hAnsi="Times New Roman"/>
          <w:sz w:val="20"/>
        </w:rPr>
        <w:t xml:space="preserve">. The Company will promptly notify the Representatives if the Company ceases to be an Emerging Growth Company at any time prior to the later of (i) completion of the distribution of the Securities within the meaning of the 1933 Act and (ii) completion of the 60-day restricted period referred to in Section 3(i).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Reservation of Warrant Shares</w:t>
      </w:r>
      <w:r>
        <w:rPr>
          <w:rFonts w:ascii="Times New Roman" w:hAnsi="Times New Roman"/>
          <w:sz w:val="20"/>
        </w:rPr>
        <w:t xml:space="preserve">. The Company shall, at all times while any Pre-Funded Warrants are outstanding, reserve and keep available out of the aggregate of its authorized but unissued and otherwise unreserved shares of Common Stock, solely for the purpose of enabling it to issue Warrant Shares upon exercise of such Pre-Funded Warrants, the number of Warrant Shares that are initially issuable and deliverable upon the exercise of the then-outstanding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and the Pre-Funded Warrants to the purchasers,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or with the Company’s prior written consent in connection with the road show presentations, travel and lodging expenses of the representatives and officers of the Company and any such consultants (provided that the travel and lodging expenses of the Representatives shall be paid for by the Underwriters), and 50% of the cost of aircraft and other transportation chartered in connection with the road show (the remaining 50% of the cost of such aircraft and other chartered transportation to be paid by the Underwriters), (viii) the filing fees incident to, and the reasonable fees and disbursements of counsel to the Underwriters in connection with, the review by FINRA of the terms of the sale of the Securities; provided that the amount payable by the Company pursuant to clause (v) above and this clause (viii) shall not exceed $40,000 in the aggregate, (ix) the fees and expenses incurred, if any, in connection with the listing of the Shares and the Warrant Shares on The Nasdaq Global Select Market, and (x)the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Except as provided in this Section 4, the Underwriters will pay all of their own costs and expenses including the fees and disbursements of their counsel, stock transfer taxes payable on the resale of any of the Securities by them and any advertising expenses connected with any offers they may make. For the avoidance of doubt, it is understood that the Underwriters will pay any stock transfer taxes on the resale of any of the Securities owned by them.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Representatives in accordance with the provisions of Section 5, Section 9(a)(i) or (iii) or Section 10 hereof, the Company shall reimburse the Underwriters for all of their reasonable and documented out-of-pocket expenses that were actually incurred, including the reasonable fees and disbursements of counsel for the Underwriters; provided that, if this Agreement is terminated by the Representatives pursuant to Section 10 hereof, the Company will have no obligations to reimburse any 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delivered pursuant to the provisions hereof, to the performance by the Company of its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or pursuant to Section 8A under the 1933 Act have been instituted or are pending or, to the Company’s knowledge, contemplated; and the Company has complied with each request (if any) from the Commission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 of Counsel for Company</w:t>
      </w:r>
      <w:r>
        <w:rPr>
          <w:rFonts w:ascii="Times New Roman" w:hAnsi="Times New Roman"/>
          <w:sz w:val="20"/>
        </w:rPr>
        <w:t xml:space="preserve">. At the Closing Time, the Representatives shall have received the favorable opinion, dated the Closing Time, of Latham &amp; Watkins LLP, counsel for the Company, in form and substance reasonably satisfactory to counsel for the Underwriters, together with signed or reproduced copies of such letter for each of the other Underwriters.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Intellectual Property Counsel for Company</w:t>
      </w:r>
      <w:r>
        <w:rPr>
          <w:rFonts w:ascii="Times New Roman" w:hAnsi="Times New Roman"/>
          <w:sz w:val="20"/>
        </w:rPr>
        <w:t xml:space="preserve">. At the Closing Time, the Representatives shall have received the opinion, dated the Closing Time, of Baker &amp; Hostetler LLP, counsel for the Company with respect to intellectual property matters, in form and substance reasonably satisfactory to counsel for the Underwriters, together with signed or reproduced copies of such letter for each of the other Underwriters.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Opinion of Counsel for Underwriters</w:t>
      </w:r>
      <w:r>
        <w:rPr>
          <w:rFonts w:ascii="Times New Roman" w:hAnsi="Times New Roman"/>
          <w:sz w:val="20"/>
        </w:rPr>
        <w:t xml:space="preserve">. At the Closing Time, the Representatives shall have received the favorable opinion, dated the Closing Time, of Cooley LLP, counsel for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and the Representatives shall have received a certificate of the Chief Executive Officer or the President of the Company and of the chief financial or chief accounting officer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or pursuant to Section 8A under the 1933 Act have been instituted or are pending or, to their knowledge, contemplated.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Representatives shall have received from Ernst &amp; 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Bring-down Comfort Letter</w:t>
      </w:r>
      <w:r>
        <w:rPr>
          <w:rFonts w:ascii="Times New Roman" w:hAnsi="Times New Roman"/>
          <w:sz w:val="20"/>
        </w:rPr>
        <w:t xml:space="preserve">. At the Closing Time, the Representatives shall have received from Ernst &amp; Young LLP a letter, dated as of the Closing Time, to the effect that they reaffirm the statements made in the letter furnished pursuant to subsection (f) of this Section, except that the specified date referred to shall be a date not more than three business days prior to the Closing Time.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CFO Certificate</w:t>
      </w:r>
      <w:r>
        <w:rPr>
          <w:rFonts w:ascii="Times New Roman" w:hAnsi="Times New Roman"/>
          <w:sz w:val="20"/>
        </w:rPr>
        <w:t xml:space="preserve">. At the time of the execution of this Agreement, the Representatives shall have received from the Company’s chief financial officer a certificate, dated such date, including “management comfort” with respect to certain financial data included or incorporated by reference in the Registration Statement, the General Disclosure Package and the Prospectus, in form and substance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Bring-down CFO Certificate.</w:t>
      </w:r>
      <w:r>
        <w:rPr>
          <w:rFonts w:ascii="Times New Roman" w:hAnsi="Times New Roman"/>
          <w:sz w:val="20"/>
        </w:rPr>
        <w:t xml:space="preserve"> At the Closing Time, the Representatives shall have received from the Company’s chief financial officer a certificate, dated as of the Closing Time, including “management comfort” with respect to certain financial data included or incorporated by reference in the Registration Statement, the General Disclosure Package and the Prospectus, in form and substance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Approval of Listing</w:t>
      </w:r>
      <w:r>
        <w:rPr>
          <w:rFonts w:ascii="Times New Roman" w:hAnsi="Times New Roman"/>
          <w:sz w:val="20"/>
        </w:rPr>
        <w:t xml:space="preserve">. At the Closing Time, the Shares and the Warrant Shares shall have been approved for listing on The Nasdaq Global Select Market, subject only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Objection</w:t>
      </w:r>
      <w:r>
        <w:rPr>
          <w:rFonts w:ascii="Times New Roman" w:hAnsi="Times New Roman"/>
          <w:sz w:val="20"/>
        </w:rPr>
        <w:t xml:space="preserve">. FINRA has confirmed that it has not raised any objection with respect to the fairness and reasonableness of the underwriting terms and arrangements relating to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At the date of this Agreement, the Representatives shall have received an agreement substantially in the form of Exhibit A hereto signed by each of the Company’s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Rating</w:t>
      </w:r>
      <w:r>
        <w:rPr>
          <w:rFonts w:ascii="Times New Roman" w:hAnsi="Times New Roman"/>
          <w:sz w:val="20"/>
        </w:rPr>
        <w:t xml:space="preserve">. The Company does not have any debt securities or preferred stock that is rated by any “nationally recognized statistical rating organization” (as defined in Section 3(a)(62) of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At the Closing Time, counsel for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may be terminated by the Representatives by notice to the Company at any time at or prior to Closing Time, and such termination shall be without liability of any party to any other party except as provided in Section 4 and except that Sections 1, 6, 7, 8, 14, 15, 16 and 17 shall survive any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xml:space="preserve">. The Company agrees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information deemed to be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reasonably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commissions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Schedule A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xml:space="preserve">. If one or more of the Underwriters shall fail at the Closing Time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number of Defaulted Securities exceeds 10% of the number of Securities to be purchased on such date, this Agreement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either the (i) Representatives or (ii) the Company shall have the right to postpone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Jefferies LLC at 520 Madison Avenue, New York, New York 10022, Attention: General Counsel; Guggenheim Securities, LLC at 330 Madison Avenue, New York, New York 10017, Attention: Head of Equity Capital Markets, Fax: (212) 658-9689; Cantor Fitzgerald &amp; Co. at 110 E. 59th St., 6th Floor, New York, NY 10022, Attention: General Counsel, Facsimile: (212) 829-4708; and Barclays Capital Inc. at 745 Seventh Avenue, New York, New York 10019. Notices to the Company shall be directed to it at Tyra Biosciences, Inc., 2656 State Street, Carlsbad, California 92008, attention of Todd Harris, Ph.D.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investment or tax advice with respect to the offering of the Securities and the Company has consulted its own respective legal, accounting, financial, regulatory, investment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§47.3(b); or (iii) a “covered FSI” as that term is defined in, and interpreted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Counterparts and Electronic Signatures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0"/>
        <w:gridCol w:w="61"/>
        <w:gridCol w:w="3341"/>
      </w:tblGrid>
      <w:tr>
        <w:trPr/>
        <w:tc>
          <w:tcPr>
            <w:tcW w:w="6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Tyra Biosciences, Inc.</w:t>
            </w:r>
          </w:p>
        </w:tc>
      </w:tr>
      <w:tr>
        <w:trPr>
          <w:trHeight w:val="240" w:hRule="atLeast"/>
        </w:trPr>
        <w:tc>
          <w:tcPr>
            <w:tcW w:w="680" w:type="dxa"/>
            <w:tcBorders/>
            <w:vAlign w:val="center"/>
          </w:tcPr>
          <w:p>
            <w:pPr>
              <w:pStyle w:val="TableContents"/>
              <w:bidi w:val="0"/>
              <w:spacing w:before="0" w:after="283"/>
              <w:jc w:val="left"/>
              <w:rPr>
                <w:sz w:val="4"/>
                <w:szCs w:val="4"/>
              </w:rPr>
            </w:pPr>
            <w:r>
              <w:rPr>
                <w:sz w:val="4"/>
                <w:szCs w:val="4"/>
              </w:rPr>
            </w:r>
          </w:p>
        </w:tc>
        <w:tc>
          <w:tcPr>
            <w:tcW w:w="3402"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Harris</w:t>
            </w:r>
          </w:p>
        </w:tc>
      </w:tr>
      <w:tr>
        <w:trPr/>
        <w:tc>
          <w:tcPr>
            <w:tcW w:w="68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Todd Harris</w:t>
            </w:r>
          </w:p>
        </w:tc>
      </w:tr>
      <w:tr>
        <w:trPr/>
        <w:tc>
          <w:tcPr>
            <w:tcW w:w="680"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CEO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1"/>
        <w:gridCol w:w="60"/>
        <w:gridCol w:w="3341"/>
      </w:tblGrid>
      <w:tr>
        <w:trPr/>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Brinkman</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Michael Brinkman</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Jami Rubin</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Jami Rubin</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Sr.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Cantor Fitzgerald &amp; Co.</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Sage Kelly</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Sage Kelly</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Co-Chief Executive Officer &amp; Global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01"/>
        <w:gridCol w:w="60"/>
        <w:gridCol w:w="3321"/>
      </w:tblGrid>
      <w:tr>
        <w:trPr/>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Barclays Capital Inc.</w:t>
            </w:r>
          </w:p>
        </w:tc>
      </w:tr>
      <w:tr>
        <w:trPr>
          <w:trHeight w:val="240" w:hRule="atLeast"/>
        </w:trPr>
        <w:tc>
          <w:tcPr>
            <w:tcW w:w="701"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Alejandra Fernandez</w:t>
            </w:r>
          </w:p>
        </w:tc>
      </w:tr>
      <w:tr>
        <w:trPr/>
        <w:tc>
          <w:tcPr>
            <w:tcW w:w="70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Alejandra Fernandez</w:t>
            </w:r>
          </w:p>
        </w:tc>
      </w:tr>
      <w:tr>
        <w:trPr/>
        <w:tc>
          <w:tcPr>
            <w:tcW w:w="70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themselves and as Representatives of the other Underwriters named in Schedule A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offering price per share for the Shares shall be $22.03. The offering price per Pre-Funded Warrant shall be $22.029.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Shares to be paid by the several Underwriters shall be $20.7082, being an amount equal to the offering price set forth above less $1.3218 per share, and the purchase price per Pre-Funded Warrant to be paid by the several Underwriters shall be $20.7072, being an amount equal to the offering price set forth above less $1.3218 per share underlying the Pre-Funded Warrant.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5"/>
        <w:gridCol w:w="224"/>
        <w:gridCol w:w="60"/>
        <w:gridCol w:w="1000"/>
        <w:gridCol w:w="60"/>
        <w:gridCol w:w="224"/>
        <w:gridCol w:w="60"/>
        <w:gridCol w:w="1008"/>
        <w:gridCol w:w="64"/>
      </w:tblGrid>
      <w:tr>
        <w:trPr/>
        <w:tc>
          <w:tcPr>
            <w:tcW w:w="750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05" w:type="dxa"/>
            <w:tcBorders/>
            <w:vAlign w:val="bottom"/>
          </w:tcPr>
          <w:p>
            <w:pPr>
              <w:pStyle w:val="TableContents"/>
              <w:bidi w:val="0"/>
              <w:spacing w:before="0" w:after="283"/>
              <w:jc w:val="left"/>
              <w:rPr/>
            </w:pPr>
            <w:r>
              <w:rPr/>
              <w:t>Name of Underwriter</w:t>
            </w:r>
          </w:p>
        </w:tc>
        <w:tc>
          <w:tcPr>
            <w:tcW w:w="224"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Number of</w:t>
            </w:r>
          </w:p>
          <w:p>
            <w:pPr>
              <w:pStyle w:val="TableContents"/>
              <w:bidi w:val="0"/>
              <w:spacing w:before="0" w:after="20"/>
              <w:jc w:val="center"/>
              <w:rPr>
                <w:rFonts w:ascii="Times New Roman" w:hAnsi="Times New Roman"/>
                <w:sz w:val="16"/>
              </w:rPr>
            </w:pPr>
            <w:r>
              <w:rPr>
                <w:rFonts w:ascii="Times New Roman" w:hAnsi="Times New Roman"/>
                <w:sz w:val="16"/>
              </w:rPr>
              <w:t>Shares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68"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Number of Pre-</w:t>
            </w:r>
          </w:p>
          <w:p>
            <w:pPr>
              <w:pStyle w:val="TableContents"/>
              <w:bidi w:val="0"/>
              <w:spacing w:before="0" w:after="20"/>
              <w:jc w:val="center"/>
              <w:rPr>
                <w:rFonts w:ascii="Times New Roman" w:hAnsi="Times New Roman"/>
                <w:sz w:val="16"/>
              </w:rPr>
            </w:pPr>
            <w:r>
              <w:rPr>
                <w:rFonts w:ascii="Times New Roman" w:hAnsi="Times New Roman"/>
                <w:sz w:val="16"/>
              </w:rPr>
              <w:t>Funded</w:t>
              <w:br/>
              <w:t>Warrants</w:t>
            </w:r>
          </w:p>
        </w:tc>
        <w:tc>
          <w:tcPr>
            <w:tcW w:w="64" w:type="dxa"/>
            <w:tcBorders/>
            <w:vAlign w:val="bottom"/>
          </w:tcPr>
          <w:p>
            <w:pPr>
              <w:pStyle w:val="TableContents"/>
              <w:bidi w:val="0"/>
              <w:spacing w:before="0" w:after="283"/>
              <w:jc w:val="left"/>
              <w:rPr/>
            </w:pPr>
            <w:r>
              <w:rPr/>
              <w:t> </w:t>
            </w:r>
          </w:p>
        </w:tc>
      </w:tr>
      <w:tr>
        <w:trPr/>
        <w:tc>
          <w:tcPr>
            <w:tcW w:w="7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3,086,860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3,086,701</w:t>
            </w:r>
          </w:p>
        </w:tc>
        <w:tc>
          <w:tcPr>
            <w:tcW w:w="64" w:type="dxa"/>
            <w:tcBorders/>
            <w:shd w:fill="CCEEFF" w:val="clear"/>
            <w:vAlign w:val="bottom"/>
          </w:tcPr>
          <w:p>
            <w:pPr>
              <w:pStyle w:val="TableContents"/>
              <w:bidi w:val="0"/>
              <w:spacing w:before="0" w:after="283"/>
              <w:jc w:val="left"/>
              <w:rPr/>
            </w:pPr>
            <w:r>
              <w:rPr/>
              <w:t> </w:t>
            </w:r>
          </w:p>
        </w:tc>
      </w:tr>
      <w:tr>
        <w:trPr/>
        <w:tc>
          <w:tcPr>
            <w:tcW w:w="7505"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1,634,220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1,634,135</w:t>
            </w:r>
          </w:p>
        </w:tc>
        <w:tc>
          <w:tcPr>
            <w:tcW w:w="64" w:type="dxa"/>
            <w:tcBorders/>
            <w:vAlign w:val="bottom"/>
          </w:tcPr>
          <w:p>
            <w:pPr>
              <w:pStyle w:val="TableContents"/>
              <w:bidi w:val="0"/>
              <w:spacing w:before="0" w:after="283"/>
              <w:jc w:val="left"/>
              <w:rPr/>
            </w:pPr>
            <w:r>
              <w:rPr/>
              <w:t> </w:t>
            </w:r>
          </w:p>
        </w:tc>
      </w:tr>
      <w:tr>
        <w:trPr/>
        <w:tc>
          <w:tcPr>
            <w:tcW w:w="7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1,271,060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1,270,994</w:t>
            </w:r>
          </w:p>
        </w:tc>
        <w:tc>
          <w:tcPr>
            <w:tcW w:w="64" w:type="dxa"/>
            <w:tcBorders/>
            <w:shd w:fill="CCEEFF" w:val="clear"/>
            <w:vAlign w:val="bottom"/>
          </w:tcPr>
          <w:p>
            <w:pPr>
              <w:pStyle w:val="TableContents"/>
              <w:bidi w:val="0"/>
              <w:spacing w:before="0" w:after="283"/>
              <w:jc w:val="left"/>
              <w:rPr/>
            </w:pPr>
            <w:r>
              <w:rPr/>
              <w:t> </w:t>
            </w:r>
          </w:p>
        </w:tc>
      </w:tr>
      <w:tr>
        <w:trPr/>
        <w:tc>
          <w:tcPr>
            <w:tcW w:w="750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1,089,480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1,089,423</w:t>
            </w:r>
          </w:p>
        </w:tc>
        <w:tc>
          <w:tcPr>
            <w:tcW w:w="64" w:type="dxa"/>
            <w:tcBorders/>
            <w:vAlign w:val="bottom"/>
          </w:tcPr>
          <w:p>
            <w:pPr>
              <w:pStyle w:val="TableContents"/>
              <w:bidi w:val="0"/>
              <w:spacing w:before="0" w:after="283"/>
              <w:jc w:val="left"/>
              <w:rPr/>
            </w:pPr>
            <w:r>
              <w:rPr/>
              <w:t> </w:t>
            </w:r>
          </w:p>
        </w:tc>
      </w:tr>
      <w:tr>
        <w:trPr/>
        <w:tc>
          <w:tcPr>
            <w:tcW w:w="7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771,715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771,675</w:t>
            </w:r>
          </w:p>
        </w:tc>
        <w:tc>
          <w:tcPr>
            <w:tcW w:w="64" w:type="dxa"/>
            <w:tcBorders/>
            <w:shd w:fill="CCEEFF" w:val="clear"/>
            <w:vAlign w:val="bottom"/>
          </w:tcPr>
          <w:p>
            <w:pPr>
              <w:pStyle w:val="TableContents"/>
              <w:bidi w:val="0"/>
              <w:spacing w:before="0" w:after="283"/>
              <w:jc w:val="left"/>
              <w:rPr/>
            </w:pPr>
            <w:r>
              <w:rPr/>
              <w:t> </w:t>
            </w:r>
          </w:p>
        </w:tc>
      </w:tr>
      <w:tr>
        <w:trPr/>
        <w:tc>
          <w:tcPr>
            <w:tcW w:w="7505" w:type="dxa"/>
            <w:tcBorders/>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453,950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453,926</w:t>
            </w:r>
          </w:p>
        </w:tc>
        <w:tc>
          <w:tcPr>
            <w:tcW w:w="64" w:type="dxa"/>
            <w:tcBorders/>
            <w:vAlign w:val="bottom"/>
          </w:tcPr>
          <w:p>
            <w:pPr>
              <w:pStyle w:val="TableContents"/>
              <w:bidi w:val="0"/>
              <w:spacing w:before="0" w:after="283"/>
              <w:jc w:val="left"/>
              <w:rPr/>
            </w:pPr>
            <w:r>
              <w:rPr/>
              <w:t> </w:t>
            </w:r>
          </w:p>
        </w:tc>
      </w:tr>
      <w:tr>
        <w:trPr/>
        <w:tc>
          <w:tcPr>
            <w:tcW w:w="7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408,555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408,534</w:t>
            </w:r>
          </w:p>
        </w:tc>
        <w:tc>
          <w:tcPr>
            <w:tcW w:w="64" w:type="dxa"/>
            <w:tcBorders/>
            <w:shd w:fill="CCEEFF" w:val="clear"/>
            <w:vAlign w:val="bottom"/>
          </w:tcPr>
          <w:p>
            <w:pPr>
              <w:pStyle w:val="TableContents"/>
              <w:bidi w:val="0"/>
              <w:spacing w:before="0" w:after="283"/>
              <w:jc w:val="left"/>
              <w:rPr/>
            </w:pPr>
            <w:r>
              <w:rPr/>
              <w:t> </w:t>
            </w:r>
          </w:p>
        </w:tc>
      </w:tr>
      <w:tr>
        <w:trPr/>
        <w:tc>
          <w:tcPr>
            <w:tcW w:w="7505"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363,160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363,141</w:t>
            </w:r>
          </w:p>
        </w:tc>
        <w:tc>
          <w:tcPr>
            <w:tcW w:w="64" w:type="dxa"/>
            <w:tcBorders/>
            <w:vAlign w:val="bottom"/>
          </w:tcPr>
          <w:p>
            <w:pPr>
              <w:pStyle w:val="TableContents"/>
              <w:bidi w:val="0"/>
              <w:spacing w:before="0" w:after="283"/>
              <w:jc w:val="left"/>
              <w:rPr/>
            </w:pPr>
            <w:r>
              <w:rPr/>
              <w:t> </w:t>
            </w:r>
          </w:p>
        </w:tc>
      </w:tr>
      <w:tr>
        <w:trPr/>
        <w:tc>
          <w:tcPr>
            <w:tcW w:w="750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9,079,000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9,078,529</w:t>
            </w:r>
          </w:p>
        </w:tc>
        <w:tc>
          <w:tcPr>
            <w:tcW w:w="64" w:type="dxa"/>
            <w:tcBorders/>
            <w:shd w:fill="CCEEFF" w:val="clear"/>
            <w:vAlign w:val="bottom"/>
          </w:tcPr>
          <w:p>
            <w:pPr>
              <w:pStyle w:val="TableContents"/>
              <w:bidi w:val="0"/>
              <w:spacing w:before="0" w:after="283"/>
              <w:jc w:val="left"/>
              <w:rPr/>
            </w:pPr>
            <w:r>
              <w:rPr/>
              <w:t> </w:t>
            </w:r>
          </w:p>
        </w:tc>
      </w:tr>
      <w:tr>
        <w:trPr/>
        <w:tc>
          <w:tcPr>
            <w:tcW w:w="750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selling 9,079,000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selling Pre-Funded Warrants to purchase 9,078,529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per share for the Common Stock shall be $22.03.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per Pre-Funded Warrant shall be $22.029.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prospectuses filed by the Company under Rule 433(d) of the Securities Act: The free writing prospectus dated as of September 14, 2026, substantially in the form set forth in Schedule B-3.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B-2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_____________,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to be named in the </w:t>
      </w:r>
    </w:p>
    <w:p>
      <w:pPr>
        <w:pStyle w:val="TextBody"/>
        <w:bidi w:val="0"/>
        <w:spacing w:before="0" w:after="0"/>
        <w:jc w:val="left"/>
        <w:rPr>
          <w:rFonts w:ascii="Times New Roman" w:hAnsi="Times New Roman"/>
          <w:sz w:val="20"/>
        </w:rPr>
      </w:pPr>
      <w:r>
        <w:rPr>
          <w:rFonts w:ascii="Times New Roman" w:hAnsi="Times New Roman"/>
          <w:sz w:val="20"/>
        </w:rPr>
        <w:t xml:space="preserve">within-mentioned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 xml:space="preserve">Proposed Offering by Tyra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a stockholder and/or an officer and/or a director of Tyra Biosciences, Inc., a Delaware corporation (the “Company”), understands that Jefferies LLC (“Jefferies”), Guggenheim Securities, LLC (“Guggenheim”), Cantor Fitzgerald &amp; Co. (“Cantor”), and Barclays Capital Inc. (“Barclays”, and together with Jefferies, Guggenheim and Cantor, the “Representatives”) propose to enter into an Underwriting Agreement (the “Underwriting Agreement”) with the Company providing for the offering (the “Offering”) of equity securities of the Company, which may include shares of common stock, par value $0.0001 per share (the “Common Stock”) of the Company (the “Shares”) and pre-funded warrants of the Company to purchase Shares (together with the Shares, the “Securities”). In recognition of the benefit that the Offering will confer upon the undersigned as a stockholder and/or an officer and/or a director of the Company, and for other good and valuable consideration, the receipt and sufficiency of which are hereby acknowledged, the undersigned agrees with the Representatives on behalf of each underwriter to be named in the Underwriting Agreement that, during the period beginning on the date hereof and ending on the date that is 60 days from the date of the Underwriting Agreement (the “Lock-Up Period”), the undersigned will not, without the prior written consent of Jefferies LLC (i) directly or indirectly, offer, pledge, sell, contract to sell, sell any option or contract to purchase, purchase any option or contract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in connection with any right with respect to the registration of the undersigned’s Lock-Up Securities, cause the Company to file or confidentially submit any registration statement following the date of the Offering through the duration of the Lock-Up Period,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transfer or otherwise dispose of the Lock-Up Securities without the prior written consent of Jefferies LLC, (a) provided that (1) the Representatives receive a signed lock-up agreement for the balance of the Lock-Up Period from each donee, trustee, distributee, or transferee, as the case may be, (2) any such transfer shall not involve a disposition for value, (3) in the case of (iii), (v) and (vi) below, and, if applicable, (vii) below, such transfers are not required to be reported with the Securities and Exchange Commission on Form 4 in accordance with Section 16 of the Securities Exchange Act of 1934, as amended (the “Exchange Act”), or, in the case of (i), (ii) and (iv) below, and, if applicable, (vii) below, any filing under the Exchange Act required to be made during the Lock-Up Period shall clearly indicate in the footnotes thereto that the filing relates to circumstances described below, as applicable, and (4) the undersigned does not otherwise voluntarily effect any public filing or report regarding such transfers during the Lock-Up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including a </w:t>
            </w:r>
            <w:r>
              <w:rPr>
                <w:rFonts w:ascii="Times New Roman" w:hAnsi="Times New Roman"/>
                <w:i/>
                <w:sz w:val="20"/>
              </w:rPr>
              <w:t>bone fide</w:t>
            </w:r>
            <w:r>
              <w:rPr>
                <w:rFonts w:ascii="Times New Roman" w:hAnsi="Times New Roman"/>
                <w:sz w:val="20"/>
              </w:rPr>
              <w:t xml:space="preserve"> gift or gifts to a trust, charitable organization or educational institution or other entity established for charitable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member of the immediate family of the undersigned, any trust for the direct or indirect benefit of the undersigned or the immediate family of the undersigned (for purposes of this lock-up agreement, “immediate family” shall mean any relationship by blood, marriage, domestic partnership or adoption, not more remote than first cousin) or for </w:t>
            </w:r>
            <w:r>
              <w:rPr>
                <w:rFonts w:ascii="Times New Roman" w:hAnsi="Times New Roman"/>
                <w:i/>
                <w:sz w:val="20"/>
              </w:rPr>
              <w:t>bona fide</w:t>
            </w:r>
            <w:r>
              <w:rPr>
                <w:rFonts w:ascii="Times New Roman" w:hAnsi="Times New Roman"/>
                <w:sz w:val="20"/>
              </w:rPr>
              <w:t xml:space="preserve"> estate planning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that, directly or indirectly, controls or manages, is controlled or managed by, or is under common control or management with,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the trustor or beneficiary of such trust or to the estate of a beneficiary of such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corporation, partnership, limited liability company or other entity all of the beneficial interests of which, in each case, are held by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general or limited partners, members, stockholders or other equity holders or trust beneficiaries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nominee or custodian of a person or entity to whom a transfer or disposition would be permissible under clauses (i) through (vi)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provided that (1) the Representatives receive a signed lock-up agreement for the balance of the Lock-Up Period from each donee, trustee, distributee, or transferee (excluding the Company), as the case may be, or, in the case of (iv) below, provided that any such shares of the Common Stock issued to the undersigned upon exercise of any such option, warrant or other right shall be subject to the restrictions set forth herein, (2) any filing under the Exchange Act required to be made during the Lock-Up Period shall clearly indicate in the footnotes thereto that the filing relates to circumstances described below, as applicable, and (3) the undersigned does not otherwise voluntarily effect any public filing or report regarding such transfers: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other testamentary document or intestate succession to the legal representative, heir, beneficiary or any immediate family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 regulatory agency order, a qualified domestic order or in connection with the dissolution of a marriage or civil union;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(or surrender such Lock-Up Securities to the Company) pursuant to any contractual arrangement that provides the Company with an option to repurchase such Lock-Up Securities in connection with the termination of the undersigned’s employment or other service relationship with the Company, or pursuant to a right of first refusal with respect to transfers of such Lock-Up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connection with the exercise of options, warrants or other rights to acquire shares of Common Stock or any security convertible into or exercisable for shares of Common Stock of the Company by way of net exercise and/or to cover withholding tax obligations or the exercise price thereof in connection with any such exercise pursuant to an employee benefit plan, option, warrant or other right disclosed in the final prospectus supplement for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nothing herein shall prevent the undersigned from (i) exercising any outstanding warrant, or any option to purchase shares granted under any stock incentive plan or stock purchase plan of the Company, provided that the underlying shares shall continue to be subject to the restrictions on transfer set forth in this lock-up agreement, (ii) establishing a 10b5-1 trading plan that complies with Rule 10b5-1 under the Exchange Act (a “10b5-1 Trading Plan”), so long as there are no sales of Lock-Up Securities under such plan during the Lock-Up Period; and provided that the establishment of a 10b5-1 Trading Plan providing for sales of Lock-Up Securities shall only be permitted if (1) to the extent a public announcement or filing under the Exchange Act, if any, is required to be made regarding the establishment of such new 10b5-1 Plan, such announcement or filing shall include a statement to the effect that no sale of securities may be made pursuant to such New 10b5-1 Plan during the Lock-Up Period and (2) the undersigned does not otherwise voluntarily effect any public announcement or filing regarding the establishment of such plan during the Lock-Up Period or (iii) transferring Lock-Up Securities pursuant to a bona fide third party tender offer, merger, consolidation or other similar transaction made to all holders of Common Stock and involving a Change of Control of the Company, provided that in the event that the tender offer, merger, consolidation or other such transaction is not complete, the Lock-Up Securities owned by the undersigned shall remain subject to the restrictions contained in this lock-up agreement. For purposes of this lock-up agreement, “Change of Control” shall mean the consummation of any bona fide third party tender offer, merger consolidation or other similar transaction the result of which is that any “person” (as defined in Section 13(d)(3) of the Exchange Act), or group of persons, becomes the beneficial owner (as defined in Rules 13d-3 and 13d-5 of the Exchange Act) of more than 50% of the total voting power of the voting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herein shall not apply to sales of shares of Common Stock made pursuant to a 10b5-1 Trading Plan that has been entered into by the undersigned prior to the date hereof and disclosed to the Representatives (an “Existing 10b5-1 Plan”); provided that if the undersigned reports any such sale on a Form 4 filed with the Securities and Exchange Commission, the undersigned shall cause such Form 4 to include a statement that such sale was effected pursuant to such Existing 10b5-1 Plan. </w:t>
      </w:r>
    </w:p>
    <w:p>
      <w:pPr>
        <w:pStyle w:val="TextBody"/>
        <w:bidi w:val="0"/>
        <w:spacing w:before="240" w:after="0"/>
        <w:jc w:val="left"/>
        <w:rPr>
          <w:rFonts w:ascii="Times New Roman" w:hAnsi="Times New Roman"/>
          <w:sz w:val="20"/>
        </w:rPr>
      </w:pPr>
      <w:r>
        <w:rPr>
          <w:rFonts w:ascii="Times New Roman" w:hAnsi="Times New Roman"/>
          <w:sz w:val="20"/>
        </w:rPr>
        <w:t xml:space="preserve">Furthermore, notwithstanding anything to the contrary herein, during the Lock-Up Period, the undersigned may sell shares of Common Stock of the Company purchased by the undersigned from the underwriters in the Offering or on the open market following the Offering if and only if (i) such sales are not required to be reported in any public report or filing with the Securities and Exchange Commission , or otherwise, during the Lock-Up Period and (ii) the undersigned does not otherwise voluntarily effect any public filing or report regarding such sales during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lock-up agreement, and nothing set forth in such disclosures is intended to suggest that any Representative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this lock-up agreement, the Lock-Up Period described herein and related restrictions will automatically terminate and the undersigned will be released from all of his, her or its obligations hereunder upon the earliest to occur, if any, of (i) if the Representatives, on the one hand, or the Company, on the other hand, informs the other, prior to the execution of the Underwriting Agreement, that it has determined not to proceed with the Offering, (ii) the date the Company files an application with the Securities and Exchange Commission to withdraw the shelf registration statement on Form S-3 related to the Offering, (iii) the date the Underwriting Agreement (other than provisions thereof which survive termination) is terminated prior to payment for and delivery of the Securities to be sold thereunder and (iv) October 31, 2026, in the event that the Underwriting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New York, without regard to the conflict of laws principles thereof.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10383" w:type="dxa"/>
        <w:jc w:val="center"/>
        <w:tblInd w:w="0" w:type="dxa"/>
        <w:tblLayout w:type="fixed"/>
        <w:tblCellMar>
          <w:top w:w="0" w:type="dxa"/>
          <w:left w:w="0" w:type="dxa"/>
          <w:bottom w:w="0" w:type="dxa"/>
          <w:right w:w="0" w:type="dxa"/>
        </w:tblCellMar>
      </w:tblPr>
      <w:tblGrid>
        <w:gridCol w:w="5090"/>
        <w:gridCol w:w="60"/>
        <w:gridCol w:w="23"/>
        <w:gridCol w:w="120"/>
        <w:gridCol w:w="5090"/>
      </w:tblGrid>
      <w:tr>
        <w:trPr/>
        <w:tc>
          <w:tcPr>
            <w:tcW w:w="50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90" w:type="dxa"/>
            <w:tcBorders/>
            <w:vAlign w:val="center"/>
          </w:tcPr>
          <w:p>
            <w:pPr>
              <w:pStyle w:val="TableContents"/>
              <w:bidi w:val="0"/>
              <w:spacing w:before="0" w:after="283"/>
              <w:jc w:val="left"/>
              <w:rPr>
                <w:sz w:val="4"/>
                <w:szCs w:val="4"/>
              </w:rPr>
            </w:pPr>
            <w:r>
              <w:rPr>
                <w:sz w:val="4"/>
                <w:szCs w:val="4"/>
              </w:rPr>
            </w:r>
          </w:p>
        </w:tc>
      </w:tr>
      <w:tr>
        <w:trPr/>
        <w:tc>
          <w:tcPr>
            <w:tcW w:w="5090" w:type="dxa"/>
            <w:tcBorders/>
          </w:tcPr>
          <w:p>
            <w:pPr>
              <w:pStyle w:val="TableContents"/>
              <w:bidi w:val="0"/>
              <w:spacing w:before="0" w:after="283"/>
              <w:jc w:val="left"/>
              <w:rPr>
                <w:b/>
              </w:rPr>
            </w:pPr>
            <w:r>
              <w:rPr>
                <w:b/>
              </w:rPr>
              <w:t>IF AN INDIVIDUAL:</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283"/>
              <w:jc w:val="left"/>
              <w:rPr>
                <w:b/>
              </w:rPr>
            </w:pPr>
            <w:r>
              <w:rPr>
                <w:b/>
              </w:rPr>
              <w:t>IF AN ENTITY:</w:t>
            </w:r>
          </w:p>
        </w:tc>
      </w:tr>
      <w:tr>
        <w:trPr>
          <w:trHeight w:val="240" w:hRule="atLeast"/>
        </w:trPr>
        <w:tc>
          <w:tcPr>
            <w:tcW w:w="50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5090"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pBdr>
                <w:bottom w:val="single" w:sz="2" w:space="1" w:color="000000"/>
              </w:pBdr>
              <w:bidi w:val="0"/>
              <w:spacing w:before="0" w:after="20"/>
              <w:jc w:val="left"/>
              <w:rPr/>
            </w:pPr>
            <w:r>
              <w:rPr/>
              <w:t> </w:t>
            </w:r>
          </w:p>
        </w:tc>
      </w:tr>
      <w:tr>
        <w:trPr/>
        <w:tc>
          <w:tcPr>
            <w:tcW w:w="5090" w:type="dxa"/>
            <w:tcBorders/>
          </w:tcPr>
          <w:p>
            <w:pPr>
              <w:pStyle w:val="TableContents"/>
              <w:bidi w:val="0"/>
              <w:spacing w:before="0" w:after="283"/>
              <w:jc w:val="center"/>
              <w:rPr>
                <w:i/>
              </w:rPr>
            </w:pPr>
            <w:r>
              <w:rPr>
                <w:i/>
              </w:rPr>
              <w:t xml:space="preserve">(duly authorized signature)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283"/>
              <w:jc w:val="center"/>
              <w:rPr>
                <w:i/>
              </w:rPr>
            </w:pPr>
            <w:r>
              <w:rPr>
                <w:i/>
              </w:rPr>
              <w:t xml:space="preserve">(please print complete name of entity) </w:t>
            </w:r>
          </w:p>
        </w:tc>
      </w:tr>
      <w:tr>
        <w:trPr>
          <w:trHeight w:val="240" w:hRule="atLeast"/>
        </w:trPr>
        <w:tc>
          <w:tcPr>
            <w:tcW w:w="50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5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w:t>
            </w:r>
            <w:r>
              <w:rPr>
                <w:rFonts w:ascii="Times New Roman" w:hAnsi="Times New Roman"/>
                <w:sz w:val="20"/>
                <w:u w:val="single"/>
              </w:rPr>
              <w:t>                          </w:t>
            </w:r>
          </w:p>
          <w:p>
            <w:pPr>
              <w:pStyle w:val="TableContents"/>
              <w:bidi w:val="0"/>
              <w:spacing w:before="0" w:after="20"/>
              <w:jc w:val="center"/>
              <w:rPr>
                <w:rFonts w:ascii="Times New Roman" w:hAnsi="Times New Roman"/>
                <w:i/>
                <w:sz w:val="20"/>
              </w:rPr>
            </w:pPr>
            <w:r>
              <w:rPr>
                <w:rFonts w:ascii="Times New Roman" w:hAnsi="Times New Roman"/>
                <w:i/>
                <w:sz w:val="20"/>
              </w:rPr>
              <w:t xml:space="preserve">(please print full name)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                          </w:t>
            </w:r>
          </w:p>
          <w:p>
            <w:pPr>
              <w:pStyle w:val="TableContents"/>
              <w:bidi w:val="0"/>
              <w:spacing w:before="0" w:after="20"/>
              <w:jc w:val="center"/>
              <w:rPr>
                <w:rFonts w:ascii="Times New Roman" w:hAnsi="Times New Roman"/>
                <w:i/>
                <w:sz w:val="20"/>
              </w:rPr>
            </w:pPr>
            <w:r>
              <w:rPr>
                <w:rFonts w:ascii="Times New Roman" w:hAnsi="Times New Roman"/>
                <w:i/>
                <w:sz w:val="20"/>
              </w:rPr>
              <w:t xml:space="preserve">(duly authorized signature) </w:t>
            </w:r>
          </w:p>
        </w:tc>
      </w:tr>
      <w:tr>
        <w:trPr/>
        <w:tc>
          <w:tcPr>
            <w:tcW w:w="50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w:t>
            </w:r>
            <w:r>
              <w:rPr>
                <w:rFonts w:ascii="Times New Roman" w:hAnsi="Times New Roman"/>
                <w:sz w:val="20"/>
                <w:u w:val="single"/>
              </w:rPr>
              <w:t>                        </w:t>
            </w:r>
          </w:p>
          <w:p>
            <w:pPr>
              <w:pStyle w:val="TableContents"/>
              <w:bidi w:val="0"/>
              <w:spacing w:before="0" w:after="0"/>
              <w:jc w:val="center"/>
              <w:rPr>
                <w:rFonts w:ascii="Times New Roman" w:hAnsi="Times New Roman"/>
                <w:i/>
                <w:sz w:val="20"/>
              </w:rPr>
            </w:pPr>
            <w:r>
              <w:rPr>
                <w:rFonts w:ascii="Times New Roman" w:hAnsi="Times New Roman"/>
                <w:i/>
                <w:sz w:val="20"/>
              </w:rPr>
              <w:t xml:space="preserve">(please print full name) </w:t>
            </w:r>
          </w:p>
          <w:p>
            <w:pPr>
              <w:pStyle w:val="TableContents"/>
              <w:bidi w:val="0"/>
              <w:spacing w:before="0" w:after="0"/>
              <w:jc w:val="left"/>
              <w:rPr>
                <w:rFonts w:ascii="Times New Roman" w:hAnsi="Times New Roman"/>
                <w:sz w:val="20"/>
              </w:rPr>
            </w:pPr>
            <w:r>
              <w:rPr>
                <w:rFonts w:ascii="Times New Roman" w:hAnsi="Times New Roman"/>
                <w:sz w:val="20"/>
              </w:rPr>
              <w:t xml:space="preserve">Title: </w:t>
            </w:r>
            <w:r>
              <w:rPr>
                <w:rFonts w:ascii="Times New Roman" w:hAnsi="Times New Roman"/>
                <w:sz w:val="20"/>
                <w:u w:val="single"/>
              </w:rPr>
              <w:t>                         </w:t>
            </w:r>
          </w:p>
          <w:p>
            <w:pPr>
              <w:pStyle w:val="TableContents"/>
              <w:bidi w:val="0"/>
              <w:spacing w:before="0" w:after="20"/>
              <w:jc w:val="center"/>
              <w:rPr>
                <w:rFonts w:ascii="Times New Roman" w:hAnsi="Times New Roman"/>
                <w:i/>
                <w:sz w:val="20"/>
              </w:rPr>
            </w:pPr>
            <w:r>
              <w:rPr>
                <w:rFonts w:ascii="Times New Roman" w:hAnsi="Times New Roman"/>
                <w:i/>
                <w:sz w:val="20"/>
              </w:rPr>
              <w:t>(please print full title)</w:t>
            </w:r>
          </w:p>
        </w:tc>
      </w:tr>
      <w:tr>
        <w:trPr>
          <w:trHeight w:val="240" w:hRule="atLeast"/>
        </w:trPr>
        <w:tc>
          <w:tcPr>
            <w:tcW w:w="50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5090"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283"/>
              <w:jc w:val="left"/>
              <w:rPr/>
            </w:pPr>
            <w:r>
              <w:rPr/>
              <w:t>Address:</w:t>
            </w:r>
          </w:p>
        </w:tc>
      </w:tr>
      <w:tr>
        <w:trPr/>
        <w:tc>
          <w:tcPr>
            <w:tcW w:w="5090"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pBdr>
                <w:bottom w:val="single" w:sz="2" w:space="1" w:color="000000"/>
              </w:pBdr>
              <w:bidi w:val="0"/>
              <w:spacing w:before="0" w:after="20"/>
              <w:jc w:val="left"/>
              <w:rPr/>
            </w:pPr>
            <w:r>
              <w:rPr/>
              <w:t> </w:t>
            </w:r>
          </w:p>
        </w:tc>
      </w:tr>
      <w:tr>
        <w:trPr/>
        <w:tc>
          <w:tcPr>
            <w:tcW w:w="5090"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pBdr>
                <w:bottom w:val="single" w:sz="2" w:space="1" w:color="000000"/>
              </w:pBdr>
              <w:bidi w:val="0"/>
              <w:spacing w:before="0" w:after="20"/>
              <w:jc w:val="left"/>
              <w:rPr/>
            </w:pPr>
            <w:r>
              <w:rPr/>
              <w:t> </w:t>
            </w:r>
          </w:p>
        </w:tc>
      </w:tr>
      <w:tr>
        <w:trPr>
          <w:trHeight w:val="240" w:hRule="atLeast"/>
        </w:trPr>
        <w:tc>
          <w:tcPr>
            <w:tcW w:w="50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509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090" w:type="dxa"/>
            <w:tcBorders/>
          </w:tcPr>
          <w:p>
            <w:pPr>
              <w:pStyle w:val="TableContents"/>
              <w:bidi w:val="0"/>
              <w:spacing w:before="0" w:after="20"/>
              <w:jc w:val="left"/>
              <w:rPr>
                <w:rFonts w:ascii="Times New Roman" w:hAnsi="Times New Roman"/>
                <w:sz w:val="20"/>
              </w:rPr>
            </w:pPr>
            <w:r>
              <w:rPr>
                <w:rFonts w:ascii="Times New Roman" w:hAnsi="Times New Roman"/>
                <w:sz w:val="20"/>
              </w:rPr>
              <w:t>E-mail:</w:t>
            </w:r>
          </w:p>
        </w:tc>
      </w:tr>
    </w:tbl>
    <w:p>
      <w:pPr>
        <w:pStyle w:val="TextBody"/>
        <w:bidi w:val="0"/>
        <w:spacing w:before="0" w:after="0"/>
        <w:jc w:val="right"/>
        <w:rPr>
          <w:rFonts w:ascii="Times New Roman" w:hAnsi="Times New Roman"/>
          <w:b/>
          <w:sz w:val="20"/>
        </w:rPr>
      </w:pPr>
      <w:bookmarkStart w:id="4" w:name="d102025dex41.htm"/>
      <w:bookmarkStart w:id="5" w:name="ksd102025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center"/>
        <w:rPr>
          <w:rFonts w:ascii="Times New Roman" w:hAnsi="Times New Roman"/>
          <w:b/>
          <w:sz w:val="20"/>
        </w:rPr>
      </w:pPr>
      <w:r>
        <w:rPr>
          <w:rFonts w:ascii="Times New Roman" w:hAnsi="Times New Roman"/>
          <w:b/>
          <w:sz w:val="20"/>
        </w:rPr>
        <w:t>TYRA BIOSCIENCES, INC.</w:t>
      </w:r>
    </w:p>
    <w:p>
      <w:pPr>
        <w:pStyle w:val="TextBody"/>
        <w:bidi w:val="0"/>
        <w:spacing w:before="240" w:after="0"/>
        <w:jc w:val="right"/>
        <w:rPr/>
      </w:pPr>
      <w:r>
        <w:rPr/>
        <w:t>  </w:t>
      </w: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7"/>
        <w:gridCol w:w="120"/>
        <w:gridCol w:w="5268"/>
      </w:tblGrid>
      <w:tr>
        <w:trPr/>
        <w:tc>
          <w:tcPr>
            <w:tcW w:w="4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68" w:type="dxa"/>
            <w:tcBorders/>
            <w:vAlign w:val="center"/>
          </w:tcPr>
          <w:p>
            <w:pPr>
              <w:pStyle w:val="TableContents"/>
              <w:bidi w:val="0"/>
              <w:spacing w:before="0" w:after="283"/>
              <w:jc w:val="left"/>
              <w:rPr>
                <w:sz w:val="4"/>
                <w:szCs w:val="4"/>
              </w:rPr>
            </w:pPr>
            <w:r>
              <w:rPr>
                <w:sz w:val="4"/>
                <w:szCs w:val="4"/>
              </w:rPr>
            </w:r>
          </w:p>
        </w:tc>
      </w:tr>
      <w:tr>
        <w:trPr/>
        <w:tc>
          <w:tcPr>
            <w:tcW w:w="4817" w:type="dxa"/>
            <w:tcBorders/>
          </w:tcPr>
          <w:p>
            <w:pPr>
              <w:pStyle w:val="TableContents"/>
              <w:bidi w:val="0"/>
              <w:spacing w:before="0" w:after="283"/>
              <w:jc w:val="left"/>
              <w:rPr/>
            </w:pPr>
            <w:r>
              <w:rPr/>
              <w:t xml:space="preserve">Warrant No. </w:t>
            </w:r>
            <w:r>
              <w:rPr>
                <w:u w:val="single"/>
              </w:rPr>
              <w:t> </w:t>
            </w:r>
            <w:r>
              <w:rPr/>
              <w:t> </w:t>
            </w:r>
          </w:p>
        </w:tc>
        <w:tc>
          <w:tcPr>
            <w:tcW w:w="120" w:type="dxa"/>
            <w:tcBorders/>
            <w:vAlign w:val="bottom"/>
          </w:tcPr>
          <w:p>
            <w:pPr>
              <w:pStyle w:val="TableContents"/>
              <w:bidi w:val="0"/>
              <w:spacing w:before="0" w:after="283"/>
              <w:jc w:val="left"/>
              <w:rPr/>
            </w:pPr>
            <w:r>
              <w:rPr/>
              <w:t>  </w:t>
            </w:r>
          </w:p>
        </w:tc>
        <w:tc>
          <w:tcPr>
            <w:tcW w:w="5268" w:type="dxa"/>
            <w:tcBorders/>
          </w:tcPr>
          <w:p>
            <w:pPr>
              <w:pStyle w:val="TableContents"/>
              <w:bidi w:val="0"/>
              <w:spacing w:before="0" w:after="283"/>
              <w:jc w:val="right"/>
              <w:rPr/>
            </w:pPr>
            <w:r>
              <w:rPr/>
              <w:t>Original Issue Date: [    ], 2026</w:t>
            </w:r>
          </w:p>
        </w:tc>
      </w:tr>
    </w:tbl>
    <w:p>
      <w:pPr>
        <w:pStyle w:val="TextBody"/>
        <w:bidi w:val="0"/>
        <w:spacing w:before="120" w:after="0"/>
        <w:jc w:val="left"/>
        <w:rPr>
          <w:rFonts w:ascii="Times New Roman" w:hAnsi="Times New Roman"/>
          <w:sz w:val="20"/>
        </w:rPr>
      </w:pPr>
      <w:r>
        <w:rPr>
          <w:rFonts w:ascii="Times New Roman" w:hAnsi="Times New Roman"/>
          <w:b/>
          <w:sz w:val="20"/>
        </w:rPr>
        <w:t>Tyra Biosciences, Inc.,</w:t>
      </w:r>
      <w:r>
        <w:rPr>
          <w:rFonts w:ascii="Times New Roman" w:hAnsi="Times New Roman"/>
          <w:sz w:val="20"/>
        </w:rPr>
        <w:t xml:space="preserve"> a Delaware corporation (the “</w:t>
      </w:r>
      <w:r>
        <w:rPr>
          <w:rFonts w:ascii="Times New Roman" w:hAnsi="Times New Roman"/>
          <w:b/>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b/>
          <w:i/>
          <w:sz w:val="20"/>
        </w:rPr>
        <w:t>Holder</w:t>
      </w:r>
      <w:r>
        <w:rPr>
          <w:rFonts w:ascii="Times New Roman" w:hAnsi="Times New Roman"/>
          <w:sz w:val="20"/>
        </w:rPr>
        <w:t>”), is entitled, subject to the terms set forth below, to purchase from the Company up to a total of [ ] shares of common stock, $0.0001 par value per share (the “</w:t>
      </w:r>
      <w:r>
        <w:rPr>
          <w:rFonts w:ascii="Times New Roman" w:hAnsi="Times New Roman"/>
          <w:b/>
          <w:i/>
          <w:sz w:val="20"/>
        </w:rPr>
        <w:t>Common Stock</w:t>
      </w:r>
      <w:r>
        <w:rPr>
          <w:rFonts w:ascii="Times New Roman" w:hAnsi="Times New Roman"/>
          <w:sz w:val="20"/>
        </w:rPr>
        <w:t>”), of the Company (each such share, a “</w:t>
      </w:r>
      <w:r>
        <w:rPr>
          <w:rFonts w:ascii="Times New Roman" w:hAnsi="Times New Roman"/>
          <w:b/>
          <w:i/>
          <w:sz w:val="20"/>
        </w:rPr>
        <w:t>Warrant Share</w:t>
      </w:r>
      <w:r>
        <w:rPr>
          <w:rFonts w:ascii="Times New Roman" w:hAnsi="Times New Roman"/>
          <w:sz w:val="20"/>
        </w:rPr>
        <w:t>” and all such shares, the “</w:t>
      </w:r>
      <w:r>
        <w:rPr>
          <w:rFonts w:ascii="Times New Roman" w:hAnsi="Times New Roman"/>
          <w:b/>
          <w:i/>
          <w:sz w:val="20"/>
        </w:rPr>
        <w:t>Warrant Shares</w:t>
      </w:r>
      <w:r>
        <w:rPr>
          <w:rFonts w:ascii="Times New Roman" w:hAnsi="Times New Roman"/>
          <w:sz w:val="20"/>
        </w:rPr>
        <w:t xml:space="preserve">”) at an exercise price per share equal to $0.001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b/>
          <w:i/>
          <w:sz w:val="20"/>
        </w:rPr>
        <w:t>Exercise Price</w:t>
      </w:r>
      <w:r>
        <w:rPr>
          <w:rFonts w:ascii="Times New Roman" w:hAnsi="Times New Roman"/>
          <w:sz w:val="20"/>
        </w:rPr>
        <w:t>”), upon surrender of this Warrant to Purchase Common Stock (including any Warrants to Purchase Common Stock issued in exchange, transfer or replacement hereof, the “</w:t>
      </w:r>
      <w:r>
        <w:rPr>
          <w:rFonts w:ascii="Times New Roman" w:hAnsi="Times New Roman"/>
          <w:b/>
          <w:i/>
          <w:sz w:val="20"/>
        </w:rPr>
        <w:t>Warrant</w:t>
      </w:r>
      <w:r>
        <w:rPr>
          <w:rFonts w:ascii="Times New Roman" w:hAnsi="Times New Roman"/>
          <w:sz w:val="20"/>
        </w:rPr>
        <w:t>”) at any time and from time to time on or after the date hereof (the “</w:t>
      </w:r>
      <w:r>
        <w:rPr>
          <w:rFonts w:ascii="Times New Roman" w:hAnsi="Times New Roman"/>
          <w:b/>
          <w:i/>
          <w:sz w:val="20"/>
        </w:rPr>
        <w:t>Original Issue Date</w:t>
      </w:r>
      <w:r>
        <w:rPr>
          <w:rFonts w:ascii="Times New Roman" w:hAnsi="Times New Roman"/>
          <w:sz w:val="20"/>
        </w:rPr>
        <w:t xml:space="preserve">”), until the Warrant has been exercised in full,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 </w:t>
      </w:r>
    </w:p>
    <w:p>
      <w:pPr>
        <w:pStyle w:val="TextBody"/>
        <w:bidi w:val="0"/>
        <w:spacing w:before="240" w:after="0"/>
        <w:jc w:val="left"/>
        <w:rPr/>
      </w:pPr>
      <w:r>
        <w:rPr/>
        <w:t>“</w:t>
      </w:r>
      <w:r>
        <w:rPr>
          <w:rFonts w:ascii="Times New Roman" w:hAnsi="Times New Roman"/>
          <w:b/>
          <w:i/>
          <w:sz w:val="20"/>
        </w:rPr>
        <w:t>Attribution Parties</w:t>
      </w:r>
      <w:r>
        <w:rPr>
          <w:rFonts w:ascii="Times New Roman" w:hAnsi="Times New Roman"/>
          <w:sz w:val="20"/>
        </w:rPr>
        <w:t xml:space="preserve">”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Group</w:t>
      </w:r>
      <w:r>
        <w:rPr>
          <w:rFonts w:ascii="Times New Roman" w:hAnsi="Times New Roman"/>
          <w:sz w:val="20"/>
        </w:rPr>
        <w:t xml:space="preserve">” shall have the meaning ascribed to it in Section 13(d) of the Exchange Act, and all related rules, regulations and jurisprudence.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pPr>
      <w:r>
        <w:rPr/>
        <w:t>“</w:t>
      </w:r>
      <w:r>
        <w:rPr>
          <w:rFonts w:ascii="Times New Roman" w:hAnsi="Times New Roman"/>
          <w:b/>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means the Company’s Registration Statement on Form S-3 (File No. 333-[ ⚫ ]), which was effective automatically upon filing on September 14, 2026.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Standard Settlement Period</w:t>
      </w:r>
      <w:r>
        <w:rPr>
          <w:rFonts w:ascii="Times New Roman" w:hAnsi="Times New Roman"/>
          <w:sz w:val="20"/>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240" w:after="0"/>
        <w:jc w:val="left"/>
        <w:rPr/>
      </w:pPr>
      <w:r>
        <w:rPr/>
        <w:t>“</w:t>
      </w:r>
      <w:r>
        <w:rPr>
          <w:rFonts w:ascii="Times New Roman" w:hAnsi="Times New Roman"/>
          <w:b/>
          <w:i/>
          <w:sz w:val="20"/>
        </w:rPr>
        <w:t>Transfer Agent</w:t>
      </w:r>
      <w:r>
        <w:rPr>
          <w:rFonts w:ascii="Times New Roman" w:hAnsi="Times New Roman"/>
          <w:sz w:val="20"/>
        </w:rPr>
        <w:t xml:space="preserve">” means Computershare Trust Company, N.A.,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b/>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(including Section 11) at any time and from time to time on or after the Original Issue Date, and such rights shall not expire until the Warrant has been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i/>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b/>
          <w:i/>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hAnsi="Times New Roman"/>
          <w:b/>
          <w:i/>
          <w:sz w:val="20"/>
        </w:rPr>
        <w:t>Exercise Shares</w:t>
      </w:r>
      <w:r>
        <w:rPr>
          <w:rFonts w:ascii="Times New Roman" w:hAnsi="Times New Roman"/>
          <w:sz w:val="20"/>
        </w:rPr>
        <w:t>”) to the Holder’s or its designee’s balance account with The Depository Trust Company (“</w:t>
      </w:r>
      <w:r>
        <w:rPr>
          <w:rFonts w:ascii="Times New Roman" w:hAnsi="Times New Roman"/>
          <w:b/>
          <w:i/>
          <w:sz w:val="20"/>
        </w:rPr>
        <w:t>DTC</w:t>
      </w:r>
      <w:r>
        <w:rPr>
          <w:rFonts w:ascii="Times New Roman" w:hAnsi="Times New Roman"/>
          <w:sz w:val="20"/>
        </w:rPr>
        <w:t>”) through its Deposit Withdrawal At Custodian system, or if the Transfer Agent is then a participant in the DTC Fast Automated Securities Transfer Program (the “</w:t>
      </w:r>
      <w:r>
        <w:rPr>
          <w:rFonts w:ascii="Times New Roman" w:hAnsi="Times New Roman"/>
          <w:b/>
          <w:i/>
          <w:sz w:val="20"/>
        </w:rPr>
        <w:t>FAST Program</w:t>
      </w:r>
      <w:r>
        <w:rPr>
          <w:rFonts w:ascii="Times New Roman" w:hAnsi="Times New Roman"/>
          <w:sz w:val="20"/>
        </w:rPr>
        <w:t xml:space="preserve">”). If the Transfer Agent is not a member of the FAST Program,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fails to deliver to the Holder or its designee Exercise Shares in the manner required pursuant to </w:t>
      </w:r>
      <w:r>
        <w:rPr>
          <w:rFonts w:ascii="Times New Roman" w:hAnsi="Times New Roman"/>
          <w:sz w:val="20"/>
          <w:u w:val="single"/>
        </w:rPr>
        <w:t>Section 5(a)</w:t>
      </w:r>
      <w:r>
        <w:rPr>
          <w:rFonts w:ascii="Times New Roman" w:hAnsi="Times New Roman"/>
          <w:sz w:val="20"/>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i/>
          <w:sz w:val="20"/>
        </w:rPr>
        <w:t>Buy-In</w:t>
      </w:r>
      <w:r>
        <w:rPr>
          <w:rFonts w:ascii="Times New Roman" w:hAnsi="Times New Roman"/>
          <w:sz w:val="20"/>
        </w:rPr>
        <w:t xml:space="preserve">”)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 (y) the amount obtained by multiplying (A) the number of Warrant Shares that the Company was required to deliver to the Holder in connection with the exercise at issue times (B) the Closing Sale Price of a share of Common Stock on the Exercise Date,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hAnsi="Times New Roman"/>
          <w:i/>
          <w:sz w:val="20"/>
        </w:rPr>
        <w:t>provided, however</w:t>
      </w:r>
      <w:r>
        <w:rPr>
          <w:rFonts w:ascii="Times New Roman" w:hAnsi="Times New Roman"/>
          <w:sz w:val="20"/>
        </w:rPr>
        <w:t xml:space="preserve">,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sz w:val="20"/>
          <w:u w:val="single"/>
        </w:rPr>
        <w:t>Section 9(a)</w:t>
      </w:r>
      <w:r>
        <w:rPr>
          <w:rFonts w:ascii="Times New Roman" w:hAnsi="Times New Roman"/>
          <w:sz w:val="20"/>
        </w:rPr>
        <w:t xml:space="preserve">, any distribution of Purchase Rights (as defined below) subject to </w:t>
      </w:r>
      <w:r>
        <w:rPr>
          <w:rFonts w:ascii="Times New Roman" w:hAnsi="Times New Roman"/>
          <w:sz w:val="20"/>
          <w:u w:val="single"/>
        </w:rPr>
        <w:t>Section 9(c)</w:t>
      </w:r>
      <w:r>
        <w:rPr>
          <w:rFonts w:ascii="Times New Roman" w:hAnsi="Times New Roman"/>
          <w:sz w:val="20"/>
        </w:rPr>
        <w:t xml:space="preserve"> and any Fundamental Transaction (as defined below) subject to </w:t>
      </w:r>
      <w:r>
        <w:rPr>
          <w:rFonts w:ascii="Times New Roman" w:hAnsi="Times New Roman"/>
          <w:sz w:val="20"/>
          <w:u w:val="single"/>
        </w:rPr>
        <w:t>Section 9(d))</w:t>
      </w:r>
      <w:r>
        <w:rPr>
          <w:rFonts w:ascii="Times New Roman" w:hAnsi="Times New Roman"/>
          <w:sz w:val="20"/>
        </w:rPr>
        <w:t xml:space="preserve"> (a “</w:t>
      </w:r>
      <w:r>
        <w:rPr>
          <w:rFonts w:ascii="Times New Roman" w:hAnsi="Times New Roman"/>
          <w:b/>
          <w:i/>
          <w:sz w:val="20"/>
        </w:rPr>
        <w:t>Distribution</w:t>
      </w:r>
      <w:r>
        <w:rPr>
          <w:rFonts w:ascii="Times New Roman" w:hAnsi="Times New Roman"/>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sz w:val="20"/>
        </w:rPr>
        <w:t>provided</w:t>
      </w:r>
      <w:r>
        <w:rPr>
          <w:rFonts w:ascii="Times New Roman" w:hAnsi="Times New Roman"/>
          <w:sz w:val="20"/>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b/>
          <w:i/>
          <w:sz w:val="20"/>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hAnsi="Times New Roman"/>
          <w:i/>
          <w:sz w:val="20"/>
        </w:rPr>
        <w:t>provided</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b/>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sz w:val="20"/>
          <w:u w:val="single"/>
        </w:rPr>
        <w:t>Sections 9(b)</w:t>
      </w:r>
      <w:r>
        <w:rPr>
          <w:rFonts w:ascii="Times New Roman" w:hAnsi="Times New Roman"/>
          <w:sz w:val="20"/>
        </w:rPr>
        <w:t xml:space="preserve"> or </w:t>
      </w:r>
      <w:r>
        <w:rPr>
          <w:rFonts w:ascii="Times New Roman" w:hAnsi="Times New Roman"/>
          <w:sz w:val="20"/>
          <w:u w:val="single"/>
        </w:rPr>
        <w:t>9(c)</w:t>
      </w:r>
      <w:r>
        <w:rPr>
          <w:rFonts w:ascii="Times New Roman" w:hAnsi="Times New Roman"/>
          <w:sz w:val="20"/>
        </w:rPr>
        <w:t xml:space="preserve"> above) without regard to any limitations on exercise contained herein (the “</w:t>
      </w:r>
      <w:r>
        <w:rPr>
          <w:rFonts w:ascii="Times New Roman" w:hAnsi="Times New Roman"/>
          <w:b/>
          <w:i/>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9(d)</w:t>
      </w:r>
      <w:r>
        <w:rPr>
          <w:rFonts w:ascii="Times New Roman" w:hAnsi="Times New Roman"/>
          <w:sz w:val="20"/>
        </w:rPr>
        <w:t xml:space="preserve">, other than a Fundamental Transaction under clause (iii) of </w:t>
      </w:r>
      <w:r>
        <w:rPr>
          <w:rFonts w:ascii="Times New Roman" w:hAnsi="Times New Roman"/>
          <w:sz w:val="20"/>
          <w:u w:val="single"/>
        </w:rPr>
        <w:t>Section 9(d),</w:t>
      </w:r>
      <w:r>
        <w:rPr>
          <w:rFonts w:ascii="Times New Roman" w:hAnsi="Times New Roman"/>
          <w:sz w:val="20"/>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hAnsi="Times New Roman"/>
          <w:sz w:val="20"/>
          <w:u w:val="single"/>
        </w:rPr>
        <w:t>Section 9(h)</w:t>
      </w:r>
      <w:r>
        <w:rPr>
          <w:rFonts w:ascii="Times New Roman" w:hAnsi="Times New Roman"/>
          <w:sz w:val="20"/>
        </w:rPr>
        <w:t xml:space="preserve">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240" w:after="0"/>
        <w:jc w:val="left"/>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hAnsi="Times New Roman"/>
          <w:i/>
          <w:sz w:val="20"/>
        </w:rPr>
        <w:t>provided</w:t>
      </w:r>
      <w:r>
        <w:rPr>
          <w:rFonts w:ascii="Times New Roman" w:hAnsi="Times New Roman"/>
          <w:sz w:val="20"/>
        </w:rPr>
        <w:t xml:space="preserve">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Except as set forth in Section 5(b) (Buy-In remedy) and Section 12 (payment of cash in lieu of fractional shares), in no event will the exercise of this Warrant be settled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hAnsi="Times New Roman"/>
          <w:b/>
          <w:i/>
          <w:sz w:val="20"/>
        </w:rPr>
        <w:t>Maximum Percentage</w:t>
      </w:r>
      <w:r>
        <w:rPr>
          <w:rFonts w:ascii="Times New Roman" w:hAnsi="Times New Roman"/>
          <w:sz w:val="20"/>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sz w:val="20"/>
          <w:u w:val="single"/>
        </w:rPr>
        <w:t>Section 11(a)</w:t>
      </w:r>
      <w:r>
        <w:rPr>
          <w:rFonts w:ascii="Times New Roman" w:hAnsi="Times New Roman"/>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hAnsi="Times New Roman"/>
          <w:b/>
          <w:i/>
          <w:sz w:val="20"/>
        </w:rPr>
        <w:t>Reported Outstanding Share Number</w:t>
      </w:r>
      <w:r>
        <w:rPr>
          <w:rFonts w:ascii="Times New Roman" w:hAnsi="Times New Roman"/>
          <w:sz w:val="20"/>
        </w:rPr>
        <w:t>”). For any reason at any time, upon the written or oral request of the Holder, the Company shall within one (1)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i/>
          <w:sz w:val="20"/>
        </w:rPr>
        <w:t>Reduction Shares</w:t>
      </w:r>
      <w:r>
        <w:rPr>
          <w:rFonts w:ascii="Times New Roman" w:hAnsi="Times New Roman"/>
          <w:sz w:val="20"/>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i/>
          <w:sz w:val="20"/>
        </w:rPr>
        <w:t>Excess Shares</w:t>
      </w:r>
      <w:r>
        <w:rPr>
          <w:rFonts w:ascii="Times New Roman" w:hAnsi="Times New Roman"/>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hAnsi="Times New Roman"/>
          <w:i/>
          <w:sz w:val="20"/>
        </w:rPr>
        <w:t xml:space="preserve">provided </w:t>
      </w:r>
      <w:r>
        <w:rPr>
          <w:rFonts w:ascii="Times New Roman" w:hAnsi="Times New Roman"/>
          <w:sz w:val="20"/>
        </w:rPr>
        <w:t xml:space="preserve">that any increase in the Maximum Percentage will not be effective until the sixty-first (61st) day after such notice is delivered to the Company and shall not negatively affect any partial exercise effected prior to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sz w:val="20"/>
          <w:u w:val="single"/>
        </w:rPr>
        <w:t>Section 9(d)</w:t>
      </w:r>
      <w:r>
        <w:rPr>
          <w:rFonts w:ascii="Times New Roman" w:hAnsi="Times New Roman"/>
          <w:sz w:val="20"/>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hAnsi="Times New Roman"/>
          <w:sz w:val="20"/>
          <w:u w:val="single"/>
        </w:rPr>
        <w:t>Section 11(a)</w:t>
      </w:r>
      <w:r>
        <w:rPr>
          <w:rFonts w:ascii="Times New Roman" w:hAnsi="Times New Roman"/>
          <w:sz w:val="20"/>
        </w:rPr>
        <w:t xml:space="preserve"> to the extent necessary to correct this paragraph or any portion of this paragraph which may be defective or inconsistent with the intended beneficial ownership limitation contained in </w:t>
      </w:r>
      <w:r>
        <w:rPr>
          <w:rFonts w:ascii="Times New Roman" w:hAnsi="Times New Roman"/>
          <w:sz w:val="20"/>
          <w:u w:val="single"/>
        </w:rPr>
        <w:t>Section 11(a)</w:t>
      </w:r>
      <w:r>
        <w:rPr>
          <w:rFonts w:ascii="Times New Roman" w:hAnsi="Times New Roman"/>
          <w:sz w:val="20"/>
        </w:rPr>
        <w:t xml:space="preserve"> or to make changes or supplements necessary or desirable to properly give effect to such limitation. The limitation contained in this paragraph may not be waived and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hAnsi="Times New Roman"/>
          <w:b/>
          <w:i/>
          <w:sz w:val="20"/>
        </w:rPr>
        <w:t>Specified Courts</w:t>
      </w:r>
      <w:r>
        <w:rPr>
          <w:rFonts w:ascii="Times New Roman" w:hAnsi="Times New Roman"/>
          <w:sz w:val="20"/>
        </w:rPr>
        <w:t xml:space="preserve">”).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THE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23"/>
        <w:gridCol w:w="148"/>
        <w:gridCol w:w="2411"/>
      </w:tblGrid>
      <w:tr>
        <w:trPr/>
        <w:tc>
          <w:tcPr>
            <w:tcW w:w="152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TYRA BIOSCIENCES, INC.</w:t>
            </w:r>
          </w:p>
        </w:tc>
      </w:tr>
      <w:tr>
        <w:trPr>
          <w:trHeight w:val="240" w:hRule="atLeast"/>
        </w:trPr>
        <w:tc>
          <w:tcPr>
            <w:tcW w:w="1523"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pBdr>
                <w:bottom w:val="single" w:sz="2" w:space="1" w:color="000000"/>
              </w:pBdr>
              <w:bidi w:val="0"/>
              <w:spacing w:before="0" w:after="20"/>
              <w:jc w:val="left"/>
              <w:rPr/>
            </w:pPr>
            <w:r>
              <w:rPr/>
              <w:t> </w:t>
            </w:r>
          </w:p>
        </w:tc>
      </w:tr>
      <w:tr>
        <w:trPr/>
        <w:tc>
          <w:tcPr>
            <w:tcW w:w="1523" w:type="dxa"/>
            <w:tcBorders/>
          </w:tcPr>
          <w:p>
            <w:pPr>
              <w:pStyle w:val="TableContents"/>
              <w:bidi w:val="0"/>
              <w:spacing w:before="0" w:after="283"/>
              <w:jc w:val="left"/>
              <w:rPr/>
            </w:pPr>
            <w:r>
              <w:rPr/>
              <w:t>Name:</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Title:</w:t>
            </w:r>
          </w:p>
        </w:tc>
        <w:tc>
          <w:tcPr>
            <w:tcW w:w="148" w:type="dxa"/>
            <w:tcBorders/>
            <w:vAlign w:val="bottom"/>
          </w:tcPr>
          <w:p>
            <w:pPr>
              <w:pStyle w:val="TableContents"/>
              <w:bidi w:val="0"/>
              <w:spacing w:before="0" w:after="283"/>
              <w:jc w:val="left"/>
              <w:rPr/>
            </w:pPr>
            <w:r>
              <w:rPr/>
              <w:t> </w:t>
            </w:r>
          </w:p>
        </w:tc>
        <w:tc>
          <w:tcPr>
            <w:tcW w:w="241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SCHEDULE 1</w:t>
      </w:r>
      <w:r>
        <w:rPr>
          <w:rFonts w:ascii="Times New Roman" w:hAnsi="Times New Roman"/>
          <w:b/>
          <w:sz w:val="20"/>
          <w:u w:val="single"/>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is the Holder of Warrant No. __ (the “Warrant”) issued by </w:t>
      </w:r>
      <w:r>
        <w:rPr>
          <w:rFonts w:ascii="Times New Roman" w:hAnsi="Times New Roman"/>
          <w:b/>
          <w:sz w:val="20"/>
        </w:rPr>
        <w:t>TYRA BIOSCIENCES,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44"/>
        <w:gridCol w:w="123"/>
        <w:gridCol w:w="9429"/>
      </w:tblGrid>
      <w:tr>
        <w:trPr/>
        <w:tc>
          <w:tcPr>
            <w:tcW w:w="2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429" w:type="dxa"/>
            <w:tcBorders/>
            <w:vAlign w:val="center"/>
          </w:tcPr>
          <w:p>
            <w:pPr>
              <w:pStyle w:val="TableContents"/>
              <w:bidi w:val="0"/>
              <w:spacing w:before="0" w:after="283"/>
              <w:jc w:val="left"/>
              <w:rPr>
                <w:sz w:val="4"/>
                <w:szCs w:val="4"/>
              </w:rPr>
            </w:pPr>
            <w:r>
              <w:rPr>
                <w:sz w:val="4"/>
                <w:szCs w:val="4"/>
              </w:rPr>
            </w:r>
          </w:p>
        </w:tc>
      </w:tr>
      <w:tr>
        <w:trPr/>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29" w:type="dxa"/>
            <w:tcBorders/>
          </w:tcPr>
          <w:p>
            <w:pPr>
              <w:pStyle w:val="TableContents"/>
              <w:bidi w:val="0"/>
              <w:spacing w:before="0" w:after="283"/>
              <w:jc w:val="left"/>
              <w:rPr/>
            </w:pPr>
            <w:r>
              <w:rPr/>
              <w:t>Cash Exercise</w:t>
            </w:r>
          </w:p>
        </w:tc>
      </w:tr>
      <w:tr>
        <w:trPr>
          <w:trHeight w:val="240" w:hRule="atLeast"/>
        </w:trPr>
        <w:tc>
          <w:tcPr>
            <w:tcW w:w="244" w:type="dxa"/>
            <w:tcBorders/>
            <w:vAlign w:val="center"/>
          </w:tcPr>
          <w:p>
            <w:pPr>
              <w:pStyle w:val="TableContents"/>
              <w:bidi w:val="0"/>
              <w:spacing w:before="0" w:after="283"/>
              <w:jc w:val="left"/>
              <w:rPr>
                <w:sz w:val="4"/>
                <w:szCs w:val="4"/>
              </w:rPr>
            </w:pPr>
            <w:r>
              <w:rPr>
                <w:sz w:val="4"/>
                <w:szCs w:val="4"/>
              </w:rPr>
            </w:r>
          </w:p>
        </w:tc>
        <w:tc>
          <w:tcPr>
            <w:tcW w:w="9552" w:type="dxa"/>
            <w:gridSpan w:val="2"/>
            <w:tcBorders/>
            <w:vAlign w:val="center"/>
          </w:tcPr>
          <w:p>
            <w:pPr>
              <w:pStyle w:val="TableContents"/>
              <w:bidi w:val="0"/>
              <w:spacing w:before="0" w:after="283"/>
              <w:jc w:val="left"/>
              <w:rPr>
                <w:sz w:val="4"/>
                <w:szCs w:val="4"/>
              </w:rPr>
            </w:pPr>
            <w:r>
              <w:rPr>
                <w:sz w:val="4"/>
                <w:szCs w:val="4"/>
              </w:rPr>
            </w:r>
          </w:p>
        </w:tc>
      </w:tr>
      <w:tr>
        <w:trPr/>
        <w:tc>
          <w:tcPr>
            <w:tcW w:w="244"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9429" w:type="dxa"/>
            <w:tcBorders/>
          </w:tcPr>
          <w:p>
            <w:pPr>
              <w:pStyle w:val="TableContents"/>
              <w:bidi w:val="0"/>
              <w:spacing w:before="0" w:after="283"/>
              <w:jc w:val="left"/>
              <w:rPr/>
            </w:pPr>
            <w:r>
              <w:rPr/>
              <w:t>“</w:t>
            </w:r>
            <w:r>
              <w:rPr/>
              <w:t>Cashless Exercise” under Section 10 of the Warrant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96"/>
        <w:gridCol w:w="60"/>
        <w:gridCol w:w="2226"/>
      </w:tblGrid>
      <w:tr>
        <w:trPr/>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bidi w:val="0"/>
              <w:spacing w:before="0" w:after="0"/>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 of Holder:</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r>
        <w:trPr>
          <w:trHeight w:val="120" w:hRule="atLeast"/>
        </w:trPr>
        <w:tc>
          <w:tcPr>
            <w:tcW w:w="1796" w:type="dxa"/>
            <w:tcBorders/>
            <w:vAlign w:val="center"/>
          </w:tcPr>
          <w:p>
            <w:pPr>
              <w:pStyle w:val="TableContents"/>
              <w:bidi w:val="0"/>
              <w:spacing w:before="0" w:after="283"/>
              <w:jc w:val="left"/>
              <w:rPr>
                <w:sz w:val="4"/>
                <w:szCs w:val="4"/>
              </w:rPr>
            </w:pPr>
            <w:r>
              <w:rPr>
                <w:sz w:val="4"/>
                <w:szCs w:val="4"/>
              </w:rPr>
            </w:r>
          </w:p>
        </w:tc>
        <w:tc>
          <w:tcPr>
            <w:tcW w:w="2286" w:type="dxa"/>
            <w:gridSpan w:val="2"/>
            <w:tcBorders/>
            <w:vAlign w:val="center"/>
          </w:tcPr>
          <w:p>
            <w:pPr>
              <w:pStyle w:val="TableContents"/>
              <w:bidi w:val="0"/>
              <w:spacing w:before="0" w:after="283"/>
              <w:jc w:val="left"/>
              <w:rPr>
                <w:sz w:val="4"/>
                <w:szCs w:val="4"/>
              </w:rPr>
            </w:pPr>
            <w:r>
              <w:rPr>
                <w:sz w:val="4"/>
                <w:szCs w:val="4"/>
              </w:rPr>
            </w:r>
          </w:p>
        </w:tc>
      </w:tr>
      <w:tr>
        <w:trPr/>
        <w:tc>
          <w:tcPr>
            <w:tcW w:w="17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22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102025dex51.htm"/>
      <w:bookmarkStart w:id="7" w:name="ksd102025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5"/>
        <w:gridCol w:w="101"/>
        <w:gridCol w:w="1531"/>
        <w:gridCol w:w="101"/>
        <w:gridCol w:w="1327"/>
      </w:tblGrid>
      <w:tr>
        <w:trPr/>
        <w:tc>
          <w:tcPr>
            <w:tcW w:w="714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959" w:type="dxa"/>
            <w:gridSpan w:val="3"/>
            <w:tcBorders/>
          </w:tcPr>
          <w:p>
            <w:pPr>
              <w:pStyle w:val="TableContents"/>
              <w:bidi w:val="0"/>
              <w:spacing w:before="0" w:after="283"/>
              <w:jc w:val="left"/>
              <w:rPr/>
            </w:pPr>
            <w:r>
              <w:rPr/>
              <w:t>12670 High Bluff Drive</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959" w:type="dxa"/>
            <w:gridSpan w:val="3"/>
            <w:tcBorders/>
          </w:tcPr>
          <w:p>
            <w:pPr>
              <w:pStyle w:val="TableContents"/>
              <w:bidi w:val="0"/>
              <w:spacing w:before="0" w:after="283"/>
              <w:jc w:val="left"/>
              <w:rPr/>
            </w:pPr>
            <w:r>
              <w:rPr/>
              <w:t>San Diego, California 92130</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95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Tel: +1.858.523.5400 Fax: +1.858.523.5450</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120" w:hRule="atLeast"/>
        </w:trPr>
        <w:tc>
          <w:tcPr>
            <w:tcW w:w="7145" w:type="dxa"/>
            <w:tcBorders/>
            <w:vAlign w:val="center"/>
          </w:tcPr>
          <w:p>
            <w:pPr>
              <w:pStyle w:val="TableContents"/>
              <w:bidi w:val="0"/>
              <w:spacing w:before="0" w:after="283"/>
              <w:jc w:val="left"/>
              <w:rPr>
                <w:sz w:val="4"/>
                <w:szCs w:val="4"/>
              </w:rPr>
            </w:pPr>
            <w:r>
              <w:rPr>
                <w:sz w:val="4"/>
                <w:szCs w:val="4"/>
              </w:rPr>
            </w:r>
          </w:p>
        </w:tc>
        <w:tc>
          <w:tcPr>
            <w:tcW w:w="3060" w:type="dxa"/>
            <w:gridSpan w:val="4"/>
            <w:tcBorders/>
            <w:vAlign w:val="center"/>
          </w:tcPr>
          <w:p>
            <w:pPr>
              <w:pStyle w:val="TableContents"/>
              <w:bidi w:val="0"/>
              <w:spacing w:before="0" w:after="283"/>
              <w:jc w:val="left"/>
              <w:rPr>
                <w:sz w:val="4"/>
                <w:szCs w:val="4"/>
              </w:rPr>
            </w:pPr>
            <w:r>
              <w:rPr>
                <w:sz w:val="4"/>
                <w:szCs w:val="4"/>
              </w:rPr>
            </w:r>
          </w:p>
        </w:tc>
      </w:tr>
      <w:tr>
        <w:trPr/>
        <w:tc>
          <w:tcPr>
            <w:tcW w:w="7145" w:type="dxa"/>
            <w:tcBorders/>
          </w:tcPr>
          <w:p>
            <w:pPr>
              <w:pStyle w:val="TableContents"/>
              <w:bidi w:val="0"/>
              <w:spacing w:before="0" w:after="283"/>
              <w:jc w:val="left"/>
              <w:rPr/>
            </w:pPr>
            <w:r>
              <w:rPr/>
              <w:drawing>
                <wp:inline distT="0" distB="0" distL="0" distR="0">
                  <wp:extent cx="22574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619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959" w:type="dxa"/>
            <w:gridSpan w:val="3"/>
            <w:tcBorders/>
          </w:tcPr>
          <w:p>
            <w:pPr>
              <w:pStyle w:val="TableContents"/>
              <w:bidi w:val="0"/>
              <w:spacing w:before="0" w:after="283"/>
              <w:jc w:val="left"/>
              <w:rPr/>
            </w:pPr>
            <w:r>
              <w:rPr/>
              <w:t>FIRM / AFFILIATE OFFICES</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Austin</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Milan</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Beijing</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Munich</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Boston</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New York</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Brussels</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Orange County</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Chicago</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Paris</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Dubai</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Riyadh</w:t>
            </w:r>
          </w:p>
        </w:tc>
      </w:tr>
      <w:tr>
        <w:trPr/>
        <w:tc>
          <w:tcPr>
            <w:tcW w:w="7145" w:type="dxa"/>
            <w:tcBorders/>
          </w:tcPr>
          <w:p>
            <w:pPr>
              <w:pStyle w:val="TableContents"/>
              <w:bidi w:val="0"/>
              <w:spacing w:before="0" w:after="283"/>
              <w:jc w:val="left"/>
              <w:rPr/>
            </w:pPr>
            <w:r>
              <w:rPr/>
              <w:t>September 14, 2026</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Düsseldorf</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San Diego</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Frankfurt</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San Francisco</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Hamburg</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Seoul</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Hong Kong</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Silicon Valley</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Houston</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Singapore</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London</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Tel Aviv</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Los Angeles</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Tokyo</w:t>
            </w:r>
          </w:p>
        </w:tc>
      </w:tr>
      <w:tr>
        <w:trPr/>
        <w:tc>
          <w:tcPr>
            <w:tcW w:w="714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Madrid</w:t>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Tyra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2656 State Street </w:t>
      </w:r>
    </w:p>
    <w:p>
      <w:pPr>
        <w:pStyle w:val="TextBody"/>
        <w:bidi w:val="0"/>
        <w:spacing w:before="0" w:after="0"/>
        <w:jc w:val="left"/>
        <w:rPr>
          <w:rFonts w:ascii="Times New Roman" w:hAnsi="Times New Roman"/>
          <w:sz w:val="20"/>
        </w:rPr>
      </w:pPr>
      <w:r>
        <w:rPr>
          <w:rFonts w:ascii="Times New Roman" w:hAnsi="Times New Roman"/>
          <w:sz w:val="20"/>
        </w:rPr>
        <w:t xml:space="preserve">Carlsbad, California 92008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(No. 333-298911); 9,079,000 shares of Common Stock, par value $0.0001 per share, and pre-funded warrants to purchase 9,078,529 shares of Common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Tyra Biosciences, Inc., a Delaware corporation (the “</w:t>
      </w:r>
      <w:r>
        <w:rPr>
          <w:rFonts w:ascii="Times New Roman" w:hAnsi="Times New Roman"/>
          <w:b/>
          <w:i/>
          <w:sz w:val="20"/>
        </w:rPr>
        <w:t>Company</w:t>
      </w:r>
      <w:r>
        <w:rPr>
          <w:rFonts w:ascii="Times New Roman" w:hAnsi="Times New Roman"/>
          <w:sz w:val="20"/>
        </w:rPr>
        <w:t>”), in connection with the offering of 9,079,000 shares of common stock of the Company, par value $0.0001 per share (the “</w:t>
      </w:r>
      <w:r>
        <w:rPr>
          <w:rFonts w:ascii="Times New Roman" w:hAnsi="Times New Roman"/>
          <w:b/>
          <w:i/>
          <w:sz w:val="20"/>
        </w:rPr>
        <w:t>Shares</w:t>
      </w:r>
      <w:r>
        <w:rPr>
          <w:rFonts w:ascii="Times New Roman" w:hAnsi="Times New Roman"/>
          <w:sz w:val="20"/>
        </w:rPr>
        <w:t>”) and pre-funded warrants to purchase 9,078,529 shares of Common Stock (the “</w:t>
      </w:r>
      <w:r>
        <w:rPr>
          <w:rFonts w:ascii="Times New Roman" w:hAnsi="Times New Roman"/>
          <w:b/>
          <w:i/>
          <w:sz w:val="20"/>
        </w:rPr>
        <w:t>Pre-Funded Warrants</w:t>
      </w:r>
      <w:r>
        <w:rPr>
          <w:rFonts w:ascii="Times New Roman" w:hAnsi="Times New Roman"/>
          <w:sz w:val="20"/>
        </w:rPr>
        <w:t>”). The offering of the Shares and Pre-Funded Warrants were made under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September 14, 2026 (Registration No. 333-298911) (the “</w:t>
      </w:r>
      <w:r>
        <w:rPr>
          <w:rFonts w:ascii="Times New Roman" w:hAnsi="Times New Roman"/>
          <w:b/>
          <w:i/>
          <w:sz w:val="20"/>
        </w:rPr>
        <w:t>Registration Statement</w:t>
      </w:r>
      <w:r>
        <w:rPr>
          <w:rFonts w:ascii="Times New Roman" w:hAnsi="Times New Roman"/>
          <w:sz w:val="20"/>
        </w:rPr>
        <w:t>”), and are being offered pursuant to a base prospectus dated September 14, 2026 (the “</w:t>
      </w:r>
      <w:r>
        <w:rPr>
          <w:rFonts w:ascii="Times New Roman" w:hAnsi="Times New Roman"/>
          <w:b/>
          <w:i/>
          <w:sz w:val="20"/>
        </w:rPr>
        <w:t>Base Prospectus</w:t>
      </w:r>
      <w:r>
        <w:rPr>
          <w:rFonts w:ascii="Times New Roman" w:hAnsi="Times New Roman"/>
          <w:sz w:val="20"/>
        </w:rPr>
        <w:t>”), and a prospectus supplement dated September 14,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xml:space="preserve">”), and pursuant to an underwriting agreement dated September 14, 2026 by and among the Company and Jefferies LLC, Guggenheim Securities, LLC, Cantor Fitzgerald &amp; Co. and Barclays Capital Inc., as representatives of the several underwriters listed on </w:t>
      </w:r>
      <w:r>
        <w:rPr>
          <w:rFonts w:ascii="Times New Roman" w:hAnsi="Times New Roman"/>
          <w:sz w:val="20"/>
          <w:u w:val="single"/>
        </w:rPr>
        <w:t>Schedule A</w:t>
      </w:r>
      <w:r>
        <w:rPr>
          <w:rFonts w:ascii="Times New Roman" w:hAnsi="Times New Roman"/>
          <w:sz w:val="20"/>
        </w:rPr>
        <w:t xml:space="preserve"> thereto (the “</w:t>
      </w:r>
      <w:r>
        <w:rPr>
          <w:rFonts w:ascii="Times New Roman" w:hAnsi="Times New Roman"/>
          <w:b/>
          <w:i/>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Pre-Funded Warrants and the Warrant Shares (as defined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issue and sale of the Shares will have been duly authorized by all necessary corporate action of the Company, and the Shares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Pre-Funded Warrants have been duly issued by the Company against payment therefor in the circumstances contemplated by Underwriting Agreement, the issue and sale of the Pre-Funded Warrants will have been duly authorized by all necessary corporate action of the Company, and the Pre-Funded Warrants will be legally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5"/>
        <w:gridCol w:w="8883"/>
      </w:tblGrid>
      <w:tr>
        <w:trPr/>
        <w:tc>
          <w:tcPr>
            <w:tcW w:w="917"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3.</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When the shares of Common Stock initially issuable upon exercise of the Pre-Funded Warrants (the “</w:t>
            </w:r>
            <w:r>
              <w:rPr>
                <w:rFonts w:ascii="Times New Roman" w:hAnsi="Times New Roman"/>
                <w:b/>
                <w:i/>
                <w:sz w:val="20"/>
              </w:rPr>
              <w:t>Warrant Shares</w:t>
            </w:r>
            <w:r>
              <w:rPr>
                <w:rFonts w:ascii="Times New Roman" w:hAnsi="Times New Roman"/>
                <w:sz w:val="20"/>
              </w:rPr>
              <w:t xml:space="preserve">”) shall have been duly registered on the books of the transfer agent and registrar therefor in the name or on behalf of the Pre-Funded Warrant holders, and have been issued by the Company against payment therefor (not less than par value) in the circumstances contemplated by the Pre-Funded Warrants, the issue of the Warrant Shares will have been duly authorized by all necessary corporate action of the Company and the Warrant Shares will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opinions, we have assumed that (i) the Company will comply with all applicable notice requirements regarding uncertificated shares provided in the DGCL and (ii) upon the issue of any of the Warrant Shares, the total number of shares of Common Stock issued and outstanding will not exceed the total number of shares of Common Stock that the Company is then authorized to issue under its Amended and Restated Certificate of Incorporation and by the board of directors of the Company in connection with the offering contemplated by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With your consent, we have assumed that the status of the Pre-Funded Warrants as legally valid and binding obligations of the Company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any provision requiring the payment of attorneys’ fees, where such payment is contrary to law or public policy; (d) other applicable exceptions; and (e)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September 14,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98"/>
        <w:gridCol w:w="310"/>
        <w:gridCol w:w="1874"/>
      </w:tblGrid>
      <w:tr>
        <w:trPr/>
        <w:tc>
          <w:tcPr>
            <w:tcW w:w="1898"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right"/>
        <w:rPr>
          <w:rFonts w:ascii="Times New Roman" w:hAnsi="Times New Roman"/>
          <w:b/>
          <w:sz w:val="20"/>
        </w:rPr>
      </w:pPr>
      <w:bookmarkStart w:id="8" w:name="d102025dex991.htm"/>
      <w:bookmarkStart w:id="9" w:name="ksd102025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3716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Tyra Announces Pricing of $400 Million Underwritten Offering of Common Stock and Pre-Funded Warrants </w:t>
      </w:r>
    </w:p>
    <w:p>
      <w:pPr>
        <w:pStyle w:val="TextBody"/>
        <w:bidi w:val="0"/>
        <w:spacing w:before="240" w:after="0"/>
        <w:jc w:val="left"/>
        <w:rPr>
          <w:rFonts w:ascii="Times New Roman" w:hAnsi="Times New Roman"/>
          <w:sz w:val="20"/>
        </w:rPr>
      </w:pPr>
      <w:r>
        <w:rPr>
          <w:rFonts w:ascii="Times New Roman" w:hAnsi="Times New Roman"/>
          <w:b/>
          <w:sz w:val="20"/>
        </w:rPr>
        <w:t>CARLSBAD, Calif.,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Tyra Biosciences, Inc. (Nasdaq: TYRA), a clinical-stage biotechnology company focused on developing next-generation precision medicines that target large opportunities in Fibroblast Growth Factor Receptor (FGFR) biology, today announced the pricing of an underwritten offering of 9,079,000 shares of its common stock at a price of $22.03 per share and, in lieu of shares of common stock to certain investors, pre-funded warrants to purchase 9,078,529 shares of common stock at a purchase price of $22.029 per share, which equals the offering price per share of the common stock less the $0.001 exercise price per share of each pre-funded warrant. All of the shares of common stock and pre-funded warrants in the offering are being sold by Tyra. The gross proceeds to Tyra from the offering, before deducting the underwriting discounts and commissions and other offering expenses, are expected to be approximately $400.0 million. The offering is expected to close on September 15,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TYRA intends to use the net proceeds from this offering, together with its existing cash, cash equivalents and marketable securities, to advance its “dabogratinib 3x3” development strategy in low-grade upper tract urothelial carcinoma (LG-UTUC), intermediate-risk non-muscle invasive bladder cancer (IR NMIBC) and achondroplasia (ACH), as well as to support its preclinical and drug discovery programs,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led by RA Capital Management, with participation by new and existing institutional investors, including Invus, Commodore Capital, BVF Partners, Janus Henderson Investors, Trails Edge Capital Partners, Integral Health Asset Management, TCGX, StemPoint Capital LP and multiple large investment management firms. </w:t>
      </w:r>
    </w:p>
    <w:p>
      <w:pPr>
        <w:pStyle w:val="TextBody"/>
        <w:bidi w:val="0"/>
        <w:spacing w:before="240" w:after="0"/>
        <w:jc w:val="left"/>
        <w:rPr>
          <w:rFonts w:ascii="Times New Roman" w:hAnsi="Times New Roman"/>
          <w:sz w:val="20"/>
        </w:rPr>
      </w:pPr>
      <w:r>
        <w:rPr>
          <w:rFonts w:ascii="Times New Roman" w:hAnsi="Times New Roman"/>
          <w:sz w:val="20"/>
        </w:rPr>
        <w:t xml:space="preserve">Jefferies, Guggenheim Securities, Cantor, Barclays and William Blair are acting as joint book-running managers for the offering. Wedbush PacGrow, Raymond James and Oppenheimer &amp; Co. are acting as lead managers.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pre-funded warrants described above are being offered by Tyra pursuant to a shelf registration statement on Form S-3, including a base prospectus, filed with the Securities and Exchange Commission (SEC) and that became automatically effective on September 14, 2026. A prospectus supplement and accompanying prospectus relating to this offering will be filed with the SEC. When available, copies of the prospectus supplement and the accompanying prospectus relating to this offering may be obtained from: Jefferies LLC, Attention: Equity Syndicate Prospectus Department, 520 Madison Avenue, New York, NY 10022, or by telephone at (877) 821-7388, or by e-mail at Prospectus_Department@Jefferies.com; Guggenheim Securities, LLC, Attention: Equity Syndicate Department, 330 Madison Avenue, 8th Floor, New York, NY 10017, by telephone at (212) 518-9544, or by email at GSEquityProspectusDelivery@guggenheimpartners.com; Cantor Fitzgerald &amp; Co., Attention: Capital Markets, 110 East 59th Street, New York, NY 10022, or by email at prospectus@cantor.com; or Barclays Capital Inc. c/o Broadridge Financial Solutions 1155 Long Island Avenue, Edgewood, NY 11717, by telephone at 1-888-603-5847 or by email at barclaysprospectus@broadridge.com. Electronic copies of the prospectus supplement and accompanying prospectus will also be available on the website of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Tyra </w:t>
      </w:r>
    </w:p>
    <w:p>
      <w:pPr>
        <w:pStyle w:val="TextBody"/>
        <w:bidi w:val="0"/>
        <w:spacing w:before="120" w:after="0"/>
        <w:jc w:val="left"/>
        <w:rPr>
          <w:rFonts w:ascii="Times New Roman" w:hAnsi="Times New Roman"/>
          <w:sz w:val="20"/>
        </w:rPr>
      </w:pPr>
      <w:r>
        <w:rPr>
          <w:rFonts w:ascii="Times New Roman" w:hAnsi="Times New Roman"/>
          <w:sz w:val="20"/>
        </w:rPr>
        <w:t xml:space="preserve">Tyra Biosciences, Inc. (Nasdaq: TYRA) is a clinical-stage biotechnology company focused on developing next-generation precision medicines that target large opportunities in FGFR biology. TYRA’s in-house precision medicine platform, SNÅP, enables rapid and precise drug design through iterative molecular SNÅPshots that help TYRA design and predict which candidates may demonstrate the highest potency, selectivity and tolerability in the clinic. TYRA’s expertise in FGFR biology has created a differentiated pipeline with clinical-stage programs in targeted oncology and genetically defined conditions. TYRA’s lead precision candidate stemming from SNÅP, oral dabogratinib, is a potential first-in-class selective FGFR3 inhibitor in development for LG UTUC, IR NMIBC and ACH. TYRA is also developing TYRA-430, an oral, investigational FGFR4/3-biased inhibitor for FGF19+/FGFR4- driven cancers, in the SURF431 study for advanced hepatocellular carcinoma, and TYRA-200, an oral, investigational FGFR1/2/3 inhibitor, in the SURF201 study for metastatic intrahepatic cholangiocarcinoma. TYRA is based in Carlsbad, California.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Tyra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expected closing of the offering, the anticipated gross proceeds from the offering and the anticipated use of proceeds therefrom. Actual results may differ from those set forth in this press release due to the risks and uncertainties associated with market conditions and the satisfaction of customary closing conditions related to the offering, as well as risks and uncertainties inherent in our business described in our prior filings with the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Amy Conrad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aconrad@tyra.bio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32772</Words>
  <Characters>174630</Characters>
  <CharactersWithSpaces>207660</CharactersWithSpaces>
  <Paragraphs>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