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9930ds3asr.htm"/>
        <w:bookmarkStart w:id="1" w:name="ksd49930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14,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TYRA BIOSCIENCES,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2656 State Street</w:t>
            </w:r>
          </w:p>
          <w:p>
            <w:pPr>
              <w:pStyle w:val="TableContents"/>
              <w:bidi w:val="0"/>
              <w:spacing w:before="0" w:after="0"/>
              <w:jc w:val="center"/>
              <w:rPr>
                <w:rFonts w:ascii="Times New Roman" w:hAnsi="Times New Roman"/>
                <w:b/>
                <w:sz w:val="16"/>
              </w:rPr>
            </w:pPr>
            <w:r>
              <w:rPr>
                <w:rFonts w:ascii="Times New Roman" w:hAnsi="Times New Roman"/>
                <w:b/>
                <w:sz w:val="16"/>
              </w:rPr>
              <w:t>Carlsbad, California 92008</w:t>
            </w:r>
          </w:p>
          <w:p>
            <w:pPr>
              <w:pStyle w:val="TableContents"/>
              <w:bidi w:val="0"/>
              <w:spacing w:before="0" w:after="20"/>
              <w:jc w:val="center"/>
              <w:rPr>
                <w:rFonts w:ascii="Times New Roman" w:hAnsi="Times New Roman"/>
                <w:b/>
                <w:sz w:val="16"/>
              </w:rPr>
            </w:pPr>
            <w:r>
              <w:rPr>
                <w:rFonts w:ascii="Times New Roman" w:hAnsi="Times New Roman"/>
                <w:b/>
                <w:sz w:val="16"/>
              </w:rPr>
              <w:t>(619) 728-4760</w:t>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83-1476348</w:t>
            </w:r>
          </w:p>
        </w:tc>
      </w:tr>
      <w:tr>
        <w:trPr/>
        <w:tc>
          <w:tcPr>
            <w:tcW w:w="3470"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(Address of Principal Executive</w:t>
            </w:r>
          </w:p>
          <w:p>
            <w:pPr>
              <w:pStyle w:val="TableContents"/>
              <w:bidi w:val="0"/>
              <w:spacing w:before="0" w:after="20"/>
              <w:jc w:val="center"/>
              <w:rPr>
                <w:rFonts w:ascii="Times New Roman" w:hAnsi="Times New Roman"/>
                <w:b/>
                <w:sz w:val="16"/>
              </w:rPr>
            </w:pPr>
            <w:r>
              <w:rPr>
                <w:rFonts w:ascii="Times New Roman" w:hAnsi="Times New Roman"/>
                <w:b/>
                <w:sz w:val="16"/>
              </w:rPr>
              <w:t>Offices including Zip Code)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Todd Harris, Ph.D.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Tyra Biosciences, Inc. </w:t>
      </w:r>
    </w:p>
    <w:p>
      <w:pPr>
        <w:pStyle w:val="TextBody"/>
        <w:bidi w:val="0"/>
        <w:spacing w:before="0" w:after="0"/>
        <w:jc w:val="center"/>
        <w:rPr>
          <w:rFonts w:ascii="Times New Roman" w:hAnsi="Times New Roman"/>
          <w:b/>
          <w:sz w:val="16"/>
        </w:rPr>
      </w:pPr>
      <w:r>
        <w:rPr>
          <w:rFonts w:ascii="Times New Roman" w:hAnsi="Times New Roman"/>
          <w:b/>
          <w:sz w:val="16"/>
        </w:rPr>
        <w:t xml:space="preserve">2656 State Street </w:t>
      </w:r>
    </w:p>
    <w:p>
      <w:pPr>
        <w:pStyle w:val="TextBody"/>
        <w:bidi w:val="0"/>
        <w:spacing w:before="0" w:after="0"/>
        <w:jc w:val="center"/>
        <w:rPr>
          <w:rFonts w:ascii="Times New Roman" w:hAnsi="Times New Roman"/>
          <w:b/>
          <w:sz w:val="16"/>
        </w:rPr>
      </w:pPr>
      <w:r>
        <w:rPr>
          <w:rFonts w:ascii="Times New Roman" w:hAnsi="Times New Roman"/>
          <w:b/>
          <w:sz w:val="16"/>
        </w:rPr>
        <w:t xml:space="preserve">Carlsbad, California 92008 </w:t>
      </w:r>
    </w:p>
    <w:p>
      <w:pPr>
        <w:pStyle w:val="TextBody"/>
        <w:bidi w:val="0"/>
        <w:spacing w:before="0" w:after="0"/>
        <w:jc w:val="center"/>
        <w:rPr>
          <w:rFonts w:ascii="Times New Roman" w:hAnsi="Times New Roman"/>
          <w:b/>
          <w:sz w:val="16"/>
        </w:rPr>
      </w:pPr>
      <w:r>
        <w:rPr>
          <w:rFonts w:ascii="Times New Roman" w:hAnsi="Times New Roman"/>
          <w:b/>
          <w:sz w:val="16"/>
        </w:rPr>
        <w:t xml:space="preserve">(619) 728-4760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Matthew T. Bush</w:t>
            </w:r>
          </w:p>
          <w:p>
            <w:pPr>
              <w:pStyle w:val="TableContents"/>
              <w:bidi w:val="0"/>
              <w:spacing w:before="0" w:after="0"/>
              <w:jc w:val="center"/>
              <w:rPr>
                <w:rFonts w:ascii="Times New Roman" w:hAnsi="Times New Roman"/>
                <w:b/>
                <w:sz w:val="16"/>
              </w:rPr>
            </w:pPr>
            <w:r>
              <w:rPr>
                <w:rFonts w:ascii="Times New Roman" w:hAnsi="Times New Roman"/>
                <w:b/>
                <w:sz w:val="16"/>
              </w:rPr>
              <w:t>Cheston J. Larson</w:t>
            </w:r>
          </w:p>
          <w:p>
            <w:pPr>
              <w:pStyle w:val="TableContents"/>
              <w:bidi w:val="0"/>
              <w:spacing w:before="0" w:after="0"/>
              <w:jc w:val="center"/>
              <w:rPr>
                <w:rFonts w:ascii="Times New Roman" w:hAnsi="Times New Roman"/>
                <w:b/>
                <w:sz w:val="16"/>
              </w:rPr>
            </w:pPr>
            <w:r>
              <w:rPr>
                <w:rFonts w:ascii="Times New Roman" w:hAnsi="Times New Roman"/>
                <w:b/>
                <w:sz w:val="16"/>
              </w:rPr>
              <w:t>Latham &amp; Watkins LLP</w:t>
            </w:r>
          </w:p>
          <w:p>
            <w:pPr>
              <w:pStyle w:val="TableContents"/>
              <w:bidi w:val="0"/>
              <w:spacing w:before="0" w:after="0"/>
              <w:jc w:val="center"/>
              <w:rPr>
                <w:rFonts w:ascii="Times New Roman" w:hAnsi="Times New Roman"/>
                <w:b/>
                <w:sz w:val="16"/>
              </w:rPr>
            </w:pPr>
            <w:r>
              <w:rPr>
                <w:rFonts w:ascii="Times New Roman" w:hAnsi="Times New Roman"/>
                <w:b/>
                <w:sz w:val="16"/>
              </w:rPr>
              <w:t>12670 High Bluff Drive</w:t>
            </w:r>
          </w:p>
          <w:p>
            <w:pPr>
              <w:pStyle w:val="TableContents"/>
              <w:bidi w:val="0"/>
              <w:spacing w:before="0" w:after="0"/>
              <w:jc w:val="center"/>
              <w:rPr>
                <w:rFonts w:ascii="Times New Roman" w:hAnsi="Times New Roman"/>
                <w:b/>
                <w:sz w:val="16"/>
              </w:rPr>
            </w:pPr>
            <w:r>
              <w:rPr>
                <w:rFonts w:ascii="Times New Roman" w:hAnsi="Times New Roman"/>
                <w:b/>
                <w:sz w:val="16"/>
              </w:rPr>
              <w:t>San Diego, CA 92130</w:t>
            </w:r>
          </w:p>
          <w:p>
            <w:pPr>
              <w:pStyle w:val="TableContents"/>
              <w:bidi w:val="0"/>
              <w:spacing w:before="0" w:after="20"/>
              <w:jc w:val="center"/>
              <w:rPr>
                <w:rFonts w:ascii="Times New Roman" w:hAnsi="Times New Roman"/>
                <w:b/>
                <w:sz w:val="16"/>
              </w:rPr>
            </w:pPr>
            <w:r>
              <w:rPr>
                <w:rFonts w:ascii="Times New Roman" w:hAnsi="Times New Roman"/>
                <w:b/>
                <w:sz w:val="16"/>
              </w:rPr>
              <w:t>(858) 523-5400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Ali Fawaz</w:t>
            </w:r>
          </w:p>
          <w:p>
            <w:pPr>
              <w:pStyle w:val="TableContents"/>
              <w:bidi w:val="0"/>
              <w:spacing w:before="0" w:after="0"/>
              <w:jc w:val="center"/>
              <w:rPr>
                <w:rFonts w:ascii="Times New Roman" w:hAnsi="Times New Roman"/>
                <w:b/>
                <w:sz w:val="16"/>
              </w:rPr>
            </w:pPr>
            <w:r>
              <w:rPr>
                <w:rFonts w:ascii="Times New Roman" w:hAnsi="Times New Roman"/>
                <w:b/>
                <w:sz w:val="16"/>
              </w:rPr>
              <w:t>General Counsel</w:t>
            </w:r>
          </w:p>
          <w:p>
            <w:pPr>
              <w:pStyle w:val="TableContents"/>
              <w:bidi w:val="0"/>
              <w:spacing w:before="0" w:after="0"/>
              <w:jc w:val="center"/>
              <w:rPr>
                <w:rFonts w:ascii="Times New Roman" w:hAnsi="Times New Roman"/>
                <w:b/>
                <w:sz w:val="16"/>
              </w:rPr>
            </w:pPr>
            <w:r>
              <w:rPr>
                <w:rFonts w:ascii="Times New Roman" w:hAnsi="Times New Roman"/>
                <w:b/>
                <w:sz w:val="16"/>
              </w:rPr>
              <w:t>Tyra Biosciences, Inc.</w:t>
            </w:r>
          </w:p>
          <w:p>
            <w:pPr>
              <w:pStyle w:val="TableContents"/>
              <w:bidi w:val="0"/>
              <w:spacing w:before="0" w:after="0"/>
              <w:jc w:val="center"/>
              <w:rPr>
                <w:rFonts w:ascii="Times New Roman" w:hAnsi="Times New Roman"/>
                <w:b/>
                <w:sz w:val="16"/>
              </w:rPr>
            </w:pPr>
            <w:r>
              <w:rPr>
                <w:rFonts w:ascii="Times New Roman" w:hAnsi="Times New Roman"/>
                <w:b/>
                <w:sz w:val="16"/>
              </w:rPr>
              <w:t>2656 State Street</w:t>
            </w:r>
          </w:p>
          <w:p>
            <w:pPr>
              <w:pStyle w:val="TableContents"/>
              <w:bidi w:val="0"/>
              <w:spacing w:before="0" w:after="0"/>
              <w:jc w:val="center"/>
              <w:rPr>
                <w:rFonts w:ascii="Times New Roman" w:hAnsi="Times New Roman"/>
                <w:b/>
                <w:sz w:val="16"/>
              </w:rPr>
            </w:pPr>
            <w:r>
              <w:rPr>
                <w:rFonts w:ascii="Times New Roman" w:hAnsi="Times New Roman"/>
                <w:b/>
                <w:sz w:val="16"/>
              </w:rPr>
              <w:t>Carlsbad, California 92008</w:t>
            </w:r>
          </w:p>
          <w:p>
            <w:pPr>
              <w:pStyle w:val="TableContents"/>
              <w:bidi w:val="0"/>
              <w:spacing w:before="0" w:after="20"/>
              <w:jc w:val="center"/>
              <w:rPr>
                <w:rFonts w:ascii="Times New Roman" w:hAnsi="Times New Roman"/>
                <w:b/>
                <w:sz w:val="16"/>
              </w:rPr>
            </w:pPr>
            <w:r>
              <w:rPr>
                <w:rFonts w:ascii="Times New Roman" w:hAnsi="Times New Roman"/>
                <w:b/>
                <w:sz w:val="16"/>
              </w:rPr>
              <w:t>(619) 728-4760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14170" cy="4851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4170" cy="4851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SECURITIES INVOLVES RISKS. SEE THE “</w:t>
      </w:r>
      <w:hyperlink w:anchor="tx49930_4">
        <w:r>
          <w:rPr>
            <w:rStyle w:val="InternetLink"/>
            <w:rFonts w:ascii="Times New Roman" w:hAnsi="Times New Roman"/>
            <w:b/>
            <w:sz w:val="20"/>
          </w:rPr>
          <w:t>RISK FACTORS</w:t>
        </w:r>
      </w:hyperlink>
      <w:r>
        <w:rPr>
          <w:rFonts w:ascii="Times New Roman" w:hAnsi="Times New Roman"/>
          <w:b/>
          <w:sz w:val="20"/>
        </w:rPr>
        <w:t xml:space="preserve">” ON PAGE 5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“TYRA.” On September 11, 2026, the last reported sale price of our common stock on the Nasdaq Global Select Market was $22.03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4993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9">
              <w:r>
                <w:rPr>
                  <w:rStyle w:val="InternetLink"/>
                  <w:rFonts w:ascii="Times New Roman" w:hAnsi="Times New Roman"/>
                  <w:sz w:val="20"/>
                </w:rPr>
                <w:t>DESCRIPTION OF OTHER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0">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1">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2">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49930_13">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993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supplements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“Tyra,” “we,” “our,” “us” and the “Company” in this prospectus, we mean Tyra Biosciences, Inc.,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49930_2"/>
      <w:bookmarkEnd w:id="4"/>
      <w:r>
        <w:rPr>
          <w:rFonts w:ascii="Times New Roman" w:hAnsi="Times New Roman"/>
          <w:b/>
          <w:sz w:val="20"/>
        </w:rPr>
        <w:t xml:space="preserve">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www.tyra.bio. The information on, or accessible through,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13, 2026</w:t>
              </w:r>
            </w:hyperlink>
            <w:r>
              <w:rPr>
                <w:rFonts w:ascii="Times New Roman" w:hAnsi="Times New Roman"/>
                <w:sz w:val="20"/>
              </w:rPr>
              <w:t xml:space="preserve"> and </w:t>
            </w:r>
            <w:hyperlink r:id="rId6">
              <w:r>
                <w:rPr>
                  <w:rStyle w:val="InternetLink"/>
                  <w:rFonts w:ascii="Times New Roman" w:hAnsi="Times New Roman"/>
                  <w:sz w:val="20"/>
                </w:rPr>
                <w:t>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March 4, 2026</w:t>
              </w:r>
            </w:hyperlink>
            <w:r>
              <w:rPr>
                <w:rFonts w:ascii="Times New Roman" w:hAnsi="Times New Roman"/>
                <w:sz w:val="20"/>
              </w:rPr>
              <w:t xml:space="preserve">, </w:t>
            </w:r>
            <w:hyperlink r:id="rId8">
              <w:r>
                <w:rPr>
                  <w:rStyle w:val="InternetLink"/>
                  <w:rFonts w:ascii="Times New Roman" w:hAnsi="Times New Roman"/>
                  <w:sz w:val="20"/>
                </w:rPr>
                <w:t>April  2, 2026</w:t>
              </w:r>
            </w:hyperlink>
            <w:r>
              <w:rPr>
                <w:rFonts w:ascii="Times New Roman" w:hAnsi="Times New Roman"/>
                <w:sz w:val="20"/>
              </w:rPr>
              <w:t xml:space="preserve">, </w:t>
            </w:r>
            <w:hyperlink r:id="rId9">
              <w:r>
                <w:rPr>
                  <w:rStyle w:val="InternetLink"/>
                  <w:rFonts w:ascii="Times New Roman" w:hAnsi="Times New Roman"/>
                  <w:sz w:val="20"/>
                </w:rPr>
                <w:t>April  17, 2026</w:t>
              </w:r>
            </w:hyperlink>
            <w:r>
              <w:rPr>
                <w:rFonts w:ascii="Times New Roman" w:hAnsi="Times New Roman"/>
                <w:sz w:val="20"/>
              </w:rPr>
              <w:t xml:space="preserve">, </w:t>
            </w:r>
            <w:hyperlink r:id="rId10">
              <w:r>
                <w:rPr>
                  <w:rStyle w:val="InternetLink"/>
                  <w:rFonts w:ascii="Times New Roman" w:hAnsi="Times New Roman"/>
                  <w:sz w:val="20"/>
                </w:rPr>
                <w:t>June  2, 2026</w:t>
              </w:r>
            </w:hyperlink>
            <w:r>
              <w:rPr>
                <w:rFonts w:ascii="Times New Roman" w:hAnsi="Times New Roman"/>
                <w:sz w:val="20"/>
              </w:rPr>
              <w:t xml:space="preserve"> and </w:t>
            </w:r>
            <w:hyperlink r:id="rId11">
              <w:r>
                <w:rPr>
                  <w:rStyle w:val="InternetLink"/>
                  <w:rFonts w:ascii="Times New Roman" w:hAnsi="Times New Roman"/>
                  <w:sz w:val="20"/>
                </w:rPr>
                <w:t>September 9, 2026</w:t>
              </w:r>
            </w:hyperlink>
            <w:r>
              <w:rPr>
                <w:rFonts w:ascii="Times New Roman" w:hAnsi="Times New Roman"/>
                <w:sz w:val="20"/>
              </w:rPr>
              <w:t xml:space="preserve">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September 10, 2021, as updated by </w:t>
            </w:r>
            <w:hyperlink r:id="rId13">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2021,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Tyra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2656 State Street </w:t>
      </w:r>
    </w:p>
    <w:p>
      <w:pPr>
        <w:pStyle w:val="TextBody"/>
        <w:bidi w:val="0"/>
        <w:spacing w:before="0" w:after="0"/>
        <w:jc w:val="center"/>
        <w:rPr>
          <w:rFonts w:ascii="Times New Roman" w:hAnsi="Times New Roman"/>
          <w:sz w:val="20"/>
        </w:rPr>
      </w:pPr>
      <w:r>
        <w:rPr>
          <w:rFonts w:ascii="Times New Roman" w:hAnsi="Times New Roman"/>
          <w:sz w:val="20"/>
        </w:rPr>
        <w:t xml:space="preserve">Carlsbad, California 92008 </w:t>
      </w:r>
    </w:p>
    <w:p>
      <w:pPr>
        <w:pStyle w:val="TextBody"/>
        <w:bidi w:val="0"/>
        <w:spacing w:before="0" w:after="0"/>
        <w:jc w:val="center"/>
        <w:rPr>
          <w:rFonts w:ascii="Times New Roman" w:hAnsi="Times New Roman"/>
          <w:sz w:val="20"/>
        </w:rPr>
      </w:pPr>
      <w:r>
        <w:rPr>
          <w:rFonts w:ascii="Times New Roman" w:hAnsi="Times New Roman"/>
          <w:sz w:val="20"/>
        </w:rPr>
        <w:t xml:space="preserve">(619) 728-4760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49930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us design and predict which candidates may demonstrate the highest potency, selectivity and tolerability in the clinic. Our expertise in FGFR biology has created a differentiated pipeline with clinical-stage programs in targeted oncology and genetically defined conditions. Our lead precision candidate stemming from SNÅP, oral dabogratinib, is a potential first-in-class selective FGFR3 inhibitor in development for low-grade upper tract urothelial carcinoma, low-grade intermediate-risk non-muscle invasive bladder cancer and achondroplasia. We are also developing TYRA-430, an oral, investigational FGFR4/3-biased inhibitor for FGF19+/FGFR4-driven cancers, in the SURF431 study for advanced hepatocellular carcinoma, and TYRA-200, an oral, investigational FGFR1/2/3 inhibitor, in the SURF201 study for metastatic intrahepatic cholangiocarcinoma.</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on August 2, 2018. Our principal executive offices are located at 2656 State Street, Carlsbad, California 92008, and our telephone number is (619) 728-4760.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4993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49930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Section 27A of the Securities Act, and Section 21E of the Exchange Act. All statements other than statements of historical facts contained in this prospectus and the documents incorporated by reference herein,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“would,” “could,” “should,” “expect,” “plan,” “anticipate,” “could,” “intend,” “target,” “project,” “contemplates,” “believes,” “estimates,” “predicts,” “potential” or “continue” or the negative of these terms or other similar expressions. The forward-looking statements in this prospectus and the documents incorporated by reference herein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known and unknown risks, uncertainties and assumptions, which we discuss in greater detail in the documents incorporated by reference herein, including under the heading “Risk Factors” and elsewhere in this prospectus. The events and circumstances reflected in our forward-looking statements may not be achieved or occur and actual results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any forward-looking statement. Except as required by applicable law, we do not plan to publicly update or revise any forward-looking statements contained in this prospectus or the documents incorporated by reference herein,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4993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49930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capital stock. Because it is only a summary, it does not contain all the information that may be important to you and is subject to and qualified in its entirety by reference to our amended and restated certificate of incorporation and amended and restated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our authorized capital stock consisted of 500,000,000 shares of common stock, $0.0001 par value per share, and 50,000,000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the heading “Anti-Takeover Effects of Delaware Law and Our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have no preemptive or conversion rights or other subscription rights and there are no redemption or sinking funds provisions applicable to the common stock. The outstanding shares of common stock are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Suite 101,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have no outstanding shares of preferred stock. Under the terms of our amended and restated certificate of incorporation, our board of directors has the authority, without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our stockholders, to issue up to 50,000,000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(the DGCL) and our amended and restated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50,000,000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a special meeting of stockholders may be called only by or at the direction of our board of directors, our chairperson of the board of directors, chief executive officer or president.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with one class being elected each year by our stockholders.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DGCL or our amended and restated certificate of incorporation or amended and restated bylaws; or (iv) any action asserting a claim governed by the internal affairs doctrine. This exclusive forum provision would not apply to actions arising under federal securities laws, including suits brought to enforce any liability or duty created by the Securities Act, the Exchange Act, the rules and regulations thereunder,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thereunder. Furthermore, Section 22 of the Securities Act creates concurrent jurisdiction for federal and state courts over all suits brought to enforce any duty or liability created by the Securities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49930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“Tyra,” “we,” “our” or “us” refer to Tyra Biosciences, Inc.,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Tyra)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Tyra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Tyra;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49930_9"/>
      <w:bookmarkEnd w:id="11"/>
      <w:r>
        <w:rPr>
          <w:rFonts w:ascii="Times New Roman" w:hAnsi="Times New Roman"/>
          <w:b/>
          <w:sz w:val="20"/>
        </w:rPr>
        <w:t xml:space="preserve">DESCRIPTION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warrants or units issued by us that may be offered and sold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49930_10"/>
      <w:bookmarkEnd w:id="12"/>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49930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49930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San Diego, California, will pass upon certain legal matters relating to the issuance and sale of the securities offered hereby on behalf of Tyra Biosciences, Inc. Latham &amp; Watkins LLP and certain attorneys in the firm who have rendered, and will continue to render, legal services to us, own shares of our common stock representing in the aggregate less than one percent of the shares of our common stock outstanding. Additional legal matters may be passed upon for us or any underwriters, dealers or agents, by counsel that we will name in the applicable prospectus supplement. </w:t>
      </w:r>
    </w:p>
    <w:p>
      <w:pPr>
        <w:pStyle w:val="TextBody"/>
        <w:bidi w:val="0"/>
        <w:spacing w:before="240" w:after="0"/>
        <w:jc w:val="center"/>
        <w:rPr>
          <w:rFonts w:ascii="Times New Roman" w:hAnsi="Times New Roman"/>
          <w:b/>
          <w:sz w:val="20"/>
        </w:rPr>
      </w:pPr>
      <w:bookmarkStart w:id="15" w:name="tx49930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14.</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52"/>
        <w:gridCol w:w="450"/>
        <w:gridCol w:w="1137"/>
      </w:tblGrid>
      <w:tr>
        <w:trPr/>
        <w:tc>
          <w:tcPr>
            <w:tcW w:w="5352"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53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$   (1)</w:t>
            </w:r>
          </w:p>
        </w:tc>
      </w:tr>
      <w:tr>
        <w:trPr/>
        <w:tc>
          <w:tcPr>
            <w:tcW w:w="53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left"/>
              <w:rPr/>
            </w:pPr>
            <w:r>
              <w:rPr/>
              <w:t>$   (2)</w:t>
            </w:r>
          </w:p>
        </w:tc>
      </w:tr>
      <w:tr>
        <w:trPr/>
        <w:tc>
          <w:tcPr>
            <w:tcW w:w="53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$   (2)</w:t>
            </w:r>
          </w:p>
        </w:tc>
      </w:tr>
      <w:tr>
        <w:trPr/>
        <w:tc>
          <w:tcPr>
            <w:tcW w:w="53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left"/>
              <w:rPr/>
            </w:pPr>
            <w:r>
              <w:rPr/>
              <w:t>$   (2)</w:t>
            </w:r>
          </w:p>
        </w:tc>
      </w:tr>
      <w:tr>
        <w:trPr/>
        <w:tc>
          <w:tcPr>
            <w:tcW w:w="53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Transfer agent and trustee fees and expenses</w:t>
            </w:r>
          </w:p>
        </w:tc>
        <w:tc>
          <w:tcPr>
            <w:tcW w:w="4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$   (2)</w:t>
            </w:r>
          </w:p>
        </w:tc>
      </w:tr>
      <w:tr>
        <w:trPr/>
        <w:tc>
          <w:tcPr>
            <w:tcW w:w="53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5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left"/>
              <w:rPr/>
            </w:pPr>
            <w:r>
              <w:rPr/>
              <w:t>$   (2)</w:t>
            </w:r>
          </w:p>
        </w:tc>
      </w:tr>
      <w:tr>
        <w:trPr/>
        <w:tc>
          <w:tcPr>
            <w:tcW w:w="53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the Registrant is deferring payment of all applicable registration fees for the securities offered by this registration statement.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102 of the General Corporation Law of the State of Delaware permits a corporation to eliminate the personal liability of directors and officers of a corporation to the corporation or its stockholders for monetary damages for a breach of fiduciary duty as a director or officer, except where the director or officer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or officer of the Registrant shall be personally liable to it or its stockholders for monetary damages for any breach of fiduciary duty as a director or officer, notwithstanding any provision of law imposing such liability, except to the extent that the General Corporation Law of the State of Delaware prohibits the elimination or limitation of liability of directors or officers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amended and restated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or distribution agreement that we enter into with any underwriters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 of 1933,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
        <w:gridCol w:w="599"/>
        <w:gridCol w:w="8708"/>
      </w:tblGrid>
      <w:tr>
        <w:trPr/>
        <w:tc>
          <w:tcPr>
            <w:tcW w:w="898"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708" w:type="dxa"/>
            <w:tcBorders/>
            <w:vAlign w:val="center"/>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b/>
              </w:rPr>
            </w:pPr>
            <w:r>
              <w:rPr>
                <w:b/>
              </w:rPr>
              <w:t>Exhibit</w:t>
              <w:br/>
              <w:t>Number</w:t>
            </w:r>
          </w:p>
        </w:tc>
        <w:tc>
          <w:tcPr>
            <w:tcW w:w="599" w:type="dxa"/>
            <w:tcBorders/>
            <w:vAlign w:val="bottom"/>
          </w:tcPr>
          <w:p>
            <w:pPr>
              <w:pStyle w:val="TableContents"/>
              <w:bidi w:val="0"/>
              <w:spacing w:before="0" w:after="283"/>
              <w:jc w:val="left"/>
              <w:rPr/>
            </w:pPr>
            <w:r>
              <w:rPr/>
              <w:t>  </w:t>
            </w:r>
          </w:p>
        </w:tc>
        <w:tc>
          <w:tcPr>
            <w:tcW w:w="8708" w:type="dxa"/>
            <w:tcBorders/>
            <w:vAlign w:val="bottom"/>
          </w:tcPr>
          <w:p>
            <w:pPr>
              <w:pStyle w:val="TableContents"/>
              <w:bidi w:val="0"/>
              <w:spacing w:before="0" w:after="283"/>
              <w:jc w:val="center"/>
              <w:rPr>
                <w:b/>
              </w:rPr>
            </w:pPr>
            <w:r>
              <w:rPr>
                <w:b/>
              </w:rPr>
              <w:t>Description</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1.1*</w:t>
            </w:r>
          </w:p>
        </w:tc>
        <w:tc>
          <w:tcPr>
            <w:tcW w:w="599" w:type="dxa"/>
            <w:tcBorders/>
            <w:vAlign w:val="bottom"/>
          </w:tcPr>
          <w:p>
            <w:pPr>
              <w:pStyle w:val="TableContents"/>
              <w:bidi w:val="0"/>
              <w:spacing w:before="0" w:after="283"/>
              <w:jc w:val="left"/>
              <w:rPr/>
            </w:pPr>
            <w:r>
              <w:rPr/>
              <w:t>  </w:t>
            </w:r>
          </w:p>
        </w:tc>
        <w:tc>
          <w:tcPr>
            <w:tcW w:w="8708" w:type="dxa"/>
            <w:tcBorders/>
          </w:tcPr>
          <w:p>
            <w:pPr>
              <w:pStyle w:val="TableContents"/>
              <w:bidi w:val="0"/>
              <w:spacing w:before="0" w:after="283"/>
              <w:jc w:val="left"/>
              <w:rPr/>
            </w:pPr>
            <w:r>
              <w:rPr/>
              <w:t>Form of Underwriting Agreement.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3.1</w:t>
            </w:r>
          </w:p>
        </w:tc>
        <w:tc>
          <w:tcPr>
            <w:tcW w:w="599" w:type="dxa"/>
            <w:tcBorders/>
            <w:vAlign w:val="bottom"/>
          </w:tcPr>
          <w:p>
            <w:pPr>
              <w:pStyle w:val="TableContents"/>
              <w:bidi w:val="0"/>
              <w:spacing w:before="0" w:after="283"/>
              <w:jc w:val="left"/>
              <w:rPr/>
            </w:pPr>
            <w:r>
              <w:rPr/>
              <w:t>  </w:t>
            </w:r>
          </w:p>
        </w:tc>
        <w:tc>
          <w:tcPr>
            <w:tcW w:w="8708" w:type="dxa"/>
            <w:tcBorders/>
          </w:tcPr>
          <w:p>
            <w:pPr>
              <w:pStyle w:val="TableContents"/>
              <w:bidi w:val="0"/>
              <w:spacing w:before="0" w:after="283"/>
              <w:jc w:val="left"/>
              <w:rPr/>
            </w:pPr>
            <w:hyperlink r:id="rId14">
              <w:r>
                <w:rPr>
                  <w:rStyle w:val="InternetLink"/>
                </w:rPr>
                <w:t>Amended and Restated Certificate of Incorporation (incorporated by reference to the Registrant’s Annual Report on Form 10-K, filed with the SEC on March 22, 2023).</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3.2</w:t>
            </w:r>
          </w:p>
        </w:tc>
        <w:tc>
          <w:tcPr>
            <w:tcW w:w="599" w:type="dxa"/>
            <w:tcBorders/>
            <w:vAlign w:val="bottom"/>
          </w:tcPr>
          <w:p>
            <w:pPr>
              <w:pStyle w:val="TableContents"/>
              <w:bidi w:val="0"/>
              <w:spacing w:before="0" w:after="283"/>
              <w:jc w:val="left"/>
              <w:rPr/>
            </w:pPr>
            <w:r>
              <w:rPr/>
              <w:t>  </w:t>
            </w:r>
          </w:p>
        </w:tc>
        <w:tc>
          <w:tcPr>
            <w:tcW w:w="8708" w:type="dxa"/>
            <w:tcBorders/>
          </w:tcPr>
          <w:p>
            <w:pPr>
              <w:pStyle w:val="TableContents"/>
              <w:bidi w:val="0"/>
              <w:spacing w:before="0" w:after="283"/>
              <w:jc w:val="left"/>
              <w:rPr/>
            </w:pPr>
            <w:hyperlink r:id="rId15">
              <w:r>
                <w:rPr>
                  <w:rStyle w:val="InternetLink"/>
                </w:rPr>
                <w:t xml:space="preserve">Certificate of Amendment of Amended and Restated Certificate of Incorporation, dated May  29, 2024 (incorporated by reference to the Registrant’s Current Report on Form 8-K, filed with the SEC on May 31,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6"/>
        <w:gridCol w:w="580"/>
        <w:gridCol w:w="8729"/>
      </w:tblGrid>
      <w:tr>
        <w:trPr/>
        <w:tc>
          <w:tcPr>
            <w:tcW w:w="896"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r>
      <w:tr>
        <w:trPr/>
        <w:tc>
          <w:tcPr>
            <w:tcW w:w="896" w:type="dxa"/>
            <w:tcBorders/>
            <w:vAlign w:val="bottom"/>
          </w:tcPr>
          <w:p>
            <w:pPr>
              <w:pStyle w:val="TableContents"/>
              <w:bidi w:val="0"/>
              <w:spacing w:before="0" w:after="283"/>
              <w:jc w:val="left"/>
              <w:rPr>
                <w:b/>
              </w:rPr>
            </w:pPr>
            <w:r>
              <w:rPr>
                <w:b/>
              </w:rPr>
              <w:t>Exhibit</w:t>
              <w:br/>
              <w:t>Number</w:t>
            </w:r>
          </w:p>
        </w:tc>
        <w:tc>
          <w:tcPr>
            <w:tcW w:w="580" w:type="dxa"/>
            <w:tcBorders/>
            <w:vAlign w:val="bottom"/>
          </w:tcPr>
          <w:p>
            <w:pPr>
              <w:pStyle w:val="TableContents"/>
              <w:bidi w:val="0"/>
              <w:spacing w:before="0" w:after="283"/>
              <w:jc w:val="left"/>
              <w:rPr/>
            </w:pPr>
            <w:r>
              <w:rPr/>
              <w:t>  </w:t>
            </w:r>
          </w:p>
        </w:tc>
        <w:tc>
          <w:tcPr>
            <w:tcW w:w="8729" w:type="dxa"/>
            <w:tcBorders/>
            <w:vAlign w:val="bottom"/>
          </w:tcPr>
          <w:p>
            <w:pPr>
              <w:pStyle w:val="TableContents"/>
              <w:bidi w:val="0"/>
              <w:spacing w:before="0" w:after="283"/>
              <w:jc w:val="center"/>
              <w:rPr>
                <w:b/>
              </w:rPr>
            </w:pPr>
            <w:r>
              <w:rPr>
                <w:b/>
              </w:rPr>
              <w:t>Description</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3.3</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r:id="rId16">
              <w:r>
                <w:rPr>
                  <w:rStyle w:val="InternetLink"/>
                </w:rPr>
                <w:t>Amended and Restated Bylaws, effective as of October  26, 2023 (incorporated by reference to the Registrant’s Current Report on Form 8-K, filed with the SEC on October 26, 2023).</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4.1</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r:id="rId17">
              <w:r>
                <w:rPr>
                  <w:rStyle w:val="InternetLink"/>
                </w:rPr>
                <w:t>Specimen stock certificate evidencing the shares of common stock (incorporated by reference to the Registrant’s Registration Statement on Form S-1, filed with the SEC on August 20, 2021).</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4.2</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r:id="rId18">
              <w:r>
                <w:rPr>
                  <w:rStyle w:val="InternetLink"/>
                </w:rPr>
                <w:t xml:space="preserve">Form of Pre-Funded Warrant (incorporated by reference to the Registrant’s Current Report on Form 8-K, filed with the SEC on February 5, 2024).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4.3</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r:id="rId19">
              <w:r>
                <w:rPr>
                  <w:rStyle w:val="InternetLink"/>
                </w:rPr>
                <w:t xml:space="preserve">Form of Exchange Warrant (incorporated by reference to the Registrant’s Current Report on Form 8-K, filed with the SEC on October 18, 2024).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4.4*</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r>
              <w:rPr/>
              <w:t>Form of Preferred Stock Certificate.</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4.5</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w:anchor="d49930dex45.htm">
              <w:r>
                <w:rPr>
                  <w:rStyle w:val="InternetLink"/>
                </w:rPr>
                <w:t xml:space="preserve">Form of Indenture.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4.6*</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r>
              <w:rPr/>
              <w:t>Form of Debt Security.</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4.7*</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r>
              <w:rPr/>
              <w:t>Form of Warrant.</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4.8*</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r>
              <w:rPr/>
              <w:t>Form of Warrant Agreement.</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4.9*</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r>
              <w:rPr/>
              <w:t>Form of Unit Agreement.</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5.1</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w:anchor="d49930dex51.htm">
              <w:r>
                <w:rPr>
                  <w:rStyle w:val="InternetLink"/>
                </w:rPr>
                <w:t xml:space="preserve">Opinion of Latham &amp; Watkins LLP.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23.1</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w:anchor="d49930dex231.htm">
              <w:r>
                <w:rPr>
                  <w:rStyle w:val="InternetLink"/>
                </w:rPr>
                <w:t xml:space="preserve">Consent of Independent Registered Public Accounting Firm.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23.2</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w:anchor="d49930dex51.htm">
              <w:r>
                <w:rPr>
                  <w:rStyle w:val="InternetLink"/>
                </w:rPr>
                <w:t xml:space="preserve">Consent of Latham &amp; Watkins LLP (included in Exhibit 5.1).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24.1</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w:anchor="sig">
              <w:r>
                <w:rPr>
                  <w:rStyle w:val="InternetLink"/>
                </w:rPr>
                <w:t xml:space="preserve">Power of Attorney (included on the signature page hereto).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25.1*</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r>
              <w:rPr/>
              <w:t>Statement of Eligibility of Trustee on Form T-1 under the Trust Indenture Act of 1939, as amended.</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107</w:t>
            </w:r>
          </w:p>
        </w:tc>
        <w:tc>
          <w:tcPr>
            <w:tcW w:w="580" w:type="dxa"/>
            <w:tcBorders/>
            <w:vAlign w:val="bottom"/>
          </w:tcPr>
          <w:p>
            <w:pPr>
              <w:pStyle w:val="TableContents"/>
              <w:bidi w:val="0"/>
              <w:spacing w:before="0" w:after="283"/>
              <w:jc w:val="left"/>
              <w:rPr/>
            </w:pPr>
            <w:r>
              <w:rPr/>
              <w:t>  </w:t>
            </w:r>
          </w:p>
        </w:tc>
        <w:tc>
          <w:tcPr>
            <w:tcW w:w="8729" w:type="dxa"/>
            <w:tcBorders/>
          </w:tcPr>
          <w:p>
            <w:pPr>
              <w:pStyle w:val="TableContents"/>
              <w:bidi w:val="0"/>
              <w:spacing w:before="0" w:after="283"/>
              <w:jc w:val="left"/>
              <w:rPr/>
            </w:pPr>
            <w:hyperlink w:anchor="d4993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to be filed by amendment or by a report filed under the Exchange Act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(6) That, for the purpose of determining liability of the registrant under the Securities Act of 1933 to any purchaser in the initial distribution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20" w:after="0"/>
        <w:jc w:val="left"/>
        <w:rPr>
          <w:rFonts w:ascii="Times New Roman" w:hAnsi="Times New Roman"/>
          <w:sz w:val="20"/>
        </w:rPr>
      </w:pPr>
      <w:r>
        <w:rPr>
          <w:rFonts w:ascii="Times New Roman" w:hAnsi="Times New Roman"/>
          <w:sz w:val="20"/>
        </w:rPr>
        <w:t xml:space="preserve">(j) 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Carlsbad, State of California, on the 14th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TYRA BIOSCIENCES,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Harris, Ph.D.</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Todd Harris, Ph.D.</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President, Chief Executive Officer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constitutes and appoints, jointly and severally, Todd Harris, Ph.D. and Alan Fuhrman, and each one of them, his or her true and lawful attorneys-in-fact and agents, each with full power of substitution and resubstitution, for him or her and in his or her name, place and stead, in any and all capacities, to file and sign any and all amendments (including post-effective amendments) to this registration statement, and to file and sign any other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each of said attorneys-in-fact and agents or any of them, or his or their substitute or substitutes, may lawfully do or cause to be done by virtue hereof. This power of attorney shall be governed by and construed with the laws of the State of Delaware and applicable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on behalf of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71"/>
        <w:gridCol w:w="120"/>
        <w:gridCol w:w="3497"/>
        <w:gridCol w:w="192"/>
        <w:gridCol w:w="2025"/>
      </w:tblGrid>
      <w:tr>
        <w:trPr/>
        <w:tc>
          <w:tcPr>
            <w:tcW w:w="4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4371"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497" w:type="dxa"/>
            <w:tcBorders/>
            <w:vAlign w:val="bottom"/>
          </w:tcPr>
          <w:p>
            <w:pPr>
              <w:pStyle w:val="TableContents"/>
              <w:bidi w:val="0"/>
              <w:spacing w:before="0" w:after="283"/>
              <w:jc w:val="center"/>
              <w:rPr>
                <w:b/>
              </w:rPr>
            </w:pPr>
            <w:r>
              <w:rPr>
                <w:b/>
              </w:rPr>
              <w:t>TITLE</w:t>
            </w:r>
          </w:p>
        </w:tc>
        <w:tc>
          <w:tcPr>
            <w:tcW w:w="192"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center"/>
              <w:rPr>
                <w:b/>
              </w:rPr>
            </w:pPr>
            <w:r>
              <w:rPr>
                <w:b/>
              </w:rPr>
              <w:t>DATE</w:t>
            </w:r>
          </w:p>
        </w:tc>
      </w:tr>
      <w:tr>
        <w:trPr>
          <w:trHeight w:val="240" w:hRule="atLeast"/>
        </w:trPr>
        <w:tc>
          <w:tcPr>
            <w:tcW w:w="4371"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3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Todd Harris, Ph.D.</w:t>
            </w:r>
          </w:p>
          <w:p>
            <w:pPr>
              <w:pStyle w:val="TableContents"/>
              <w:bidi w:val="0"/>
              <w:spacing w:before="0" w:after="20"/>
              <w:jc w:val="left"/>
              <w:rPr>
                <w:rFonts w:ascii="Times New Roman" w:hAnsi="Times New Roman"/>
                <w:sz w:val="20"/>
              </w:rPr>
            </w:pPr>
            <w:r>
              <w:rPr>
                <w:rFonts w:ascii="Times New Roman" w:hAnsi="Times New Roman"/>
                <w:sz w:val="20"/>
              </w:rPr>
              <w:t>Todd Harris, Ph.D.</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pPr>
            <w:r>
              <w:rPr/>
              <w:t>President, Chief Executive Officer and Director (principal executive officer)</w:t>
            </w:r>
          </w:p>
        </w:tc>
        <w:tc>
          <w:tcPr>
            <w:tcW w:w="192"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September 14, 2026</w:t>
            </w:r>
          </w:p>
        </w:tc>
      </w:tr>
      <w:tr>
        <w:trPr>
          <w:trHeight w:val="240" w:hRule="atLeast"/>
        </w:trPr>
        <w:tc>
          <w:tcPr>
            <w:tcW w:w="4371"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3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Fuhrman</w:t>
            </w:r>
          </w:p>
          <w:p>
            <w:pPr>
              <w:pStyle w:val="TableContents"/>
              <w:bidi w:val="0"/>
              <w:spacing w:before="0" w:after="20"/>
              <w:jc w:val="left"/>
              <w:rPr>
                <w:rFonts w:ascii="Times New Roman" w:hAnsi="Times New Roman"/>
                <w:sz w:val="20"/>
              </w:rPr>
            </w:pPr>
            <w:r>
              <w:rPr>
                <w:rFonts w:ascii="Times New Roman" w:hAnsi="Times New Roman"/>
                <w:sz w:val="20"/>
              </w:rPr>
              <w:t>Alan Fuhrman</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pPr>
            <w:r>
              <w:rPr/>
              <w:t>Chief Financial Officer (principal financial officer)</w:t>
            </w:r>
          </w:p>
        </w:tc>
        <w:tc>
          <w:tcPr>
            <w:tcW w:w="192"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September 14, 2026</w:t>
            </w:r>
          </w:p>
        </w:tc>
      </w:tr>
      <w:tr>
        <w:trPr>
          <w:trHeight w:val="240" w:hRule="atLeast"/>
        </w:trPr>
        <w:tc>
          <w:tcPr>
            <w:tcW w:w="4371"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3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Julia Rueb</w:t>
            </w:r>
          </w:p>
          <w:p>
            <w:pPr>
              <w:pStyle w:val="TableContents"/>
              <w:bidi w:val="0"/>
              <w:spacing w:before="0" w:after="20"/>
              <w:jc w:val="left"/>
              <w:rPr>
                <w:rFonts w:ascii="Times New Roman" w:hAnsi="Times New Roman"/>
                <w:sz w:val="20"/>
              </w:rPr>
            </w:pPr>
            <w:r>
              <w:rPr>
                <w:rFonts w:ascii="Times New Roman" w:hAnsi="Times New Roman"/>
                <w:sz w:val="20"/>
              </w:rPr>
              <w:t>Julia Rueb</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pPr>
            <w:r>
              <w:rPr/>
              <w:t>Vice President, Finance (principal accounting officer)</w:t>
            </w:r>
          </w:p>
        </w:tc>
        <w:tc>
          <w:tcPr>
            <w:tcW w:w="192"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September 14, 2026</w:t>
            </w:r>
          </w:p>
        </w:tc>
      </w:tr>
      <w:tr>
        <w:trPr>
          <w:trHeight w:val="240" w:hRule="atLeast"/>
        </w:trPr>
        <w:tc>
          <w:tcPr>
            <w:tcW w:w="4371"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3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More</w:t>
            </w:r>
          </w:p>
          <w:p>
            <w:pPr>
              <w:pStyle w:val="TableContents"/>
              <w:bidi w:val="0"/>
              <w:spacing w:before="0" w:after="20"/>
              <w:jc w:val="left"/>
              <w:rPr>
                <w:rFonts w:ascii="Times New Roman" w:hAnsi="Times New Roman"/>
                <w:sz w:val="20"/>
              </w:rPr>
            </w:pPr>
            <w:r>
              <w:rPr>
                <w:rFonts w:ascii="Times New Roman" w:hAnsi="Times New Roman"/>
                <w:sz w:val="20"/>
              </w:rPr>
              <w:t>Robert More</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pPr>
            <w:r>
              <w:rPr/>
              <w:t>Chairman</w:t>
            </w:r>
          </w:p>
        </w:tc>
        <w:tc>
          <w:tcPr>
            <w:tcW w:w="192"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September 14, 2026</w:t>
            </w:r>
          </w:p>
        </w:tc>
      </w:tr>
      <w:tr>
        <w:trPr>
          <w:trHeight w:val="240" w:hRule="atLeast"/>
        </w:trPr>
        <w:tc>
          <w:tcPr>
            <w:tcW w:w="4371" w:type="dxa"/>
            <w:tcBorders/>
            <w:vAlign w:val="center"/>
          </w:tcPr>
          <w:p>
            <w:pPr>
              <w:pStyle w:val="TableContents"/>
              <w:bidi w:val="0"/>
              <w:spacing w:before="0" w:after="283"/>
              <w:jc w:val="left"/>
              <w:rPr>
                <w:sz w:val="4"/>
                <w:szCs w:val="4"/>
              </w:rPr>
            </w:pPr>
            <w:r>
              <w:rPr>
                <w:sz w:val="4"/>
                <w:szCs w:val="4"/>
              </w:rPr>
            </w:r>
          </w:p>
        </w:tc>
        <w:tc>
          <w:tcPr>
            <w:tcW w:w="3617"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3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Habib J. Dable</w:t>
            </w:r>
          </w:p>
          <w:p>
            <w:pPr>
              <w:pStyle w:val="TableContents"/>
              <w:bidi w:val="0"/>
              <w:spacing w:before="0" w:after="20"/>
              <w:jc w:val="left"/>
              <w:rPr>
                <w:rFonts w:ascii="Times New Roman" w:hAnsi="Times New Roman"/>
                <w:sz w:val="20"/>
              </w:rPr>
            </w:pPr>
            <w:r>
              <w:rPr>
                <w:rFonts w:ascii="Times New Roman" w:hAnsi="Times New Roman"/>
                <w:sz w:val="20"/>
              </w:rPr>
              <w:t>Habib J. Dable</w:t>
            </w:r>
          </w:p>
        </w:tc>
        <w:tc>
          <w:tcPr>
            <w:tcW w:w="120" w:type="dxa"/>
            <w:tcBorders/>
            <w:vAlign w:val="bottom"/>
          </w:tcPr>
          <w:p>
            <w:pPr>
              <w:pStyle w:val="TableContents"/>
              <w:bidi w:val="0"/>
              <w:spacing w:before="0" w:after="283"/>
              <w:jc w:val="left"/>
              <w:rPr/>
            </w:pPr>
            <w:r>
              <w:rPr/>
              <w:t>  </w:t>
            </w:r>
          </w:p>
        </w:tc>
        <w:tc>
          <w:tcPr>
            <w:tcW w:w="3497" w:type="dxa"/>
            <w:tcBorders/>
          </w:tcPr>
          <w:p>
            <w:pPr>
              <w:pStyle w:val="TableContents"/>
              <w:bidi w:val="0"/>
              <w:spacing w:before="0" w:after="283"/>
              <w:jc w:val="left"/>
              <w:rPr/>
            </w:pPr>
            <w:r>
              <w:rPr/>
              <w:t>Director</w:t>
            </w:r>
          </w:p>
        </w:tc>
        <w:tc>
          <w:tcPr>
            <w:tcW w:w="192"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September 14,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66"/>
        <w:gridCol w:w="120"/>
        <w:gridCol w:w="3387"/>
        <w:gridCol w:w="196"/>
        <w:gridCol w:w="2036"/>
      </w:tblGrid>
      <w:tr>
        <w:trPr/>
        <w:tc>
          <w:tcPr>
            <w:tcW w:w="44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center"/>
              <w:rPr>
                <w:b/>
              </w:rPr>
            </w:pPr>
            <w:r>
              <w:rPr>
                <w:b/>
              </w:rPr>
              <w:t>TITLE</w:t>
            </w:r>
          </w:p>
        </w:tc>
        <w:tc>
          <w:tcPr>
            <w:tcW w:w="196" w:type="dxa"/>
            <w:tcBorders/>
            <w:vAlign w:val="bottom"/>
          </w:tcPr>
          <w:p>
            <w:pPr>
              <w:pStyle w:val="TableContents"/>
              <w:bidi w:val="0"/>
              <w:spacing w:before="0" w:after="283"/>
              <w:jc w:val="left"/>
              <w:rPr/>
            </w:pPr>
            <w:r>
              <w:rPr/>
              <w:t> </w:t>
            </w:r>
          </w:p>
        </w:tc>
        <w:tc>
          <w:tcPr>
            <w:tcW w:w="2036" w:type="dxa"/>
            <w:tcBorders/>
            <w:vAlign w:val="bottom"/>
          </w:tcPr>
          <w:p>
            <w:pPr>
              <w:pStyle w:val="TableContents"/>
              <w:bidi w:val="0"/>
              <w:spacing w:before="0" w:after="283"/>
              <w:jc w:val="center"/>
              <w:rPr>
                <w:b/>
              </w:rPr>
            </w:pPr>
            <w:r>
              <w:rPr>
                <w:b/>
              </w:rPr>
              <w:t>DATE</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Adele M. Gulfo</w:t>
            </w:r>
          </w:p>
          <w:p>
            <w:pPr>
              <w:pStyle w:val="TableContents"/>
              <w:bidi w:val="0"/>
              <w:spacing w:before="0" w:after="20"/>
              <w:jc w:val="left"/>
              <w:rPr>
                <w:rFonts w:ascii="Times New Roman" w:hAnsi="Times New Roman"/>
                <w:sz w:val="20"/>
              </w:rPr>
            </w:pPr>
            <w:r>
              <w:rPr>
                <w:rFonts w:ascii="Times New Roman" w:hAnsi="Times New Roman"/>
                <w:sz w:val="20"/>
              </w:rPr>
              <w:t>Adele M. Gulfo</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center"/>
              <w:rPr/>
            </w:pPr>
            <w:r>
              <w:rPr/>
              <w:t>September 14,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Melissa McCracken, Ph.D.</w:t>
            </w:r>
          </w:p>
          <w:p>
            <w:pPr>
              <w:pStyle w:val="TableContents"/>
              <w:bidi w:val="0"/>
              <w:spacing w:before="0" w:after="20"/>
              <w:jc w:val="left"/>
              <w:rPr>
                <w:rFonts w:ascii="Times New Roman" w:hAnsi="Times New Roman"/>
                <w:sz w:val="20"/>
              </w:rPr>
            </w:pPr>
            <w:r>
              <w:rPr>
                <w:rFonts w:ascii="Times New Roman" w:hAnsi="Times New Roman"/>
                <w:sz w:val="20"/>
              </w:rPr>
              <w:t>Melissa McCracken, Ph.D.</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center"/>
              <w:rPr/>
            </w:pPr>
            <w:r>
              <w:rPr/>
              <w:t>September 14,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Susan Moran, M.D., M.S.C.E.</w:t>
            </w:r>
          </w:p>
          <w:p>
            <w:pPr>
              <w:pStyle w:val="TableContents"/>
              <w:bidi w:val="0"/>
              <w:spacing w:before="0" w:after="20"/>
              <w:jc w:val="left"/>
              <w:rPr>
                <w:rFonts w:ascii="Times New Roman" w:hAnsi="Times New Roman"/>
                <w:sz w:val="20"/>
              </w:rPr>
            </w:pPr>
            <w:r>
              <w:rPr>
                <w:rFonts w:ascii="Times New Roman" w:hAnsi="Times New Roman"/>
                <w:sz w:val="20"/>
              </w:rPr>
              <w:t>Susan Moran, M.D., M.S.C.E.</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center"/>
              <w:rPr/>
            </w:pPr>
            <w:r>
              <w:rPr/>
              <w:t>September 14,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 Michael Rothenberg, M.D., Ph.D.</w:t>
            </w:r>
          </w:p>
          <w:p>
            <w:pPr>
              <w:pStyle w:val="TableContents"/>
              <w:bidi w:val="0"/>
              <w:spacing w:before="0" w:after="20"/>
              <w:jc w:val="left"/>
              <w:rPr>
                <w:rFonts w:ascii="Times New Roman" w:hAnsi="Times New Roman"/>
                <w:sz w:val="20"/>
              </w:rPr>
            </w:pPr>
            <w:r>
              <w:rPr>
                <w:rFonts w:ascii="Times New Roman" w:hAnsi="Times New Roman"/>
                <w:sz w:val="20"/>
              </w:rPr>
              <w:t>S. Michael Rothenberg, M.D., Ph.D.</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center"/>
              <w:rPr/>
            </w:pPr>
            <w:r>
              <w:rPr/>
              <w:t>September 14,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Jake Simson</w:t>
            </w:r>
          </w:p>
          <w:p>
            <w:pPr>
              <w:pStyle w:val="TableContents"/>
              <w:bidi w:val="0"/>
              <w:spacing w:before="0" w:after="20"/>
              <w:jc w:val="left"/>
              <w:rPr>
                <w:rFonts w:ascii="Times New Roman" w:hAnsi="Times New Roman"/>
                <w:sz w:val="20"/>
              </w:rPr>
            </w:pPr>
            <w:r>
              <w:rPr>
                <w:rFonts w:ascii="Times New Roman" w:hAnsi="Times New Roman"/>
                <w:sz w:val="20"/>
              </w:rPr>
              <w:t>Jake Simson</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center"/>
              <w:rPr/>
            </w:pPr>
            <w:r>
              <w:rPr/>
              <w:t>September 14,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Rehan Verjee</w:t>
            </w:r>
          </w:p>
          <w:p>
            <w:pPr>
              <w:pStyle w:val="TableContents"/>
              <w:bidi w:val="0"/>
              <w:spacing w:before="0" w:after="20"/>
              <w:jc w:val="left"/>
              <w:rPr>
                <w:rFonts w:ascii="Times New Roman" w:hAnsi="Times New Roman"/>
                <w:sz w:val="20"/>
              </w:rPr>
            </w:pPr>
            <w:r>
              <w:rPr>
                <w:rFonts w:ascii="Times New Roman" w:hAnsi="Times New Roman"/>
                <w:sz w:val="20"/>
              </w:rPr>
              <w:t>Rehan Verjee</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center"/>
              <w:rPr/>
            </w:pPr>
            <w:r>
              <w:rPr/>
              <w:t>September 14,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7" w:name="d49930dex45.htm"/>
      <w:bookmarkStart w:id="18" w:name="ksd49930dex45"/>
      <w:bookmarkEnd w:id="17"/>
      <w:bookmarkEnd w:id="18"/>
      <w:r>
        <w:rPr>
          <w:rFonts w:ascii="Times New Roman" w:hAnsi="Times New Roman"/>
          <w:b/>
          <w:sz w:val="20"/>
        </w:rPr>
        <w:t xml:space="preserve">Exhibit 4.5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TYRA BIOSCIENCES,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1"/>
        <w:gridCol w:w="98"/>
        <w:gridCol w:w="8094"/>
        <w:gridCol w:w="148"/>
        <w:gridCol w:w="65"/>
        <w:gridCol w:w="286"/>
        <w:gridCol w:w="63"/>
      </w:tblGrid>
      <w:tr>
        <w:trPr/>
        <w:tc>
          <w:tcPr>
            <w:tcW w:w="1451"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809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gridSpan w:val="3"/>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51"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gridSpan w:val="3"/>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Definitions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Other Definitions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Incorporation by Reference of Trust Indenture Act</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Rules of Construction</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gridSpan w:val="3"/>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Issuable in Series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Establishment of Terms of Series of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Execution and Authentication</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Registrar, Paying Agent and Notice Agent</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Paying Agent to Hold Money in Trust</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Holder Lists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Transfer and Exchange</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Mutilated, Destroyed, Lost and Stolen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Outstanding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Treasury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Temporary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Cancellation</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Defaulted Interest</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Global Securities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CUSIP Numbers</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gridSpan w:val="3"/>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REDEMPTION</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451" w:type="dxa"/>
            <w:tcBorders/>
            <w:vAlign w:val="center"/>
          </w:tcPr>
          <w:p>
            <w:pPr>
              <w:pStyle w:val="TableContents"/>
              <w:bidi w:val="0"/>
              <w:spacing w:before="0" w:after="283"/>
              <w:jc w:val="left"/>
              <w:rPr>
                <w:sz w:val="4"/>
                <w:szCs w:val="4"/>
              </w:rPr>
            </w:pPr>
            <w:r>
              <w:rPr>
                <w:sz w:val="4"/>
                <w:szCs w:val="4"/>
              </w:rPr>
            </w:r>
          </w:p>
        </w:tc>
        <w:tc>
          <w:tcPr>
            <w:tcW w:w="8192" w:type="dxa"/>
            <w:gridSpan w:val="2"/>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Notice to Trustee</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Selection of Securities to be Redeemed</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Notice of Redemption</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51"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8" w:type="dxa"/>
            <w:tcBorders/>
            <w:vAlign w:val="bottom"/>
          </w:tcPr>
          <w:p>
            <w:pPr>
              <w:pStyle w:val="TableContents"/>
              <w:bidi w:val="0"/>
              <w:spacing w:before="0" w:after="283"/>
              <w:jc w:val="left"/>
              <w:rPr/>
            </w:pPr>
            <w:r>
              <w:rPr/>
              <w:t> </w:t>
            </w:r>
          </w:p>
        </w:tc>
        <w:tc>
          <w:tcPr>
            <w:tcW w:w="8094" w:type="dxa"/>
            <w:tcBorders/>
            <w:vAlign w:val="bottom"/>
          </w:tcPr>
          <w:p>
            <w:pPr>
              <w:pStyle w:val="TableContents"/>
              <w:bidi w:val="0"/>
              <w:spacing w:before="0" w:after="283"/>
              <w:jc w:val="left"/>
              <w:rPr/>
            </w:pPr>
            <w:r>
              <w:rPr/>
              <w:t>Effect of Notice of Redemption</w:t>
            </w:r>
          </w:p>
        </w:tc>
        <w:tc>
          <w:tcPr>
            <w:tcW w:w="14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09"/>
        <w:gridCol w:w="111"/>
        <w:gridCol w:w="8010"/>
        <w:gridCol w:w="158"/>
        <w:gridCol w:w="65"/>
        <w:gridCol w:w="288"/>
        <w:gridCol w:w="64"/>
      </w:tblGrid>
      <w:tr>
        <w:trPr/>
        <w:tc>
          <w:tcPr>
            <w:tcW w:w="150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01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30" w:type="dxa"/>
            <w:gridSpan w:val="3"/>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53"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Page</w:t>
            </w:r>
          </w:p>
        </w:tc>
        <w:tc>
          <w:tcPr>
            <w:tcW w:w="64" w:type="dxa"/>
            <w:tcBorders/>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Deposit of Redemption Price</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Securities Redeemed in Part</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9630" w:type="dxa"/>
            <w:gridSpan w:val="3"/>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6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COVENANTS</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509" w:type="dxa"/>
            <w:tcBorders/>
            <w:vAlign w:val="center"/>
          </w:tcPr>
          <w:p>
            <w:pPr>
              <w:pStyle w:val="TableContents"/>
              <w:bidi w:val="0"/>
              <w:spacing w:before="0" w:after="283"/>
              <w:jc w:val="left"/>
              <w:rPr>
                <w:sz w:val="4"/>
                <w:szCs w:val="4"/>
              </w:rPr>
            </w:pPr>
            <w:r>
              <w:rPr>
                <w:sz w:val="4"/>
                <w:szCs w:val="4"/>
              </w:rPr>
            </w:r>
          </w:p>
        </w:tc>
        <w:tc>
          <w:tcPr>
            <w:tcW w:w="8121"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Payment of Principal and Interest</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SEC Reports</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Compliance Certificate</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Stay, Extension and Usury Laws</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630" w:type="dxa"/>
            <w:gridSpan w:val="3"/>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96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SUCCESSORS</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509" w:type="dxa"/>
            <w:tcBorders/>
            <w:vAlign w:val="center"/>
          </w:tcPr>
          <w:p>
            <w:pPr>
              <w:pStyle w:val="TableContents"/>
              <w:bidi w:val="0"/>
              <w:spacing w:before="0" w:after="283"/>
              <w:jc w:val="left"/>
              <w:rPr>
                <w:sz w:val="4"/>
                <w:szCs w:val="4"/>
              </w:rPr>
            </w:pPr>
            <w:r>
              <w:rPr>
                <w:sz w:val="4"/>
                <w:szCs w:val="4"/>
              </w:rPr>
            </w:r>
          </w:p>
        </w:tc>
        <w:tc>
          <w:tcPr>
            <w:tcW w:w="8121" w:type="dxa"/>
            <w:gridSpan w:val="2"/>
            <w:tcBorders/>
            <w:vAlign w:val="center"/>
          </w:tcPr>
          <w:p>
            <w:pPr>
              <w:pStyle w:val="TableContents"/>
              <w:bidi w:val="0"/>
              <w:spacing w:before="0" w:after="283"/>
              <w:jc w:val="left"/>
              <w:rPr>
                <w:sz w:val="4"/>
                <w:szCs w:val="4"/>
              </w:rPr>
            </w:pPr>
            <w:r>
              <w:rPr>
                <w:sz w:val="4"/>
                <w:szCs w:val="4"/>
              </w:rPr>
            </w:r>
          </w:p>
        </w:tc>
        <w:tc>
          <w:tcPr>
            <w:tcW w:w="575" w:type="dxa"/>
            <w:gridSpan w:val="4"/>
            <w:tcBorders/>
            <w:vAlign w:val="center"/>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When Company May Merge, Etc.</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11" w:type="dxa"/>
            <w:tcBorders/>
            <w:vAlign w:val="bottom"/>
          </w:tcPr>
          <w:p>
            <w:pPr>
              <w:pStyle w:val="TableContents"/>
              <w:bidi w:val="0"/>
              <w:spacing w:before="0" w:after="283"/>
              <w:jc w:val="left"/>
              <w:rPr/>
            </w:pPr>
            <w:r>
              <w:rPr/>
              <w:t> </w:t>
            </w:r>
          </w:p>
        </w:tc>
        <w:tc>
          <w:tcPr>
            <w:tcW w:w="8010" w:type="dxa"/>
            <w:tcBorders/>
            <w:vAlign w:val="bottom"/>
          </w:tcPr>
          <w:p>
            <w:pPr>
              <w:pStyle w:val="TableContents"/>
              <w:bidi w:val="0"/>
              <w:spacing w:before="0" w:after="283"/>
              <w:jc w:val="left"/>
              <w:rPr/>
            </w:pPr>
            <w:r>
              <w:rPr/>
              <w:t>Successor Corporation Substituted</w:t>
            </w:r>
          </w:p>
        </w:tc>
        <w:tc>
          <w:tcPr>
            <w:tcW w:w="15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22"/>
        <w:gridCol w:w="87"/>
        <w:gridCol w:w="8274"/>
        <w:gridCol w:w="139"/>
        <w:gridCol w:w="60"/>
        <w:gridCol w:w="260"/>
        <w:gridCol w:w="63"/>
      </w:tblGrid>
      <w:tr>
        <w:trPr/>
        <w:tc>
          <w:tcPr>
            <w:tcW w:w="1322"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827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DEFAULTS AND REMEDIES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322" w:type="dxa"/>
            <w:tcBorders/>
            <w:vAlign w:val="center"/>
          </w:tcPr>
          <w:p>
            <w:pPr>
              <w:pStyle w:val="TableContents"/>
              <w:bidi w:val="0"/>
              <w:spacing w:before="0" w:after="283"/>
              <w:jc w:val="left"/>
              <w:rPr>
                <w:sz w:val="4"/>
                <w:szCs w:val="4"/>
              </w:rPr>
            </w:pPr>
            <w:r>
              <w:rPr>
                <w:sz w:val="4"/>
                <w:szCs w:val="4"/>
              </w:rPr>
            </w:r>
          </w:p>
        </w:tc>
        <w:tc>
          <w:tcPr>
            <w:tcW w:w="836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Events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Acceleration of Maturity; Rescission and Annulment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Collection of Indebtedness and Suits for Enforcement by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Trustee May File Proofs of Claim</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Trustee May Enforce Claims Without Possession of Securities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Application of Money Collected</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Limitation on Suits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Unconditional Right of Holders to Receive Principal and Interest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Restoration of Rights and Remedies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Rights and Remedies Cumulative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Delay or Omission Not Waiver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Control by Holders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Waiver of Past Defaults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Undertaking for Costs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83" w:type="dxa"/>
            <w:gridSpan w:val="3"/>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322" w:type="dxa"/>
            <w:tcBorders/>
            <w:vAlign w:val="center"/>
          </w:tcPr>
          <w:p>
            <w:pPr>
              <w:pStyle w:val="TableContents"/>
              <w:bidi w:val="0"/>
              <w:spacing w:before="0" w:after="283"/>
              <w:jc w:val="left"/>
              <w:rPr>
                <w:sz w:val="4"/>
                <w:szCs w:val="4"/>
              </w:rPr>
            </w:pPr>
            <w:r>
              <w:rPr>
                <w:sz w:val="4"/>
                <w:szCs w:val="4"/>
              </w:rPr>
            </w:r>
          </w:p>
        </w:tc>
        <w:tc>
          <w:tcPr>
            <w:tcW w:w="836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Duties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Rights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Individual Rights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Trustee’s Disclaimer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Notice of Defaults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Reports by Trustee to Holders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Compensation and Indemnity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Replacement of Trustee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Successor Trustee by Merger,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Eligibility; Disqualification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Preferential Collection of Claims Against Company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83" w:type="dxa"/>
            <w:gridSpan w:val="3"/>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968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SATISFACTION AND DISCHARGE; DEFEASANCE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322" w:type="dxa"/>
            <w:tcBorders/>
            <w:vAlign w:val="center"/>
          </w:tcPr>
          <w:p>
            <w:pPr>
              <w:pStyle w:val="TableContents"/>
              <w:bidi w:val="0"/>
              <w:spacing w:before="0" w:after="283"/>
              <w:jc w:val="left"/>
              <w:rPr>
                <w:sz w:val="4"/>
                <w:szCs w:val="4"/>
              </w:rPr>
            </w:pPr>
            <w:r>
              <w:rPr>
                <w:sz w:val="4"/>
                <w:szCs w:val="4"/>
              </w:rPr>
            </w:r>
          </w:p>
        </w:tc>
        <w:tc>
          <w:tcPr>
            <w:tcW w:w="8361" w:type="dxa"/>
            <w:gridSpan w:val="2"/>
            <w:tcBorders/>
            <w:vAlign w:val="center"/>
          </w:tcPr>
          <w:p>
            <w:pPr>
              <w:pStyle w:val="TableContents"/>
              <w:bidi w:val="0"/>
              <w:spacing w:before="0" w:after="283"/>
              <w:jc w:val="left"/>
              <w:rPr>
                <w:sz w:val="4"/>
                <w:szCs w:val="4"/>
              </w:rPr>
            </w:pPr>
            <w:r>
              <w:rPr>
                <w:sz w:val="4"/>
                <w:szCs w:val="4"/>
              </w:rPr>
            </w:r>
          </w:p>
        </w:tc>
        <w:tc>
          <w:tcPr>
            <w:tcW w:w="522" w:type="dxa"/>
            <w:gridSpan w:val="4"/>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Satisfaction and Discharge of Indenture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87" w:type="dxa"/>
            <w:tcBorders/>
            <w:vAlign w:val="bottom"/>
          </w:tcPr>
          <w:p>
            <w:pPr>
              <w:pStyle w:val="TableContents"/>
              <w:bidi w:val="0"/>
              <w:spacing w:before="0" w:after="283"/>
              <w:jc w:val="left"/>
              <w:rPr/>
            </w:pPr>
            <w:r>
              <w:rPr/>
              <w:t> </w:t>
            </w:r>
          </w:p>
        </w:tc>
        <w:tc>
          <w:tcPr>
            <w:tcW w:w="8274" w:type="dxa"/>
            <w:tcBorders/>
            <w:vAlign w:val="bottom"/>
          </w:tcPr>
          <w:p>
            <w:pPr>
              <w:pStyle w:val="TableContents"/>
              <w:bidi w:val="0"/>
              <w:spacing w:before="0" w:after="283"/>
              <w:jc w:val="left"/>
              <w:rPr/>
            </w:pPr>
            <w:r>
              <w:rPr/>
              <w:t>Application of Trust Funds; Indemnification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94"/>
        <w:gridCol w:w="103"/>
        <w:gridCol w:w="8073"/>
        <w:gridCol w:w="150"/>
        <w:gridCol w:w="60"/>
        <w:gridCol w:w="261"/>
        <w:gridCol w:w="64"/>
      </w:tblGrid>
      <w:tr>
        <w:trPr/>
        <w:tc>
          <w:tcPr>
            <w:tcW w:w="149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073"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Legal Defeasance of Securities of any Series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Covenant Defeasance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Repayment to Company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Reinstatement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3"/>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AMENDMENTS AND WAIVERS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494" w:type="dxa"/>
            <w:tcBorders/>
            <w:vAlign w:val="center"/>
          </w:tcPr>
          <w:p>
            <w:pPr>
              <w:pStyle w:val="TableContents"/>
              <w:bidi w:val="0"/>
              <w:spacing w:before="0" w:after="283"/>
              <w:jc w:val="left"/>
              <w:rPr>
                <w:sz w:val="4"/>
                <w:szCs w:val="4"/>
              </w:rPr>
            </w:pPr>
            <w:r>
              <w:rPr>
                <w:sz w:val="4"/>
                <w:szCs w:val="4"/>
              </w:rPr>
            </w:r>
          </w:p>
        </w:tc>
        <w:tc>
          <w:tcPr>
            <w:tcW w:w="8176" w:type="dxa"/>
            <w:gridSpan w:val="2"/>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Without Consent of Holders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With Consent of Holders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Limitations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Compliance with Trust Indenture Act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Revocation and Effect of Consents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Notation on or Exchange of Securities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Trustee Protected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3"/>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494" w:type="dxa"/>
            <w:tcBorders/>
            <w:vAlign w:val="center"/>
          </w:tcPr>
          <w:p>
            <w:pPr>
              <w:pStyle w:val="TableContents"/>
              <w:bidi w:val="0"/>
              <w:spacing w:before="0" w:after="283"/>
              <w:jc w:val="left"/>
              <w:rPr>
                <w:sz w:val="4"/>
                <w:szCs w:val="4"/>
              </w:rPr>
            </w:pPr>
            <w:r>
              <w:rPr>
                <w:sz w:val="4"/>
                <w:szCs w:val="4"/>
              </w:rPr>
            </w:r>
          </w:p>
        </w:tc>
        <w:tc>
          <w:tcPr>
            <w:tcW w:w="8176" w:type="dxa"/>
            <w:gridSpan w:val="2"/>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Trust Indenture Act Controls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49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03" w:type="dxa"/>
            <w:tcBorders/>
            <w:vAlign w:val="bottom"/>
          </w:tcPr>
          <w:p>
            <w:pPr>
              <w:pStyle w:val="TableContents"/>
              <w:bidi w:val="0"/>
              <w:spacing w:before="0" w:after="283"/>
              <w:jc w:val="left"/>
              <w:rPr/>
            </w:pPr>
            <w:r>
              <w:rPr/>
              <w:t> </w:t>
            </w:r>
          </w:p>
        </w:tc>
        <w:tc>
          <w:tcPr>
            <w:tcW w:w="8073" w:type="dxa"/>
            <w:tcBorders/>
            <w:vAlign w:val="bottom"/>
          </w:tcPr>
          <w:p>
            <w:pPr>
              <w:pStyle w:val="TableContents"/>
              <w:bidi w:val="0"/>
              <w:spacing w:before="0" w:after="283"/>
              <w:jc w:val="left"/>
              <w:rPr/>
            </w:pPr>
            <w:r>
              <w:rPr/>
              <w:t>Notices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29"/>
        <w:gridCol w:w="88"/>
        <w:gridCol w:w="8165"/>
        <w:gridCol w:w="140"/>
        <w:gridCol w:w="60"/>
        <w:gridCol w:w="260"/>
        <w:gridCol w:w="63"/>
      </w:tblGrid>
      <w:tr>
        <w:trPr/>
        <w:tc>
          <w:tcPr>
            <w:tcW w:w="142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Communication by Holders with Other Holders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Certificate and Opinion as to Conditions Precedent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Statements Required in Certificate or Opinion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Rules by Trustee and Agents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Legal Holidays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No Recourse Against Others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Counterparts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Governing Law; Waiver of Jury Trial; Consent to Jurisdiction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No Adverse Interpretation of Other Agreements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Successors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Severability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Table of Contents, Headings, Etc.</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Securities in a Foreign Currency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Judgment Currency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Force Majeure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U.S.A. Patriot Act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SINKING FUNDS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429" w:type="dxa"/>
            <w:tcBorders/>
            <w:vAlign w:val="center"/>
          </w:tcPr>
          <w:p>
            <w:pPr>
              <w:pStyle w:val="TableContents"/>
              <w:bidi w:val="0"/>
              <w:spacing w:before="0" w:after="283"/>
              <w:jc w:val="left"/>
              <w:rPr>
                <w:sz w:val="4"/>
                <w:szCs w:val="4"/>
              </w:rPr>
            </w:pPr>
            <w:r>
              <w:rPr>
                <w:sz w:val="4"/>
                <w:szCs w:val="4"/>
              </w:rPr>
            </w:r>
          </w:p>
        </w:tc>
        <w:tc>
          <w:tcPr>
            <w:tcW w:w="8253"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Applicability of Article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Satisfaction of Sinking Fund Payments with Securities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29"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88"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pPr>
            <w:r>
              <w:rPr/>
              <w:t>Redemption of Securities for Sinking Fund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TYRA BIOSCIENCES, INC. </w:t>
      </w:r>
    </w:p>
    <w:p>
      <w:pPr>
        <w:pStyle w:val="TextBody"/>
        <w:bidi w:val="0"/>
        <w:spacing w:before="12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____________, 20__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17"/>
        <w:gridCol w:w="120"/>
        <w:gridCol w:w="2168"/>
      </w:tblGrid>
      <w:tr>
        <w:trPr/>
        <w:tc>
          <w:tcPr>
            <w:tcW w:w="79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7917" w:type="dxa"/>
            <w:tcBorders/>
          </w:tcPr>
          <w:p>
            <w:pPr>
              <w:pStyle w:val="TableContents"/>
              <w:bidi w:val="0"/>
              <w:spacing w:before="0" w:after="283"/>
              <w:jc w:val="left"/>
              <w:rPr/>
            </w:pPr>
            <w:r>
              <w:rPr/>
              <w:t>§ 310(a)(1)</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7.10</w:t>
            </w:r>
          </w:p>
        </w:tc>
      </w:tr>
      <w:tr>
        <w:trPr/>
        <w:tc>
          <w:tcPr>
            <w:tcW w:w="7917" w:type="dxa"/>
            <w:tcBorders/>
          </w:tcPr>
          <w:p>
            <w:pPr>
              <w:pStyle w:val="TableContents"/>
              <w:bidi w:val="0"/>
              <w:spacing w:before="0" w:after="283"/>
              <w:jc w:val="left"/>
              <w:rPr/>
            </w:pPr>
            <w:r>
              <w:rPr/>
              <w:t>(a)(2)</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7.10</w:t>
            </w:r>
          </w:p>
        </w:tc>
      </w:tr>
      <w:tr>
        <w:trPr/>
        <w:tc>
          <w:tcPr>
            <w:tcW w:w="7917" w:type="dxa"/>
            <w:tcBorders/>
          </w:tcPr>
          <w:p>
            <w:pPr>
              <w:pStyle w:val="TableContents"/>
              <w:bidi w:val="0"/>
              <w:spacing w:before="0" w:after="283"/>
              <w:jc w:val="left"/>
              <w:rPr/>
            </w:pPr>
            <w:r>
              <w:rPr/>
              <w:t>(a)(3)</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(a)(4)</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(a)(5)</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7.10</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7.10</w:t>
            </w:r>
          </w:p>
        </w:tc>
      </w:tr>
      <w:tr>
        <w:trPr/>
        <w:tc>
          <w:tcPr>
            <w:tcW w:w="7917" w:type="dxa"/>
            <w:tcBorders/>
          </w:tcPr>
          <w:p>
            <w:pPr>
              <w:pStyle w:val="TableContents"/>
              <w:bidi w:val="0"/>
              <w:spacing w:before="0" w:after="283"/>
              <w:jc w:val="left"/>
              <w:rPr/>
            </w:pPr>
            <w:r>
              <w:rPr/>
              <w:t>§ 311(a)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7.11</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7.11</w:t>
            </w:r>
          </w:p>
        </w:tc>
      </w:tr>
      <w:tr>
        <w:trPr/>
        <w:tc>
          <w:tcPr>
            <w:tcW w:w="7917"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 312(a)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2.6</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10.3</w:t>
            </w:r>
          </w:p>
        </w:tc>
      </w:tr>
      <w:tr>
        <w:trPr/>
        <w:tc>
          <w:tcPr>
            <w:tcW w:w="7917"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10.3</w:t>
            </w:r>
          </w:p>
        </w:tc>
      </w:tr>
      <w:tr>
        <w:trPr/>
        <w:tc>
          <w:tcPr>
            <w:tcW w:w="7917" w:type="dxa"/>
            <w:tcBorders/>
          </w:tcPr>
          <w:p>
            <w:pPr>
              <w:pStyle w:val="TableContents"/>
              <w:bidi w:val="0"/>
              <w:spacing w:before="0" w:after="283"/>
              <w:jc w:val="left"/>
              <w:rPr/>
            </w:pPr>
            <w:r>
              <w:rPr/>
              <w:t>§ 313(a)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7.6</w:t>
            </w:r>
          </w:p>
        </w:tc>
      </w:tr>
      <w:tr>
        <w:trPr/>
        <w:tc>
          <w:tcPr>
            <w:tcW w:w="7917" w:type="dxa"/>
            <w:tcBorders/>
          </w:tcPr>
          <w:p>
            <w:pPr>
              <w:pStyle w:val="TableContents"/>
              <w:bidi w:val="0"/>
              <w:spacing w:before="0" w:after="283"/>
              <w:jc w:val="left"/>
              <w:rPr/>
            </w:pPr>
            <w:r>
              <w:rPr/>
              <w:t>(b)(1)</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7.6</w:t>
            </w:r>
          </w:p>
        </w:tc>
      </w:tr>
      <w:tr>
        <w:trPr/>
        <w:tc>
          <w:tcPr>
            <w:tcW w:w="7917" w:type="dxa"/>
            <w:tcBorders/>
          </w:tcPr>
          <w:p>
            <w:pPr>
              <w:pStyle w:val="TableContents"/>
              <w:bidi w:val="0"/>
              <w:spacing w:before="0" w:after="283"/>
              <w:jc w:val="left"/>
              <w:rPr/>
            </w:pPr>
            <w:r>
              <w:rPr/>
              <w:t>(b)(2)</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7.6</w:t>
            </w:r>
          </w:p>
        </w:tc>
      </w:tr>
      <w:tr>
        <w:trPr/>
        <w:tc>
          <w:tcPr>
            <w:tcW w:w="7917" w:type="dxa"/>
            <w:tcBorders/>
          </w:tcPr>
          <w:p>
            <w:pPr>
              <w:pStyle w:val="TableContents"/>
              <w:bidi w:val="0"/>
              <w:spacing w:before="0" w:after="283"/>
              <w:jc w:val="left"/>
              <w:rPr/>
            </w:pPr>
            <w:r>
              <w:rPr/>
              <w:t>(c)(1)</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7.6</w:t>
            </w:r>
          </w:p>
        </w:tc>
      </w:tr>
      <w:tr>
        <w:trPr/>
        <w:tc>
          <w:tcPr>
            <w:tcW w:w="7917"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7.6</w:t>
            </w:r>
          </w:p>
        </w:tc>
      </w:tr>
      <w:tr>
        <w:trPr/>
        <w:tc>
          <w:tcPr>
            <w:tcW w:w="7917" w:type="dxa"/>
            <w:tcBorders/>
          </w:tcPr>
          <w:p>
            <w:pPr>
              <w:pStyle w:val="TableContents"/>
              <w:bidi w:val="0"/>
              <w:spacing w:before="0" w:after="283"/>
              <w:jc w:val="left"/>
              <w:rPr/>
            </w:pPr>
            <w:r>
              <w:rPr/>
              <w:t>§ 314(a)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4.2, 10.5</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(c)(1)</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10.4</w:t>
            </w:r>
          </w:p>
        </w:tc>
      </w:tr>
      <w:tr>
        <w:trPr/>
        <w:tc>
          <w:tcPr>
            <w:tcW w:w="7917" w:type="dxa"/>
            <w:tcBorders/>
          </w:tcPr>
          <w:p>
            <w:pPr>
              <w:pStyle w:val="TableContents"/>
              <w:bidi w:val="0"/>
              <w:spacing w:before="0" w:after="283"/>
              <w:jc w:val="left"/>
              <w:rPr/>
            </w:pPr>
            <w:r>
              <w:rPr/>
              <w:t>(c)(2)</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10.4</w:t>
            </w:r>
          </w:p>
        </w:tc>
      </w:tr>
      <w:tr>
        <w:trPr/>
        <w:tc>
          <w:tcPr>
            <w:tcW w:w="7917" w:type="dxa"/>
            <w:tcBorders/>
          </w:tcPr>
          <w:p>
            <w:pPr>
              <w:pStyle w:val="TableContents"/>
              <w:bidi w:val="0"/>
              <w:spacing w:before="0" w:after="283"/>
              <w:jc w:val="left"/>
              <w:rPr/>
            </w:pPr>
            <w:r>
              <w:rPr/>
              <w:t>(c)(3)</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10.5</w:t>
            </w:r>
          </w:p>
        </w:tc>
      </w:tr>
      <w:tr>
        <w:trPr/>
        <w:tc>
          <w:tcPr>
            <w:tcW w:w="7917"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Not Applicable</w:t>
            </w:r>
          </w:p>
        </w:tc>
      </w:tr>
      <w:tr>
        <w:trPr/>
        <w:tc>
          <w:tcPr>
            <w:tcW w:w="7917" w:type="dxa"/>
            <w:tcBorders/>
          </w:tcPr>
          <w:p>
            <w:pPr>
              <w:pStyle w:val="TableContents"/>
              <w:bidi w:val="0"/>
              <w:spacing w:before="0" w:after="283"/>
              <w:jc w:val="left"/>
              <w:rPr/>
            </w:pPr>
            <w:r>
              <w:rPr/>
              <w:t>§ 315(a)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7.5</w:t>
            </w:r>
          </w:p>
        </w:tc>
      </w:tr>
      <w:tr>
        <w:trPr/>
        <w:tc>
          <w:tcPr>
            <w:tcW w:w="7917"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w:t>
            </w:r>
          </w:p>
        </w:tc>
      </w:tr>
      <w:tr>
        <w:trPr/>
        <w:tc>
          <w:tcPr>
            <w:tcW w:w="7917"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7.1</w:t>
            </w:r>
          </w:p>
        </w:tc>
      </w:tr>
      <w:tr>
        <w:trPr/>
        <w:tc>
          <w:tcPr>
            <w:tcW w:w="7917"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6.14</w:t>
            </w:r>
          </w:p>
        </w:tc>
      </w:tr>
      <w:tr>
        <w:trPr/>
        <w:tc>
          <w:tcPr>
            <w:tcW w:w="7917" w:type="dxa"/>
            <w:tcBorders/>
          </w:tcPr>
          <w:p>
            <w:pPr>
              <w:pStyle w:val="TableContents"/>
              <w:bidi w:val="0"/>
              <w:spacing w:before="0" w:after="283"/>
              <w:jc w:val="left"/>
              <w:rPr/>
            </w:pPr>
            <w:r>
              <w:rPr/>
              <w:t>§ 316(a)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2.10</w:t>
            </w:r>
          </w:p>
        </w:tc>
      </w:tr>
      <w:tr>
        <w:trPr/>
        <w:tc>
          <w:tcPr>
            <w:tcW w:w="7917" w:type="dxa"/>
            <w:tcBorders/>
          </w:tcPr>
          <w:p>
            <w:pPr>
              <w:pStyle w:val="TableContents"/>
              <w:bidi w:val="0"/>
              <w:spacing w:before="0" w:after="283"/>
              <w:jc w:val="left"/>
              <w:rPr/>
            </w:pPr>
            <w:r>
              <w:rPr/>
              <w:t>(a)(1)(A)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6.12</w:t>
            </w:r>
          </w:p>
        </w:tc>
      </w:tr>
      <w:tr>
        <w:trPr/>
        <w:tc>
          <w:tcPr>
            <w:tcW w:w="7917" w:type="dxa"/>
            <w:tcBorders/>
          </w:tcPr>
          <w:p>
            <w:pPr>
              <w:pStyle w:val="TableContents"/>
              <w:bidi w:val="0"/>
              <w:spacing w:before="0" w:after="283"/>
              <w:jc w:val="left"/>
              <w:rPr/>
            </w:pPr>
            <w:r>
              <w:rPr/>
              <w:t>(a)(1)(B)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6.13</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6.8</w:t>
            </w:r>
          </w:p>
        </w:tc>
      </w:tr>
      <w:tr>
        <w:trPr/>
        <w:tc>
          <w:tcPr>
            <w:tcW w:w="7917" w:type="dxa"/>
            <w:tcBorders/>
          </w:tcPr>
          <w:p>
            <w:pPr>
              <w:pStyle w:val="TableContents"/>
              <w:bidi w:val="0"/>
              <w:spacing w:before="0" w:after="283"/>
              <w:jc w:val="left"/>
              <w:rPr/>
            </w:pPr>
            <w:r>
              <w:rPr/>
              <w:t>§ 317(a)(1)</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6.3</w:t>
            </w:r>
          </w:p>
        </w:tc>
      </w:tr>
      <w:tr>
        <w:trPr/>
        <w:tc>
          <w:tcPr>
            <w:tcW w:w="7917" w:type="dxa"/>
            <w:tcBorders/>
          </w:tcPr>
          <w:p>
            <w:pPr>
              <w:pStyle w:val="TableContents"/>
              <w:bidi w:val="0"/>
              <w:spacing w:before="0" w:after="283"/>
              <w:jc w:val="left"/>
              <w:rPr/>
            </w:pPr>
            <w:r>
              <w:rPr/>
              <w:t>(a)(2)</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6.4</w:t>
            </w:r>
          </w:p>
        </w:tc>
      </w:tr>
      <w:tr>
        <w:trPr/>
        <w:tc>
          <w:tcPr>
            <w:tcW w:w="791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2.5</w:t>
            </w:r>
          </w:p>
        </w:tc>
      </w:tr>
      <w:tr>
        <w:trPr/>
        <w:tc>
          <w:tcPr>
            <w:tcW w:w="7917" w:type="dxa"/>
            <w:tcBorders/>
          </w:tcPr>
          <w:p>
            <w:pPr>
              <w:pStyle w:val="TableContents"/>
              <w:bidi w:val="0"/>
              <w:spacing w:before="0" w:after="283"/>
              <w:jc w:val="left"/>
              <w:rPr/>
            </w:pPr>
            <w:r>
              <w:rPr/>
              <w:t>§ 318(a)</w:t>
            </w:r>
          </w:p>
        </w:tc>
        <w:tc>
          <w:tcPr>
            <w:tcW w:w="120" w:type="dxa"/>
            <w:tcBorders/>
            <w:vAlign w:val="bottom"/>
          </w:tcPr>
          <w:p>
            <w:pPr>
              <w:pStyle w:val="TableContents"/>
              <w:bidi w:val="0"/>
              <w:spacing w:before="0" w:after="283"/>
              <w:jc w:val="left"/>
              <w:rPr/>
            </w:pPr>
            <w:r>
              <w:rPr/>
              <w:t>  </w:t>
            </w:r>
          </w:p>
        </w:tc>
        <w:tc>
          <w:tcPr>
            <w:tcW w:w="2168" w:type="dxa"/>
            <w:tcBorders/>
          </w:tcPr>
          <w:p>
            <w:pPr>
              <w:pStyle w:val="TableContents"/>
              <w:bidi w:val="0"/>
              <w:spacing w:before="0" w:after="283"/>
              <w:jc w:val="left"/>
              <w:rPr/>
            </w:pPr>
            <w:r>
              <w:rPr/>
              <w:t>10.1</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__________, 20__ between Tyra Biosciences, Inc., Delaware corporation (“</w:t>
      </w:r>
      <w:r>
        <w:rPr>
          <w:rFonts w:ascii="Times New Roman" w:hAnsi="Times New Roman"/>
          <w:i/>
          <w:sz w:val="20"/>
        </w:rPr>
        <w:t>Company”</w:t>
      </w:r>
      <w:r>
        <w:rPr>
          <w:rFonts w:ascii="Times New Roman" w:hAnsi="Times New Roman"/>
          <w:sz w:val="20"/>
        </w:rPr>
        <w:t>), and [____________]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Section 1.1.</w:t>
      </w:r>
      <w:r>
        <w:rPr>
          <w:rFonts w:ascii="Times New Roman" w:hAnsi="Times New Roman"/>
          <w:sz w:val="20"/>
          <w:u w:val="single"/>
        </w:rPr>
        <w:t> 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Additional Amounts</w:t>
      </w:r>
      <w:r>
        <w:rPr>
          <w:rFonts w:ascii="Times New Roman" w:hAnsi="Times New Roman"/>
          <w:sz w:val="20"/>
        </w:rPr>
        <w:t xml:space="preserve">” means any additional amounts which are required hereby or by any Security, under circumstances specified herein or therein, to be paid by the Company in respect of certain taxes imposed on Holders specified herein or therein and which are owing to such Holders.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Paying Agent or Notice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a legal holiday in the City of New York, New York (or in connection with any payment, the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any and all shares, interests, participations, rights or other equivalents (however designated) of corporate stock.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and delivered to the Trustee.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passage of time or both would be, an Event of Default. </w:t>
      </w:r>
    </w:p>
    <w:p>
      <w:pPr>
        <w:pStyle w:val="TextBody"/>
        <w:bidi w:val="0"/>
        <w:spacing w:before="24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Security is registered on the Registrar’s books.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bidi w:val="0"/>
        <w:spacing w:before="24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the Chief Financial Officer, the Treasurer or any Assistant Treasurer, the Secretary or any Assistant Secretary and any Vice President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that meets the requirements of this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who is acceptable to the Trustee. The counsel may be an employee of or counsel to the Company. The opinion may contain customary limitations, conditions and exceptions.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and any Additional Amounts in respect of, the Security.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Security</w:t>
      </w:r>
      <w:r>
        <w:rPr>
          <w:rFonts w:ascii="Times New Roman" w:hAnsi="Times New Roman"/>
          <w:sz w:val="20"/>
        </w:rPr>
        <w:t>” or “</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or interest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24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3948"/>
        <w:gridCol w:w="121"/>
        <w:gridCol w:w="4095"/>
      </w:tblGrid>
      <w:tr>
        <w:trPr/>
        <w:tc>
          <w:tcPr>
            <w:tcW w:w="39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9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DEFINED IN SECTION</w:t>
            </w:r>
          </w:p>
        </w:tc>
      </w:tr>
      <w:tr>
        <w:trPr/>
        <w:tc>
          <w:tcPr>
            <w:tcW w:w="3948" w:type="dxa"/>
            <w:tcBorders/>
          </w:tcPr>
          <w:p>
            <w:pPr>
              <w:pStyle w:val="TableContents"/>
              <w:bidi w:val="0"/>
              <w:spacing w:before="0" w:after="0"/>
              <w:jc w:val="left"/>
              <w:rPr/>
            </w:pPr>
            <w:r>
              <w:rPr/>
              <w:t>“</w:t>
            </w:r>
            <w:r>
              <w:rPr>
                <w:rFonts w:ascii="Times New Roman" w:hAnsi="Times New Roman"/>
                <w:i/>
                <w:sz w:val="20"/>
              </w:rPr>
              <w:t>Agent Member”</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2.14.6</w:t>
            </w:r>
          </w:p>
        </w:tc>
      </w:tr>
      <w:tr>
        <w:trPr/>
        <w:tc>
          <w:tcPr>
            <w:tcW w:w="3948" w:type="dxa"/>
            <w:tcBorders/>
          </w:tcPr>
          <w:p>
            <w:pPr>
              <w:pStyle w:val="TableContents"/>
              <w:bidi w:val="0"/>
              <w:spacing w:before="0" w:after="0"/>
              <w:jc w:val="left"/>
              <w:rPr/>
            </w:pPr>
            <w:r>
              <w:rPr/>
              <w:t>“</w:t>
            </w:r>
            <w:r>
              <w:rPr>
                <w:rFonts w:ascii="Times New Roman" w:hAnsi="Times New Roman"/>
                <w:i/>
                <w:sz w:val="20"/>
              </w:rPr>
              <w:t>Bankruptcy Law”</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6.1</w:t>
            </w:r>
          </w:p>
        </w:tc>
      </w:tr>
      <w:tr>
        <w:trPr/>
        <w:tc>
          <w:tcPr>
            <w:tcW w:w="3948" w:type="dxa"/>
            <w:tcBorders/>
          </w:tcPr>
          <w:p>
            <w:pPr>
              <w:pStyle w:val="TableContents"/>
              <w:bidi w:val="0"/>
              <w:spacing w:before="0" w:after="0"/>
              <w:jc w:val="left"/>
              <w:rPr/>
            </w:pPr>
            <w:r>
              <w:rPr/>
              <w:t>“</w:t>
            </w:r>
            <w:r>
              <w:rPr>
                <w:rFonts w:ascii="Times New Roman" w:hAnsi="Times New Roman"/>
                <w:i/>
                <w:sz w:val="20"/>
              </w:rPr>
              <w:t>Custodian”</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6.1</w:t>
            </w:r>
          </w:p>
        </w:tc>
      </w:tr>
      <w:tr>
        <w:trPr/>
        <w:tc>
          <w:tcPr>
            <w:tcW w:w="3948" w:type="dxa"/>
            <w:tcBorders/>
          </w:tcPr>
          <w:p>
            <w:pPr>
              <w:pStyle w:val="TableContents"/>
              <w:bidi w:val="0"/>
              <w:spacing w:before="0" w:after="0"/>
              <w:jc w:val="left"/>
              <w:rPr/>
            </w:pPr>
            <w:r>
              <w:rPr/>
              <w:t>“</w:t>
            </w:r>
            <w:r>
              <w:rPr>
                <w:rFonts w:ascii="Times New Roman" w:hAnsi="Times New Roman"/>
                <w:i/>
                <w:sz w:val="20"/>
              </w:rPr>
              <w:t>Event of Default”</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6.1</w:t>
            </w:r>
          </w:p>
        </w:tc>
      </w:tr>
      <w:tr>
        <w:trPr/>
        <w:tc>
          <w:tcPr>
            <w:tcW w:w="3948" w:type="dxa"/>
            <w:tcBorders/>
          </w:tcPr>
          <w:p>
            <w:pPr>
              <w:pStyle w:val="TableContents"/>
              <w:bidi w:val="0"/>
              <w:spacing w:before="0" w:after="0"/>
              <w:jc w:val="left"/>
              <w:rPr/>
            </w:pPr>
            <w:r>
              <w:rPr/>
              <w:t>“</w:t>
            </w:r>
            <w:r>
              <w:rPr>
                <w:rFonts w:ascii="Times New Roman" w:hAnsi="Times New Roman"/>
                <w:i/>
                <w:sz w:val="20"/>
              </w:rPr>
              <w:t>Judgment Currency”</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10.16</w:t>
            </w:r>
          </w:p>
        </w:tc>
      </w:tr>
      <w:tr>
        <w:trPr/>
        <w:tc>
          <w:tcPr>
            <w:tcW w:w="3948" w:type="dxa"/>
            <w:tcBorders/>
          </w:tcPr>
          <w:p>
            <w:pPr>
              <w:pStyle w:val="TableContents"/>
              <w:bidi w:val="0"/>
              <w:spacing w:before="0" w:after="0"/>
              <w:jc w:val="left"/>
              <w:rPr/>
            </w:pPr>
            <w:r>
              <w:rPr/>
              <w:t>“</w:t>
            </w:r>
            <w:r>
              <w:rPr>
                <w:rFonts w:ascii="Times New Roman" w:hAnsi="Times New Roman"/>
                <w:i/>
                <w:sz w:val="20"/>
              </w:rPr>
              <w:t>mandatory sinking fund payment”</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11.1</w:t>
            </w:r>
          </w:p>
        </w:tc>
      </w:tr>
      <w:tr>
        <w:trPr/>
        <w:tc>
          <w:tcPr>
            <w:tcW w:w="3948" w:type="dxa"/>
            <w:tcBorders/>
          </w:tcPr>
          <w:p>
            <w:pPr>
              <w:pStyle w:val="TableContents"/>
              <w:bidi w:val="0"/>
              <w:spacing w:before="0" w:after="0"/>
              <w:jc w:val="left"/>
              <w:rPr/>
            </w:pPr>
            <w:r>
              <w:rPr/>
              <w:t>“</w:t>
            </w:r>
            <w:r>
              <w:rPr>
                <w:rFonts w:ascii="Times New Roman" w:hAnsi="Times New Roman"/>
                <w:i/>
                <w:sz w:val="20"/>
              </w:rPr>
              <w:t>New York Banking Day”</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10.16</w:t>
            </w:r>
          </w:p>
        </w:tc>
      </w:tr>
      <w:tr>
        <w:trPr/>
        <w:tc>
          <w:tcPr>
            <w:tcW w:w="3948" w:type="dxa"/>
            <w:tcBorders/>
          </w:tcPr>
          <w:p>
            <w:pPr>
              <w:pStyle w:val="TableContents"/>
              <w:bidi w:val="0"/>
              <w:spacing w:before="0" w:after="0"/>
              <w:jc w:val="left"/>
              <w:rPr/>
            </w:pPr>
            <w:r>
              <w:rPr/>
              <w:t>“</w:t>
            </w:r>
            <w:r>
              <w:rPr>
                <w:rFonts w:ascii="Times New Roman" w:hAnsi="Times New Roman"/>
                <w:i/>
                <w:sz w:val="20"/>
              </w:rPr>
              <w:t>Notice Agent”</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2.4</w:t>
            </w:r>
          </w:p>
        </w:tc>
      </w:tr>
      <w:tr>
        <w:trPr/>
        <w:tc>
          <w:tcPr>
            <w:tcW w:w="3948" w:type="dxa"/>
            <w:tcBorders/>
          </w:tcPr>
          <w:p>
            <w:pPr>
              <w:pStyle w:val="TableContents"/>
              <w:bidi w:val="0"/>
              <w:spacing w:before="0" w:after="0"/>
              <w:jc w:val="left"/>
              <w:rPr/>
            </w:pPr>
            <w:r>
              <w:rPr/>
              <w:t>“</w:t>
            </w:r>
            <w:r>
              <w:rPr>
                <w:rFonts w:ascii="Times New Roman" w:hAnsi="Times New Roman"/>
                <w:i/>
                <w:sz w:val="20"/>
              </w:rPr>
              <w:t>optional sinking fund payment”</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11.1</w:t>
            </w:r>
          </w:p>
        </w:tc>
      </w:tr>
      <w:tr>
        <w:trPr/>
        <w:tc>
          <w:tcPr>
            <w:tcW w:w="3948" w:type="dxa"/>
            <w:tcBorders/>
          </w:tcPr>
          <w:p>
            <w:pPr>
              <w:pStyle w:val="TableContents"/>
              <w:bidi w:val="0"/>
              <w:spacing w:before="0" w:after="0"/>
              <w:jc w:val="left"/>
              <w:rPr/>
            </w:pPr>
            <w:r>
              <w:rPr/>
              <w:t>“</w:t>
            </w:r>
            <w:r>
              <w:rPr>
                <w:rFonts w:ascii="Times New Roman" w:hAnsi="Times New Roman"/>
                <w:i/>
                <w:sz w:val="20"/>
              </w:rPr>
              <w:t>Paying Agent”</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2.4</w:t>
            </w:r>
          </w:p>
        </w:tc>
      </w:tr>
      <w:tr>
        <w:trPr/>
        <w:tc>
          <w:tcPr>
            <w:tcW w:w="3948" w:type="dxa"/>
            <w:tcBorders/>
          </w:tcPr>
          <w:p>
            <w:pPr>
              <w:pStyle w:val="TableContents"/>
              <w:bidi w:val="0"/>
              <w:spacing w:before="0" w:after="0"/>
              <w:jc w:val="left"/>
              <w:rPr/>
            </w:pPr>
            <w:r>
              <w:rPr/>
              <w:t>“</w:t>
            </w:r>
            <w:r>
              <w:rPr>
                <w:rFonts w:ascii="Times New Roman" w:hAnsi="Times New Roman"/>
                <w:i/>
                <w:sz w:val="20"/>
              </w:rPr>
              <w:t>Registrar”</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2.4</w:t>
            </w:r>
          </w:p>
        </w:tc>
      </w:tr>
      <w:tr>
        <w:trPr/>
        <w:tc>
          <w:tcPr>
            <w:tcW w:w="3948" w:type="dxa"/>
            <w:tcBorders/>
          </w:tcPr>
          <w:p>
            <w:pPr>
              <w:pStyle w:val="TableContents"/>
              <w:bidi w:val="0"/>
              <w:spacing w:before="0" w:after="0"/>
              <w:jc w:val="left"/>
              <w:rPr/>
            </w:pPr>
            <w:r>
              <w:rPr/>
              <w:t>“</w:t>
            </w:r>
            <w:r>
              <w:rPr>
                <w:rFonts w:ascii="Times New Roman" w:hAnsi="Times New Roman"/>
                <w:i/>
                <w:sz w:val="20"/>
              </w:rPr>
              <w:t>Required Currency”</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10.16</w:t>
            </w:r>
          </w:p>
        </w:tc>
      </w:tr>
      <w:tr>
        <w:trPr/>
        <w:tc>
          <w:tcPr>
            <w:tcW w:w="3948" w:type="dxa"/>
            <w:tcBorders/>
          </w:tcPr>
          <w:p>
            <w:pPr>
              <w:pStyle w:val="TableContents"/>
              <w:bidi w:val="0"/>
              <w:spacing w:before="0" w:after="0"/>
              <w:jc w:val="left"/>
              <w:rPr/>
            </w:pPr>
            <w:r>
              <w:rPr/>
              <w:t>“</w:t>
            </w:r>
            <w:r>
              <w:rPr>
                <w:rFonts w:ascii="Times New Roman" w:hAnsi="Times New Roman"/>
                <w:i/>
                <w:sz w:val="20"/>
              </w:rPr>
              <w:t>Specified Courts”</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10.10</w:t>
            </w:r>
          </w:p>
        </w:tc>
      </w:tr>
      <w:tr>
        <w:trPr/>
        <w:tc>
          <w:tcPr>
            <w:tcW w:w="3948" w:type="dxa"/>
            <w:tcBorders/>
          </w:tcPr>
          <w:p>
            <w:pPr>
              <w:pStyle w:val="TableContents"/>
              <w:bidi w:val="0"/>
              <w:spacing w:before="0" w:after="0"/>
              <w:jc w:val="left"/>
              <w:rPr/>
            </w:pPr>
            <w:r>
              <w:rPr/>
              <w:t>“</w:t>
            </w:r>
            <w:r>
              <w:rPr>
                <w:rFonts w:ascii="Times New Roman" w:hAnsi="Times New Roman"/>
                <w:i/>
                <w:sz w:val="20"/>
              </w:rPr>
              <w:t>successor person”</w:t>
            </w:r>
          </w:p>
        </w:tc>
        <w:tc>
          <w:tcPr>
            <w:tcW w:w="121" w:type="dxa"/>
            <w:tcBorders/>
            <w:vAlign w:val="bottom"/>
          </w:tcPr>
          <w:p>
            <w:pPr>
              <w:pStyle w:val="TableContents"/>
              <w:bidi w:val="0"/>
              <w:spacing w:before="0" w:after="283"/>
              <w:jc w:val="left"/>
              <w:rPr/>
            </w:pPr>
            <w:r>
              <w:rPr/>
              <w:t>  </w:t>
            </w:r>
          </w:p>
        </w:tc>
        <w:tc>
          <w:tcPr>
            <w:tcW w:w="4095" w:type="dxa"/>
            <w:tcBorders/>
            <w:vAlign w:val="bottom"/>
          </w:tcPr>
          <w:p>
            <w:pPr>
              <w:pStyle w:val="TableContents"/>
              <w:bidi w:val="0"/>
              <w:spacing w:before="0" w:after="283"/>
              <w:jc w:val="center"/>
              <w:rPr/>
            </w:pPr>
            <w:r>
              <w:rPr/>
              <w:t>5.1</w:t>
            </w:r>
          </w:p>
        </w:tc>
      </w:tr>
    </w:tbl>
    <w:p>
      <w:pPr>
        <w:pStyle w:val="TextBody"/>
        <w:bidi w:val="0"/>
        <w:spacing w:before="240" w:after="0"/>
        <w:jc w:val="left"/>
        <w:rPr>
          <w:rFonts w:ascii="Times New Roman" w:hAnsi="Times New Roman"/>
          <w:sz w:val="20"/>
        </w:rPr>
      </w:pPr>
      <w:r>
        <w:rPr>
          <w:rFonts w:ascii="Times New Roman" w:hAnsi="Times New Roman"/>
          <w:sz w:val="20"/>
        </w:rPr>
        <w:t>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12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120" w:after="0"/>
        <w:jc w:val="left"/>
        <w:rPr/>
      </w:pPr>
      <w:r>
        <w:rPr/>
        <w:t>“</w:t>
      </w:r>
      <w:r>
        <w:rPr>
          <w:rFonts w:ascii="Times New Roman" w:hAnsi="Times New Roman"/>
          <w:i/>
          <w:sz w:val="20"/>
        </w:rPr>
        <w:t>indenture security holder</w:t>
      </w:r>
      <w:r>
        <w:rPr>
          <w:rFonts w:ascii="Times New Roman" w:hAnsi="Times New Roman"/>
          <w:sz w:val="20"/>
        </w:rPr>
        <w:t xml:space="preserve">” means a Holder. </w:t>
      </w:r>
    </w:p>
    <w:p>
      <w:pPr>
        <w:pStyle w:val="TextBody"/>
        <w:bidi w:val="0"/>
        <w:spacing w:before="120" w:after="0"/>
        <w:jc w:val="left"/>
        <w:rPr/>
      </w:pPr>
      <w:r>
        <w:rPr/>
        <w:t>“</w:t>
      </w:r>
      <w:r>
        <w:rPr>
          <w:rFonts w:ascii="Times New Roman" w:hAnsi="Times New Roman"/>
          <w:i/>
          <w:sz w:val="20"/>
        </w:rPr>
        <w:t>indenture to be qualified</w:t>
      </w:r>
      <w:r>
        <w:rPr>
          <w:rFonts w:ascii="Times New Roman" w:hAnsi="Times New Roman"/>
          <w:sz w:val="20"/>
        </w:rPr>
        <w:t xml:space="preserve">” means this Indenture. </w:t>
      </w:r>
    </w:p>
    <w:p>
      <w:pPr>
        <w:pStyle w:val="TextBody"/>
        <w:bidi w:val="0"/>
        <w:spacing w:before="120" w:after="0"/>
        <w:jc w:val="left"/>
        <w:rPr/>
      </w:pPr>
      <w:r>
        <w:rPr/>
        <w:t>“</w:t>
      </w:r>
      <w:r>
        <w:rPr>
          <w:rFonts w:ascii="Times New Roman" w:hAnsi="Times New Roman"/>
          <w:i/>
          <w:sz w:val="20"/>
        </w:rPr>
        <w:t>indenture trustee</w:t>
      </w:r>
      <w:r>
        <w:rPr>
          <w:rFonts w:ascii="Times New Roman" w:hAnsi="Times New Roman"/>
          <w:sz w:val="20"/>
        </w:rPr>
        <w:t>” or “</w:t>
      </w:r>
      <w:r>
        <w:rPr>
          <w:rFonts w:ascii="Times New Roman" w:hAnsi="Times New Roman"/>
          <w:i/>
          <w:sz w:val="20"/>
        </w:rPr>
        <w:t>institutional trustee</w:t>
      </w:r>
      <w:r>
        <w:rPr>
          <w:rFonts w:ascii="Times New Roman" w:hAnsi="Times New Roman"/>
          <w:sz w:val="20"/>
        </w:rPr>
        <w:t xml:space="preserve">” means the Trustee. </w:t>
      </w:r>
    </w:p>
    <w:p>
      <w:pPr>
        <w:pStyle w:val="TextBody"/>
        <w:bidi w:val="0"/>
        <w:spacing w:before="12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words in the singular include the plural, and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(f) in the computation of periods of time from a specified date to a later specified date, the word “from” means “from and including,” and the words “to” and “until” each mean “to but excluding”; and </w:t>
      </w:r>
    </w:p>
    <w:p>
      <w:pPr>
        <w:pStyle w:val="TextBody"/>
        <w:bidi w:val="0"/>
        <w:spacing w:before="120" w:after="0"/>
        <w:jc w:val="left"/>
        <w:rPr>
          <w:rFonts w:ascii="Times New Roman" w:hAnsi="Times New Roman"/>
          <w:sz w:val="20"/>
        </w:rPr>
      </w:pPr>
      <w:r>
        <w:rPr>
          <w:rFonts w:ascii="Times New Roman" w:hAnsi="Times New Roman"/>
          <w:sz w:val="20"/>
        </w:rPr>
        <w:t xml:space="preserve">(g) the phrase “in writing” as used herein shall be deemed to include PDFs, e-mails and other electronic means of transmission, unless otherwise indicated.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Section 2.2. </w:t>
      </w:r>
      <w:r>
        <w:rPr>
          <w:rFonts w:ascii="Times New Roman" w:hAnsi="Times New Roman"/>
          <w:sz w:val="20"/>
          <w:u w:val="single"/>
        </w:rPr>
        <w:t>Establishment of Terms of Series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and ranking (including the terms of any subordination provisions)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 </w:t>
      </w:r>
    </w:p>
    <w:p>
      <w:pPr>
        <w:pStyle w:val="TextBody"/>
        <w:bidi w:val="0"/>
        <w:spacing w:before="24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24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may be redeemed, in whole or in part, at the option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2.2.10. if other than denominations of $1,000 and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bidi w:val="0"/>
        <w:spacing w:before="24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2.2.19. any addition to, deletion of or change in the covenants applicable to Securities of the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2.2.20. any Depositaries, interest rate calculation agents, exchange rate calculation agents or other agents with respect to Securities of such Series if other than those appointed herein; </w:t>
      </w:r>
    </w:p>
    <w:p>
      <w:pPr>
        <w:pStyle w:val="TextBody"/>
        <w:bidi w:val="0"/>
        <w:spacing w:before="24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bidi w:val="0"/>
        <w:spacing w:before="240" w:after="0"/>
        <w:jc w:val="left"/>
        <w:rPr>
          <w:rFonts w:ascii="Times New Roman" w:hAnsi="Times New Roman"/>
          <w:sz w:val="20"/>
        </w:rPr>
      </w:pPr>
      <w:r>
        <w:rPr>
          <w:rFonts w:ascii="Times New Roman" w:hAnsi="Times New Roman"/>
          <w:sz w:val="20"/>
        </w:rPr>
        <w:t xml:space="preserve">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2.2.23. whether any of the Company’s direct or indirect Subsidiaries will guarantee the Securities of that Series, including the terms of subordination, if any, of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Officer shall sign the Securities for the Company by manual, facsimile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sz w:val="20"/>
        </w:rPr>
        <w:t>Section 2.4. </w:t>
      </w:r>
      <w:r>
        <w:rPr>
          <w:rFonts w:ascii="Times New Roman" w:hAnsi="Times New Roman"/>
          <w:sz w:val="20"/>
          <w:u w:val="single"/>
        </w:rPr>
        <w:t>Registrar, Paying Agent and Notice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where Securities of such Series may be surrendered for registration of transfer or exchange (“</w:t>
      </w:r>
      <w:r>
        <w:rPr>
          <w:rFonts w:ascii="Times New Roman" w:hAnsi="Times New Roman"/>
          <w:i/>
          <w:sz w:val="20"/>
        </w:rPr>
        <w:t>Registrar</w:t>
      </w:r>
      <w:r>
        <w:rPr>
          <w:rFonts w:ascii="Times New Roman" w:hAnsi="Times New Roman"/>
          <w:sz w:val="20"/>
        </w:rPr>
        <w:t>”) and where notices and demands to or upon the Company in respect of the Securities of such Series and this Indenture may be delivered (“</w:t>
      </w:r>
      <w:r>
        <w:rPr>
          <w:rFonts w:ascii="Times New Roman" w:hAnsi="Times New Roman"/>
          <w:i/>
          <w:sz w:val="20"/>
        </w:rPr>
        <w:t>Notice Agent</w:t>
      </w:r>
      <w:r>
        <w:rPr>
          <w:rFonts w:ascii="Times New Roman" w:hAnsi="Times New Roman"/>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appointment of the Trustee as the Notice Agent shall exclude the appointment of the Trustee or any office of the Trustee as an agent to receive the service of legal process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sz w:val="20"/>
        </w:rPr>
        <w:t>Registrar</w:t>
      </w:r>
      <w:r>
        <w:rPr>
          <w:rFonts w:ascii="Times New Roman" w:hAnsi="Times New Roman"/>
          <w:sz w:val="20"/>
        </w:rPr>
        <w:t>” includes any co-registrar; the term “</w:t>
      </w:r>
      <w:r>
        <w:rPr>
          <w:rFonts w:ascii="Times New Roman" w:hAnsi="Times New Roman"/>
          <w:i/>
          <w:sz w:val="20"/>
        </w:rPr>
        <w:t>Paying Agent</w:t>
      </w:r>
      <w:r>
        <w:rPr>
          <w:rFonts w:ascii="Times New Roman" w:hAnsi="Times New Roman"/>
          <w:sz w:val="20"/>
        </w:rPr>
        <w:t>” includes any additional paying agent; and the term “</w:t>
      </w:r>
      <w:r>
        <w:rPr>
          <w:rFonts w:ascii="Times New Roman" w:hAnsi="Times New Roman"/>
          <w:i/>
          <w:sz w:val="20"/>
        </w:rPr>
        <w:t>Notice Agent</w:t>
      </w:r>
      <w:r>
        <w:rPr>
          <w:rFonts w:ascii="Times New Roman" w:hAnsi="Times New Roman"/>
          <w:sz w:val="20"/>
        </w:rPr>
        <w:t xml:space="preserve">” includes any additional notice agent. The Company or any of its Affiliates may serve as Registrar or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 </w:t>
      </w:r>
    </w:p>
    <w:p>
      <w:pPr>
        <w:pStyle w:val="TextBody"/>
        <w:bidi w:val="0"/>
        <w:spacing w:before="240" w:after="0"/>
        <w:jc w:val="left"/>
        <w:rPr>
          <w:rFonts w:ascii="Times New Roman" w:hAnsi="Times New Roman"/>
          <w:sz w:val="20"/>
        </w:rPr>
      </w:pPr>
      <w:r>
        <w:rPr>
          <w:rFonts w:ascii="Times New Roman" w:hAnsi="Times New Roman"/>
          <w:sz w:val="20"/>
        </w:rPr>
        <w:t>Section 2.5.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 </w:t>
      </w:r>
    </w:p>
    <w:p>
      <w:pPr>
        <w:pStyle w:val="TextBody"/>
        <w:bidi w:val="0"/>
        <w:spacing w:before="240" w:after="0"/>
        <w:jc w:val="left"/>
        <w:rPr>
          <w:rFonts w:ascii="Times New Roman" w:hAnsi="Times New Roman"/>
          <w:sz w:val="20"/>
        </w:rPr>
      </w:pPr>
      <w:r>
        <w:rPr>
          <w:rFonts w:ascii="Times New Roman" w:hAnsi="Times New Roman"/>
          <w:sz w:val="20"/>
        </w:rPr>
        <w:t>Section 2.6. </w:t>
      </w:r>
      <w:r>
        <w:rPr>
          <w:rFonts w:ascii="Times New Roman" w:hAnsi="Times New Roman"/>
          <w:sz w:val="20"/>
          <w:u w:val="single"/>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2.7.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 </w:t>
      </w:r>
    </w:p>
    <w:p>
      <w:pPr>
        <w:pStyle w:val="TextBody"/>
        <w:bidi w:val="0"/>
        <w:spacing w:before="240" w:after="0"/>
        <w:jc w:val="left"/>
        <w:rPr>
          <w:rFonts w:ascii="Times New Roman" w:hAnsi="Times New Roman"/>
          <w:sz w:val="20"/>
        </w:rPr>
      </w:pPr>
      <w:r>
        <w:rPr>
          <w:rFonts w:ascii="Times New Roman" w:hAnsi="Times New Roman"/>
          <w:sz w:val="20"/>
        </w:rPr>
        <w:t>Section 2.8.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Section 2.9.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2.8, it ceases to be outstanding until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(but see Section 2.10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Treasury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 </w:t>
      </w:r>
    </w:p>
    <w:p>
      <w:pPr>
        <w:pStyle w:val="TextBody"/>
        <w:bidi w:val="0"/>
        <w:spacing w:before="240" w:after="0"/>
        <w:jc w:val="left"/>
        <w:rPr>
          <w:rFonts w:ascii="Times New Roman" w:hAnsi="Times New Roman"/>
          <w:sz w:val="20"/>
        </w:rPr>
      </w:pPr>
      <w:r>
        <w:rPr>
          <w:rFonts w:ascii="Times New Roman" w:hAnsi="Times New Roman"/>
          <w:sz w:val="20"/>
        </w:rPr>
        <w:t xml:space="preserve">2.14.3. </w:t>
      </w:r>
      <w:r>
        <w:rPr>
          <w:rFonts w:ascii="Times New Roman" w:hAnsi="Times New Roman"/>
          <w:sz w:val="20"/>
          <w:u w:val="single"/>
        </w:rPr>
        <w:t>Legends</w:t>
      </w:r>
      <w:r>
        <w:rPr>
          <w:rFonts w:ascii="Times New Roman" w:hAnsi="Times New Roman"/>
          <w:sz w:val="20"/>
        </w:rPr>
        <w:t xml:space="preserve">. Any Global Security issued hereunder shall bear a legend in substantially the following form: </w:t>
      </w:r>
    </w:p>
    <w:p>
      <w:pPr>
        <w:pStyle w:val="TextBody"/>
        <w:bidi w:val="0"/>
        <w:spacing w:before="12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In addition, so long as the Depository Trust Company (“DTC”) is the Depositary, each Global Security registered in the name of DTC or its nominee shall bear a legend in substantially the following form: </w:t>
      </w:r>
    </w:p>
    <w:p>
      <w:pPr>
        <w:pStyle w:val="TextBody"/>
        <w:bidi w:val="0"/>
        <w:spacing w:before="120" w:after="0"/>
        <w:jc w:val="left"/>
        <w:rPr/>
      </w:pPr>
      <w:r>
        <w:rPr/>
        <w:t>“</w:t>
      </w:r>
      <w:r>
        <w:rPr>
          <w:rFonts w:ascii="Times New Roman" w:hAnsi="Times New Roman"/>
          <w:sz w:val="20"/>
        </w:rPr>
        <w:t xml:space="preserve">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2.14.5.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2.14.6. </w:t>
      </w:r>
      <w:r>
        <w:rPr>
          <w:rFonts w:ascii="Times New Roman" w:hAnsi="Times New Roman"/>
          <w:sz w:val="20"/>
          <w:u w:val="single"/>
        </w:rPr>
        <w:t>Agent Members</w:t>
      </w:r>
      <w:r>
        <w:rPr>
          <w:rFonts w:ascii="Times New Roman" w:hAnsi="Times New Roman"/>
          <w:sz w:val="20"/>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hAnsi="Times New Roman"/>
          <w:i/>
          <w:sz w:val="20"/>
        </w:rPr>
        <w:t>Agent Members</w:t>
      </w:r>
      <w:r>
        <w:rPr>
          <w:rFonts w:ascii="Times New Roman" w:hAnsi="Times New Roman"/>
          <w:sz w:val="20"/>
        </w:rPr>
        <w:t xml:space="preserve">”)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(c) the name and address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that Securities of the Series called for redemption must be surrendered to the Paying Agent to collect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(f) that interest on Securities of the Series called for redemption ceases to accrue on and after the redemption date unless the Company defaults in the deposit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(g) the “CUSIP” number, if any; and </w:t>
      </w:r>
    </w:p>
    <w:p>
      <w:pPr>
        <w:pStyle w:val="TextBody"/>
        <w:bidi w:val="0"/>
        <w:spacing w:before="120" w:after="0"/>
        <w:jc w:val="left"/>
        <w:rPr>
          <w:rFonts w:ascii="Times New Roman" w:hAnsi="Times New Roman"/>
          <w:sz w:val="20"/>
        </w:rPr>
      </w:pPr>
      <w:r>
        <w:rPr>
          <w:rFonts w:ascii="Times New Roman" w:hAnsi="Times New Roman"/>
          <w:sz w:val="20"/>
        </w:rPr>
        <w:t xml:space="preserve">(h)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or before 11:00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Security that is redeemed in part, the Trustee shall authenticate for the Holder a new Security of the same Series and the same maturity equal in principal amount to the unredeemed portion of the Security surrendered. </w:t>
      </w:r>
    </w:p>
    <w:p>
      <w:pPr>
        <w:pStyle w:val="TextBody"/>
        <w:bidi w:val="0"/>
        <w:spacing w:before="24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 </w:t>
      </w:r>
    </w:p>
    <w:p>
      <w:pPr>
        <w:pStyle w:val="TextBody"/>
        <w:bidi w:val="0"/>
        <w:spacing w:before="240" w:after="0"/>
        <w:jc w:val="left"/>
        <w:rPr>
          <w:rFonts w:ascii="Times New Roman" w:hAnsi="Times New Roman"/>
          <w:sz w:val="20"/>
        </w:rPr>
      </w:pPr>
      <w:r>
        <w:rPr>
          <w:rFonts w:ascii="Times New Roman" w:hAnsi="Times New Roman"/>
          <w:sz w:val="20"/>
        </w:rPr>
        <w:t xml:space="preserve">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When Company May Merge,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not consolidate with or merge with or into, or convey, transfer or lease all or substantially all of its properties and assets to, any person (a “</w:t>
      </w:r>
      <w:r>
        <w:rPr>
          <w:rFonts w:ascii="Times New Roman" w:hAnsi="Times New Roman"/>
          <w:i/>
          <w:sz w:val="20"/>
        </w:rPr>
        <w:t>successor person</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Company in the case of a sale, conveyance or other disposition (other than a lease) shall be released from all obligations and covenants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w:t>
      </w:r>
    </w:p>
    <w:p>
      <w:pPr>
        <w:pStyle w:val="TextBody"/>
        <w:bidi w:val="0"/>
        <w:spacing w:before="12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(v) generally is unable to pay its debts as the same become due; </w:t>
      </w:r>
    </w:p>
    <w:p>
      <w:pPr>
        <w:pStyle w:val="TextBody"/>
        <w:bidi w:val="0"/>
        <w:spacing w:before="12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12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240" w:after="0"/>
        <w:jc w:val="left"/>
        <w:rPr>
          <w:rFonts w:ascii="Times New Roman" w:hAnsi="Times New Roman"/>
          <w:sz w:val="20"/>
        </w:rPr>
      </w:pPr>
      <w:r>
        <w:rPr>
          <w:rFonts w:ascii="Times New Roman" w:hAnsi="Times New Roman"/>
          <w:i/>
          <w:sz w:val="20"/>
        </w:rPr>
        <w:t>then,</w:t>
      </w:r>
      <w:r>
        <w:rPr>
          <w:rFonts w:ascii="Times New Roman" w:hAnsi="Times New Roman"/>
          <w:sz w:val="20"/>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under Section 7.7; and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Unconditional Right of Holders to Receive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12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and no implied covenants or obligations will be read into this Indenture against the Trustee.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does not limit the effect of paragraph (b)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12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paragraph (a),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costs, expenses and liabilities which might be incurred by it in performing such duty or exercising such right or power.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 </w:t>
      </w:r>
    </w:p>
    <w:p>
      <w:pPr>
        <w:pStyle w:val="TextBody"/>
        <w:bidi w:val="0"/>
        <w:spacing w:before="120" w:after="0"/>
        <w:jc w:val="left"/>
        <w:rPr>
          <w:rFonts w:ascii="Times New Roman" w:hAnsi="Times New Roman"/>
          <w:sz w:val="20"/>
        </w:rPr>
      </w:pPr>
      <w:r>
        <w:rPr>
          <w:rFonts w:ascii="Times New Roman" w:hAnsi="Times New Roman"/>
          <w:sz w:val="20"/>
        </w:rPr>
        <w:t xml:space="preserve">(h) The Paying Agent, the Notice Agent, the Registrar, any authenticating agent and the Trustee when acting in any other capacity hereunder shall be entitled to the protections and immunities as are set forth in this Article VII. </w:t>
      </w:r>
    </w:p>
    <w:p>
      <w:pPr>
        <w:pStyle w:val="TextBody"/>
        <w:bidi w:val="0"/>
        <w:spacing w:before="12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its right to be indemnified, are extended to, and will be enforceable by, the Trustee in each of its capacities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12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Depositary shall be deemed an agent of the Trustee, and the Trustee shall not be responsible for any act or omission by any Depositary. </w:t>
      </w:r>
    </w:p>
    <w:p>
      <w:pPr>
        <w:pStyle w:val="TextBody"/>
        <w:bidi w:val="0"/>
        <w:spacing w:before="12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w:t>
      </w:r>
    </w:p>
    <w:p>
      <w:pPr>
        <w:pStyle w:val="TextBody"/>
        <w:bidi w:val="0"/>
        <w:spacing w:before="12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bidi w:val="0"/>
        <w:spacing w:before="12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In no event shall the Trustee be liable to any person for special, punitive, indirect, consequential or incidental loss or damage of any kind whatsoever (including but not limited to lost profits), even if the Trustee has been advised of the likelihood of such loss or damage. </w:t>
      </w:r>
    </w:p>
    <w:p>
      <w:pPr>
        <w:pStyle w:val="TextBody"/>
        <w:bidi w:val="0"/>
        <w:spacing w:before="12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120" w:after="0"/>
        <w:jc w:val="left"/>
        <w:rPr>
          <w:rFonts w:ascii="Times New Roman" w:hAnsi="Times New Roman"/>
          <w:sz w:val="20"/>
        </w:rPr>
      </w:pPr>
      <w:r>
        <w:rPr>
          <w:rFonts w:ascii="Times New Roman" w:hAnsi="Times New Roman"/>
          <w:sz w:val="20"/>
        </w:rPr>
        <w:t xml:space="preserve">(k) The Trustee will not be required to give any bond or surety in respect of the execution of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after each anniversary of the date of this Indenture, the Trustee shall transmit by mail to all Holders, as their names and addresses appear on the register kept by the Registrar, a brief report dated as of such anniversary date, in accordance with, and to the extent required under, TIA § 313.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6.1(d) or (e)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12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Securities that have been destroyed, lost or stolen and that have been replaced or paid)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by reason of sending a notice of redemption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w:t>
      </w:r>
    </w:p>
    <w:p>
      <w:pPr>
        <w:pStyle w:val="TextBody"/>
        <w:bidi w:val="0"/>
        <w:spacing w:before="12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(4) are deemed paid and discharged pursuant to Section 8.3,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provided for relating to the satisfaction and discharge contemplated by this Section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Application of Trust Funds;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Legal Defeasance of Securities of any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Sections 2.4, 2.5, 2.7, 2.8, 7.7, 8.2, 8.3, 8.5 and 8.6; and </w:t>
      </w:r>
    </w:p>
    <w:p>
      <w:pPr>
        <w:pStyle w:val="TextBody"/>
        <w:bidi w:val="0"/>
        <w:spacing w:before="120" w:after="0"/>
        <w:jc w:val="left"/>
        <w:rPr>
          <w:rFonts w:ascii="Times New Roman" w:hAnsi="Times New Roman"/>
          <w:sz w:val="20"/>
        </w:rPr>
      </w:pPr>
      <w:r>
        <w:rPr>
          <w:rFonts w:ascii="Times New Roman" w:hAnsi="Times New Roman"/>
          <w:sz w:val="20"/>
        </w:rPr>
        <w:t xml:space="preserve">(c) the rights, powers, trusts and immunities of the Trustee hereunder and the Company’s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 </w:t>
      </w:r>
    </w:p>
    <w:p>
      <w:pPr>
        <w:pStyle w:val="TextBody"/>
        <w:bidi w:val="0"/>
        <w:spacing w:before="12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12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 </w:t>
      </w:r>
    </w:p>
    <w:p>
      <w:pPr>
        <w:pStyle w:val="TextBody"/>
        <w:bidi w:val="0"/>
        <w:spacing w:before="12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w:t>
      </w:r>
    </w:p>
    <w:p>
      <w:pPr>
        <w:pStyle w:val="TextBody"/>
        <w:bidi w:val="0"/>
        <w:spacing w:before="120" w:after="0"/>
        <w:jc w:val="left"/>
        <w:rPr>
          <w:rFonts w:ascii="Times New Roman" w:hAnsi="Times New Roman"/>
          <w:sz w:val="20"/>
        </w:rPr>
      </w:pPr>
      <w:r>
        <w:rPr>
          <w:rFonts w:ascii="Times New Roman" w:hAnsi="Times New Roman"/>
          <w:sz w:val="20"/>
        </w:rPr>
        <w:t xml:space="preserve">(b) to comply with Article V; </w:t>
      </w:r>
    </w:p>
    <w:p>
      <w:pPr>
        <w:pStyle w:val="TextBody"/>
        <w:bidi w:val="0"/>
        <w:spacing w:before="12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(d) to add guarantees with respect to Securities of any Series or secure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(e) to surrender any of the Company’s rights or powers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(f) to add covenants or events of default for the benefit of the holders of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(g) to comply with the applicable procedures of the applicable depositary; </w:t>
      </w:r>
    </w:p>
    <w:p>
      <w:pPr>
        <w:pStyle w:val="TextBody"/>
        <w:bidi w:val="0"/>
        <w:spacing w:before="120" w:after="0"/>
        <w:jc w:val="left"/>
        <w:rPr>
          <w:rFonts w:ascii="Times New Roman" w:hAnsi="Times New Roman"/>
          <w:sz w:val="20"/>
        </w:rPr>
      </w:pPr>
      <w:r>
        <w:rPr>
          <w:rFonts w:ascii="Times New Roman" w:hAnsi="Times New Roman"/>
          <w:sz w:val="20"/>
        </w:rPr>
        <w:t xml:space="preserve">(h) to make any change that does not adversely affect the rights of any Holder; </w:t>
      </w:r>
    </w:p>
    <w:p>
      <w:pPr>
        <w:pStyle w:val="TextBody"/>
        <w:bidi w:val="0"/>
        <w:spacing w:before="12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 </w:t>
      </w:r>
    </w:p>
    <w:p>
      <w:pPr>
        <w:pStyle w:val="TextBody"/>
        <w:bidi w:val="0"/>
        <w:spacing w:before="12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each 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Sections 6.8, 6.13 or 9.3 (this sentence); or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any Security, provided that such redemption is made at the Company’s option.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Trustee Protected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if to the Company:</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Tyra Biosciences,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2656 State Street</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Carlsbad, California 92008</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General Counsel</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Telephone:(619) 728-4760</w:t>
            </w:r>
          </w:p>
        </w:tc>
      </w:tr>
      <w:tr>
        <w:trPr/>
        <w:tc>
          <w:tcPr>
            <w:tcW w:w="10205" w:type="dxa"/>
            <w:tcBorders/>
          </w:tcPr>
          <w:p>
            <w:pPr>
              <w:pStyle w:val="TableContents"/>
              <w:bidi w:val="0"/>
              <w:spacing w:before="0" w:after="283"/>
              <w:jc w:val="left"/>
              <w:rPr/>
            </w:pPr>
            <w:r>
              <w:rPr/>
              <w:t>with a copy to:</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12670 High Bluff Drive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San Diego, CA 92130</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Matthew T. Bush</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 (858) 523-3962</w:t>
            </w:r>
          </w:p>
        </w:tc>
      </w:tr>
      <w:tr>
        <w:trPr/>
        <w:tc>
          <w:tcPr>
            <w:tcW w:w="10205" w:type="dxa"/>
            <w:tcBorders/>
          </w:tcPr>
          <w:p>
            <w:pPr>
              <w:pStyle w:val="TableContents"/>
              <w:bidi w:val="0"/>
              <w:spacing w:before="0" w:after="283"/>
              <w:jc w:val="left"/>
              <w:rPr/>
            </w:pPr>
            <w:r>
              <w:rPr/>
              <w:t>if to the Trustee: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[_____]</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[____]</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 [____]</w:t>
            </w:r>
          </w:p>
        </w:tc>
      </w:tr>
      <w:tr>
        <w:trPr/>
        <w:tc>
          <w:tcPr>
            <w:tcW w:w="10205" w:type="dxa"/>
            <w:tcBorders/>
          </w:tcPr>
          <w:p>
            <w:pPr>
              <w:pStyle w:val="TableContents"/>
              <w:bidi w:val="0"/>
              <w:spacing w:before="0" w:after="283"/>
              <w:jc w:val="left"/>
              <w:rPr/>
            </w:pPr>
            <w:r>
              <w:rPr/>
              <w:t>with a copy to:</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[_____]</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[____]</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 [____]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sent or published in the manner provided above, within the time prescribed, it is duly given, whether or not the 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sends a notice or communication to Holders, it shall send a copy to the Trustee and each Agent at the same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12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statement that, in the opinion of such person, such person has made such examination or investigation as is necessary to enable such person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 meeting of 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payment date for any payment made under this Indenture is not a Business Day, payment may be made on the next succeeding Business 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Waiver of Jury Trial; Consent to Jurisdiction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INDENTURE AND THE SECURITIES, INCLUDING ANY CLAIM OR CONTROVERSY ARISING OUT OF OR RELATING TO THE INDENTURE OR THE SECURITIES, SHALL BE GOVERNED BY THE LAWS OF THE STATE OF NEW YORK.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 Reference Table,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sz w:val="20"/>
        </w:rPr>
        <w:t>New York Banking Day</w:t>
      </w:r>
      <w:r>
        <w:rPr>
          <w:rFonts w:ascii="Times New Roman" w:hAnsi="Times New Roman"/>
          <w:sz w:val="20"/>
        </w:rPr>
        <w:t xml:space="preserve">” means any day except a Saturday, Sunday or a legal holiday in the City of New York on which banking institutions are authorized or required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11.2.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1"/>
        <w:gridCol w:w="123"/>
        <w:gridCol w:w="3348"/>
      </w:tblGrid>
      <w:tr>
        <w:trPr/>
        <w:tc>
          <w:tcPr>
            <w:tcW w:w="61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TYRA BIOSCIENCES, INC.</w:t>
            </w:r>
          </w:p>
        </w:tc>
      </w:tr>
      <w:tr>
        <w:trPr>
          <w:trHeight w:val="240" w:hRule="atLeast"/>
        </w:trPr>
        <w:tc>
          <w:tcPr>
            <w:tcW w:w="611" w:type="dxa"/>
            <w:tcBorders/>
            <w:vAlign w:val="center"/>
          </w:tcPr>
          <w:p>
            <w:pPr>
              <w:pStyle w:val="TableContents"/>
              <w:bidi w:val="0"/>
              <w:spacing w:before="0" w:after="283"/>
              <w:jc w:val="left"/>
              <w:rPr>
                <w:sz w:val="4"/>
                <w:szCs w:val="4"/>
              </w:rPr>
            </w:pPr>
            <w:r>
              <w:rPr>
                <w:sz w:val="4"/>
                <w:szCs w:val="4"/>
              </w:rPr>
            </w:r>
          </w:p>
        </w:tc>
        <w:tc>
          <w:tcPr>
            <w:tcW w:w="3471"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3" w:type="dxa"/>
            <w:tcBorders/>
            <w:vAlign w:val="bottom"/>
          </w:tcPr>
          <w:p>
            <w:pPr>
              <w:pStyle w:val="TableContents"/>
              <w:bidi w:val="0"/>
              <w:spacing w:before="0" w:after="283"/>
              <w:jc w:val="left"/>
              <w:rPr/>
            </w:pPr>
            <w:r>
              <w:rPr/>
              <w:t> </w:t>
            </w:r>
          </w:p>
        </w:tc>
        <w:tc>
          <w:tcPr>
            <w:tcW w:w="3348" w:type="dxa"/>
            <w:tcBorders/>
            <w:vAlign w:val="bottom"/>
          </w:tcPr>
          <w:p>
            <w:pPr>
              <w:pStyle w:val="TableContents"/>
              <w:pBdr>
                <w:bottom w:val="single" w:sz="2" w:space="1" w:color="000000"/>
              </w:pBdr>
              <w:bidi w:val="0"/>
              <w:spacing w:before="0" w:after="20"/>
              <w:jc w:val="right"/>
              <w:rPr/>
            </w:pPr>
            <w:r>
              <w:rPr/>
              <w:t> </w:t>
            </w:r>
          </w:p>
        </w:tc>
      </w:tr>
      <w:tr>
        <w:trPr/>
        <w:tc>
          <w:tcPr>
            <w:tcW w:w="61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1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8"/>
        <w:gridCol w:w="76"/>
        <w:gridCol w:w="3578"/>
      </w:tblGrid>
      <w:tr>
        <w:trPr/>
        <w:tc>
          <w:tcPr>
            <w:tcW w:w="428"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 as Trustee</w:t>
            </w:r>
          </w:p>
        </w:tc>
      </w:tr>
      <w:tr>
        <w:trPr>
          <w:trHeight w:val="240" w:hRule="atLeast"/>
        </w:trPr>
        <w:tc>
          <w:tcPr>
            <w:tcW w:w="428" w:type="dxa"/>
            <w:tcBorders/>
            <w:vAlign w:val="center"/>
          </w:tcPr>
          <w:p>
            <w:pPr>
              <w:pStyle w:val="TableContents"/>
              <w:bidi w:val="0"/>
              <w:spacing w:before="0" w:after="283"/>
              <w:jc w:val="left"/>
              <w:rPr>
                <w:sz w:val="4"/>
                <w:szCs w:val="4"/>
              </w:rPr>
            </w:pPr>
            <w:r>
              <w:rPr>
                <w:sz w:val="4"/>
                <w:szCs w:val="4"/>
              </w:rPr>
            </w:r>
          </w:p>
        </w:tc>
        <w:tc>
          <w:tcPr>
            <w:tcW w:w="3654" w:type="dxa"/>
            <w:gridSpan w:val="2"/>
            <w:tcBorders/>
            <w:vAlign w:val="center"/>
          </w:tcPr>
          <w:p>
            <w:pPr>
              <w:pStyle w:val="TableContents"/>
              <w:bidi w:val="0"/>
              <w:spacing w:before="0" w:after="283"/>
              <w:jc w:val="left"/>
              <w:rPr>
                <w:sz w:val="4"/>
                <w:szCs w:val="4"/>
              </w:rPr>
            </w:pPr>
            <w:r>
              <w:rPr>
                <w:sz w:val="4"/>
                <w:szCs w:val="4"/>
              </w:rPr>
            </w:r>
          </w:p>
        </w:tc>
      </w:tr>
      <w:tr>
        <w:trPr/>
        <w:tc>
          <w:tcPr>
            <w:tcW w:w="42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6" w:type="dxa"/>
            <w:tcBorders/>
            <w:vAlign w:val="bottom"/>
          </w:tcPr>
          <w:p>
            <w:pPr>
              <w:pStyle w:val="TableContents"/>
              <w:bidi w:val="0"/>
              <w:spacing w:before="0" w:after="283"/>
              <w:jc w:val="left"/>
              <w:rPr/>
            </w:pPr>
            <w:r>
              <w:rPr/>
              <w:t> </w:t>
            </w:r>
          </w:p>
        </w:tc>
        <w:tc>
          <w:tcPr>
            <w:tcW w:w="3578" w:type="dxa"/>
            <w:tcBorders/>
            <w:vAlign w:val="bottom"/>
          </w:tcPr>
          <w:p>
            <w:pPr>
              <w:pStyle w:val="TableContents"/>
              <w:pBdr>
                <w:bottom w:val="single" w:sz="2" w:space="1" w:color="000000"/>
              </w:pBdr>
              <w:bidi w:val="0"/>
              <w:spacing w:before="0" w:after="20"/>
              <w:jc w:val="right"/>
              <w:rPr/>
            </w:pPr>
            <w:r>
              <w:rPr/>
              <w:t> </w:t>
            </w:r>
          </w:p>
        </w:tc>
      </w:tr>
      <w:tr>
        <w:trPr/>
        <w:tc>
          <w:tcPr>
            <w:tcW w:w="428"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5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28"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578" w:type="dxa"/>
            <w:tcBorders/>
            <w:vAlign w:val="bottom"/>
          </w:tcPr>
          <w:p>
            <w:pPr>
              <w:pStyle w:val="TableContents"/>
              <w:bidi w:val="0"/>
              <w:spacing w:before="0" w:after="283"/>
              <w:jc w:val="left"/>
              <w:rPr/>
            </w:pPr>
            <w:r>
              <w:rPr/>
              <w:t>Its: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right"/>
        <w:rPr>
          <w:rFonts w:ascii="Times New Roman" w:hAnsi="Times New Roman"/>
          <w:b/>
          <w:sz w:val="20"/>
        </w:rPr>
      </w:pPr>
      <w:bookmarkStart w:id="19" w:name="d49930dex51.htm"/>
      <w:bookmarkStart w:id="20" w:name="ksd49930dex51"/>
      <w:bookmarkEnd w:id="19"/>
      <w:bookmarkEnd w:id="20"/>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22"/>
        <w:gridCol w:w="133"/>
        <w:gridCol w:w="1925"/>
        <w:gridCol w:w="160"/>
        <w:gridCol w:w="2465"/>
      </w:tblGrid>
      <w:tr>
        <w:trPr/>
        <w:tc>
          <w:tcPr>
            <w:tcW w:w="552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550" w:type="dxa"/>
            <w:gridSpan w:val="3"/>
            <w:tcBorders/>
          </w:tcPr>
          <w:p>
            <w:pPr>
              <w:pStyle w:val="TableContents"/>
              <w:bidi w:val="0"/>
              <w:spacing w:before="0" w:after="283"/>
              <w:jc w:val="left"/>
              <w:rPr/>
            </w:pPr>
            <w:r>
              <w:rPr/>
              <w:t>12670 High Bluff Drive</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550" w:type="dxa"/>
            <w:gridSpan w:val="3"/>
            <w:tcBorders/>
          </w:tcPr>
          <w:p>
            <w:pPr>
              <w:pStyle w:val="TableContents"/>
              <w:bidi w:val="0"/>
              <w:spacing w:before="0" w:after="283"/>
              <w:jc w:val="left"/>
              <w:rPr/>
            </w:pPr>
            <w:r>
              <w:rPr/>
              <w:t>San Diego, California 92130</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550" w:type="dxa"/>
            <w:gridSpan w:val="3"/>
            <w:tcBorders/>
          </w:tcPr>
          <w:p>
            <w:pPr>
              <w:pStyle w:val="TableContents"/>
              <w:bidi w:val="0"/>
              <w:spacing w:before="0" w:after="283"/>
              <w:jc w:val="left"/>
              <w:rPr/>
            </w:pPr>
            <w:r>
              <w:rPr/>
              <w:t>Tel: +1.858.523.5400 Fax: +1.858.523.5450</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www.lw.com</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sz w:val="4"/>
                <w:szCs w:val="4"/>
              </w:rPr>
            </w:pPr>
            <w:r>
              <w:rPr>
                <w:sz w:val="4"/>
                <w:szCs w:val="4"/>
              </w:rPr>
            </w:r>
          </w:p>
        </w:tc>
      </w:tr>
      <w:tr>
        <w:trPr>
          <w:trHeight w:val="120" w:hRule="atLeast"/>
        </w:trPr>
        <w:tc>
          <w:tcPr>
            <w:tcW w:w="5522" w:type="dxa"/>
            <w:tcBorders/>
            <w:vAlign w:val="center"/>
          </w:tcPr>
          <w:p>
            <w:pPr>
              <w:pStyle w:val="TableContents"/>
              <w:bidi w:val="0"/>
              <w:spacing w:before="0" w:after="283"/>
              <w:jc w:val="left"/>
              <w:rPr>
                <w:sz w:val="4"/>
                <w:szCs w:val="4"/>
              </w:rPr>
            </w:pPr>
            <w:r>
              <w:rPr>
                <w:sz w:val="4"/>
                <w:szCs w:val="4"/>
              </w:rPr>
            </w:r>
          </w:p>
        </w:tc>
        <w:tc>
          <w:tcPr>
            <w:tcW w:w="4683" w:type="dxa"/>
            <w:gridSpan w:val="4"/>
            <w:tcBorders/>
            <w:vAlign w:val="center"/>
          </w:tcPr>
          <w:p>
            <w:pPr>
              <w:pStyle w:val="TableContents"/>
              <w:bidi w:val="0"/>
              <w:spacing w:before="0" w:after="283"/>
              <w:jc w:val="left"/>
              <w:rPr>
                <w:sz w:val="4"/>
                <w:szCs w:val="4"/>
              </w:rPr>
            </w:pPr>
            <w:r>
              <w:rPr>
                <w:sz w:val="4"/>
                <w:szCs w:val="4"/>
              </w:rPr>
            </w:r>
          </w:p>
        </w:tc>
      </w:tr>
      <w:tr>
        <w:trPr/>
        <w:tc>
          <w:tcPr>
            <w:tcW w:w="5522" w:type="dxa"/>
            <w:vMerge w:val="restart"/>
            <w:tcBorders/>
          </w:tcPr>
          <w:p>
            <w:pPr>
              <w:pStyle w:val="TableContents"/>
              <w:bidi w:val="0"/>
              <w:spacing w:before="0" w:after="283"/>
              <w:jc w:val="left"/>
              <w:rPr/>
            </w:pPr>
            <w:r>
              <w:rPr/>
              <w:drawing>
                <wp:inline distT="0" distB="0" distL="0" distR="0">
                  <wp:extent cx="1905000"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905000" cy="180975"/>
                          </a:xfrm>
                          <a:prstGeom prst="rect">
                            <a:avLst/>
                          </a:prstGeom>
                        </pic:spPr>
                      </pic:pic>
                    </a:graphicData>
                  </a:graphic>
                </wp:inline>
              </w:drawing>
            </w:r>
            <w:r>
              <w:rPr/>
              <w:t xml:space="preserve"> </w:t>
            </w:r>
          </w:p>
        </w:tc>
        <w:tc>
          <w:tcPr>
            <w:tcW w:w="133" w:type="dxa"/>
            <w:tcBorders/>
            <w:vAlign w:val="bottom"/>
          </w:tcPr>
          <w:p>
            <w:pPr>
              <w:pStyle w:val="TableContents"/>
              <w:bidi w:val="0"/>
              <w:spacing w:before="0" w:after="283"/>
              <w:jc w:val="left"/>
              <w:rPr/>
            </w:pPr>
            <w:r>
              <w:rPr/>
              <w:t>  </w:t>
            </w:r>
          </w:p>
        </w:tc>
        <w:tc>
          <w:tcPr>
            <w:tcW w:w="4550" w:type="dxa"/>
            <w:gridSpan w:val="3"/>
            <w:tcBorders/>
          </w:tcPr>
          <w:p>
            <w:pPr>
              <w:pStyle w:val="TableContents"/>
              <w:bidi w:val="0"/>
              <w:spacing w:before="0" w:after="283"/>
              <w:jc w:val="left"/>
              <w:rPr/>
            </w:pPr>
            <w:r>
              <w:rPr/>
              <w:t>FIRM / AFFILIATE OFFICES</w:t>
            </w:r>
          </w:p>
        </w:tc>
      </w:tr>
      <w:tr>
        <w:trPr/>
        <w:tc>
          <w:tcPr>
            <w:tcW w:w="5522" w:type="dxa"/>
            <w:vMerge w:val="continue"/>
            <w:tcBorders/>
          </w:tcPr>
          <w:p>
            <w:pPr>
              <w:pStyle w:val="Normal"/>
              <w:bidi w:val="0"/>
              <w:jc w:val="left"/>
              <w:rPr/>
            </w:pPr>
            <w:r>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Austin</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Milan</w:t>
            </w:r>
          </w:p>
        </w:tc>
      </w:tr>
      <w:tr>
        <w:trPr/>
        <w:tc>
          <w:tcPr>
            <w:tcW w:w="5522" w:type="dxa"/>
            <w:vMerge w:val="continue"/>
            <w:tcBorders/>
          </w:tcPr>
          <w:p>
            <w:pPr>
              <w:pStyle w:val="Normal"/>
              <w:bidi w:val="0"/>
              <w:jc w:val="left"/>
              <w:rPr/>
            </w:pPr>
            <w:r>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Beijing</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Munich</w:t>
            </w:r>
          </w:p>
        </w:tc>
      </w:tr>
      <w:tr>
        <w:trPr/>
        <w:tc>
          <w:tcPr>
            <w:tcW w:w="5522" w:type="dxa"/>
            <w:vMerge w:val="continue"/>
            <w:tcBorders/>
          </w:tcPr>
          <w:p>
            <w:pPr>
              <w:pStyle w:val="Normal"/>
              <w:bidi w:val="0"/>
              <w:jc w:val="left"/>
              <w:rPr/>
            </w:pPr>
            <w:r>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Boston</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New York</w:t>
            </w:r>
          </w:p>
        </w:tc>
      </w:tr>
      <w:tr>
        <w:trPr/>
        <w:tc>
          <w:tcPr>
            <w:tcW w:w="5522" w:type="dxa"/>
            <w:vMerge w:val="continue"/>
            <w:tcBorders/>
          </w:tcPr>
          <w:p>
            <w:pPr>
              <w:pStyle w:val="Normal"/>
              <w:bidi w:val="0"/>
              <w:jc w:val="left"/>
              <w:rPr/>
            </w:pPr>
            <w:r>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Brussels</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Orange County</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Chicago</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Paris</w:t>
            </w:r>
          </w:p>
        </w:tc>
      </w:tr>
      <w:tr>
        <w:trPr/>
        <w:tc>
          <w:tcPr>
            <w:tcW w:w="5522" w:type="dxa"/>
            <w:tcBorders/>
          </w:tcPr>
          <w:p>
            <w:pPr>
              <w:pStyle w:val="TableContents"/>
              <w:bidi w:val="0"/>
              <w:spacing w:before="0" w:after="283"/>
              <w:jc w:val="left"/>
              <w:rPr/>
            </w:pPr>
            <w:r>
              <w:rPr/>
              <w:t>September 14, 2026</w:t>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Dubai</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Riyadh</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Düsseldorf</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San Diego</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Frankfurt</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San Francisco</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Hamburg</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Seoul</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Hong Kong</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Silicon Valley</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Houston</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Singapore</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London</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Tel Aviv</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Los Angeles</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Tokyo</w:t>
            </w:r>
          </w:p>
        </w:tc>
      </w:tr>
      <w:tr>
        <w:trPr/>
        <w:tc>
          <w:tcPr>
            <w:tcW w:w="552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left"/>
              <w:rPr/>
            </w:pPr>
            <w:r>
              <w:rPr/>
              <w:t>Madrid</w:t>
            </w:r>
          </w:p>
        </w:tc>
        <w:tc>
          <w:tcPr>
            <w:tcW w:w="16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Tyra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2656 State Street </w:t>
      </w:r>
    </w:p>
    <w:p>
      <w:pPr>
        <w:pStyle w:val="TextBody"/>
        <w:bidi w:val="0"/>
        <w:spacing w:before="0" w:after="0"/>
        <w:jc w:val="left"/>
        <w:rPr>
          <w:rFonts w:ascii="Times New Roman" w:hAnsi="Times New Roman"/>
          <w:sz w:val="20"/>
        </w:rPr>
      </w:pPr>
      <w:r>
        <w:rPr>
          <w:rFonts w:ascii="Times New Roman" w:hAnsi="Times New Roman"/>
          <w:sz w:val="20"/>
        </w:rPr>
        <w:t xml:space="preserve">Carlsbad, California 92008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Tyra Biosciences, Inc., a Delaware corporation (the “</w:t>
      </w:r>
      <w:r>
        <w:rPr>
          <w:rFonts w:ascii="Times New Roman" w:hAnsi="Times New Roman"/>
          <w:b/>
          <w:i/>
          <w:sz w:val="20"/>
        </w:rPr>
        <w:t>Company</w:t>
      </w:r>
      <w:r>
        <w:rPr>
          <w:rFonts w:ascii="Times New Roman" w:hAnsi="Times New Roman"/>
          <w:sz w:val="20"/>
        </w:rPr>
        <w:t>”), in connection with its filing on the date hereof with the Securities and Exchange Commission (the “</w:t>
      </w:r>
      <w:r>
        <w:rPr>
          <w:rFonts w:ascii="Times New Roman" w:hAnsi="Times New Roman"/>
          <w:b/>
          <w:i/>
          <w:sz w:val="20"/>
        </w:rPr>
        <w:t>Commission</w:t>
      </w:r>
      <w:r>
        <w:rPr>
          <w:rFonts w:ascii="Times New Roman" w:hAnsi="Times New Roman"/>
          <w:sz w:val="20"/>
        </w:rPr>
        <w:t>”) of a registration statement on Form S-3 (as amended, the “</w:t>
      </w:r>
      <w:r>
        <w:rPr>
          <w:rFonts w:ascii="Times New Roman" w:hAnsi="Times New Roman"/>
          <w:b/>
          <w:i/>
          <w:sz w:val="20"/>
        </w:rPr>
        <w:t>Registration Statement</w:t>
      </w:r>
      <w:r>
        <w:rPr>
          <w:rFonts w:ascii="Times New Roman" w:hAnsi="Times New Roman"/>
          <w:sz w:val="20"/>
        </w:rPr>
        <w:t>”), including a base prospectus (the “</w:t>
      </w:r>
      <w:r>
        <w:rPr>
          <w:rFonts w:ascii="Times New Roman" w:hAnsi="Times New Roman"/>
          <w:b/>
          <w:i/>
          <w:sz w:val="20"/>
        </w:rPr>
        <w:t>Base Prospectus</w:t>
      </w:r>
      <w:r>
        <w:rPr>
          <w:rFonts w:ascii="Times New Roman" w:hAnsi="Times New Roman"/>
          <w:sz w:val="20"/>
        </w:rPr>
        <w:t>”), which provides that it will be supplemented by one or more prospectus supplements (each such prospectus supplement, together with the Base Prospectus, a “</w:t>
      </w:r>
      <w:r>
        <w:rPr>
          <w:rFonts w:ascii="Times New Roman" w:hAnsi="Times New Roman"/>
          <w:b/>
          <w:i/>
          <w:sz w:val="20"/>
        </w:rPr>
        <w:t>Prospectus</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relating to the registration for issue and sale by the Company of (i) shares of the Company’s common stock, $0.0001 par value per share (“</w:t>
      </w:r>
      <w:r>
        <w:rPr>
          <w:rFonts w:ascii="Times New Roman" w:hAnsi="Times New Roman"/>
          <w:b/>
          <w:i/>
          <w:sz w:val="20"/>
        </w:rPr>
        <w:t>Common Stock</w:t>
      </w:r>
      <w:r>
        <w:rPr>
          <w:rFonts w:ascii="Times New Roman" w:hAnsi="Times New Roman"/>
          <w:sz w:val="20"/>
        </w:rPr>
        <w:t>”), (ii) shares of one or more series of the Company’s preferred stock, $0.0001 par value per share (“</w:t>
      </w:r>
      <w:r>
        <w:rPr>
          <w:rFonts w:ascii="Times New Roman" w:hAnsi="Times New Roman"/>
          <w:b/>
          <w:i/>
          <w:sz w:val="20"/>
        </w:rPr>
        <w:t>Preferred Stock</w:t>
      </w:r>
      <w:r>
        <w:rPr>
          <w:rFonts w:ascii="Times New Roman" w:hAnsi="Times New Roman"/>
          <w:sz w:val="20"/>
        </w:rPr>
        <w:t>”), (iii) one or more series of the Company’s debt securities (collectively, “</w:t>
      </w:r>
      <w:r>
        <w:rPr>
          <w:rFonts w:ascii="Times New Roman" w:hAnsi="Times New Roman"/>
          <w:b/>
          <w:i/>
          <w:sz w:val="20"/>
        </w:rPr>
        <w:t>Debt Securities</w:t>
      </w:r>
      <w:r>
        <w:rPr>
          <w:rFonts w:ascii="Times New Roman" w:hAnsi="Times New Roman"/>
          <w:sz w:val="20"/>
        </w:rPr>
        <w:t>”) to be issued under an indenture to be entered into between the Company, as issuer, and a trustee (a form of which is included as Exhibit 4.5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hAnsi="Times New Roman"/>
          <w:b/>
          <w:i/>
          <w:sz w:val="20"/>
        </w:rPr>
        <w:t>Applicable Indenture</w:t>
      </w:r>
      <w:r>
        <w:rPr>
          <w:rFonts w:ascii="Times New Roman" w:hAnsi="Times New Roman"/>
          <w:sz w:val="20"/>
        </w:rPr>
        <w:t>”), (iv) warrants to purchase Common Stock, Preferred Stock, or Debt Securities (“</w:t>
      </w:r>
      <w:r>
        <w:rPr>
          <w:rFonts w:ascii="Times New Roman" w:hAnsi="Times New Roman"/>
          <w:b/>
          <w:i/>
          <w:sz w:val="20"/>
        </w:rPr>
        <w:t>Warrants</w:t>
      </w:r>
      <w:r>
        <w:rPr>
          <w:rFonts w:ascii="Times New Roman" w:hAnsi="Times New Roman"/>
          <w:sz w:val="20"/>
        </w:rPr>
        <w:t>”), and (v) units consisting of two or more of the Securities (as defined below) (“</w:t>
      </w:r>
      <w:r>
        <w:rPr>
          <w:rFonts w:ascii="Times New Roman" w:hAnsi="Times New Roman"/>
          <w:b/>
          <w:i/>
          <w:sz w:val="20"/>
        </w:rPr>
        <w:t>Units</w:t>
      </w:r>
      <w:r>
        <w:rPr>
          <w:rFonts w:ascii="Times New Roman" w:hAnsi="Times New Roman"/>
          <w:sz w:val="20"/>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 w:hAnsi="Times New Roman"/>
          <w:b/>
          <w:i/>
          <w:sz w:val="20"/>
        </w:rPr>
        <w:t>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September 14,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180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905000" cy="180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2. When a series of Preferred Stock has been duly established in accordance with the terms of the Company’s Amended and Restated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September 14,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180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1905000" cy="180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4.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5. 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September 14, 2026 </w:t>
      </w:r>
    </w:p>
    <w:p>
      <w:pPr>
        <w:pStyle w:val="TextBody"/>
        <w:bidi w:val="0"/>
        <w:spacing w:before="0" w:after="0"/>
        <w:jc w:val="left"/>
        <w:rPr>
          <w:rFonts w:ascii="Times New Roman" w:hAnsi="Times New Roman"/>
          <w:b/>
          <w:sz w:val="20"/>
        </w:rPr>
      </w:pPr>
      <w:r>
        <w:rPr>
          <w:rFonts w:ascii="Times New Roman" w:hAnsi="Times New Roman"/>
          <w:b/>
          <w:sz w:val="20"/>
        </w:rPr>
        <w:t xml:space="preserve">Page 4 </w:t>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180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3"/>
                    <a:stretch>
                      <a:fillRect/>
                    </a:stretch>
                  </pic:blipFill>
                  <pic:spPr bwMode="auto">
                    <a:xfrm>
                      <a:off x="0" y="0"/>
                      <a:ext cx="1905000" cy="180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each of the Debt Securities, Warrants and Units and the Applicable Indenture, warrant agreements and unit agreements governing such Securities (collectively, the “</w:t>
      </w:r>
      <w:r>
        <w:rPr>
          <w:rFonts w:ascii="Times New Roman" w:hAnsi="Times New Roman"/>
          <w:b/>
          <w:i/>
          <w:sz w:val="20"/>
        </w:rPr>
        <w:t>Documents</w:t>
      </w:r>
      <w:r>
        <w:rPr>
          <w:rFonts w:ascii="Times New Roman" w:hAnsi="Times New Roman"/>
          <w:sz w:val="20"/>
        </w:rPr>
        <w:t xml:space="preserve">”)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70"/>
        <w:gridCol w:w="365"/>
        <w:gridCol w:w="1847"/>
      </w:tblGrid>
      <w:tr>
        <w:trPr/>
        <w:tc>
          <w:tcPr>
            <w:tcW w:w="187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 Latham &amp; Watkins LLP</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1" w:name="d49930dex231.htm"/>
      <w:bookmarkStart w:id="22" w:name="ksd49930dex231"/>
      <w:bookmarkEnd w:id="21"/>
      <w:bookmarkEnd w:id="2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Tyra Biosciences, Inc. for the registration of shares of its common stock, preferred stock, debt securities, warrants and units and to the incorporation by reference therein of our report dated March 2, 2026, with respect to the financial statements of Tyra Biosciences, Inc. included in its Annual Report (Form 10-K) for the year ended December 31, 2025, filed with the Securities and Exchange Commission.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 Ernst &amp; Young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San Diego, California</w:t>
            </w:r>
          </w:p>
        </w:tc>
      </w:tr>
      <w:tr>
        <w:trPr/>
        <w:tc>
          <w:tcPr>
            <w:tcW w:w="10205" w:type="dxa"/>
            <w:tcBorders/>
            <w:vAlign w:val="bottom"/>
          </w:tcPr>
          <w:p>
            <w:pPr>
              <w:pStyle w:val="TableContents"/>
              <w:bidi w:val="0"/>
              <w:spacing w:before="0" w:after="283"/>
              <w:jc w:val="left"/>
              <w:rPr/>
            </w:pPr>
            <w:r>
              <w:rPr/>
              <w:t>September 14, 2026</w:t>
            </w:r>
          </w:p>
        </w:tc>
      </w:tr>
    </w:tbl>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23" w:name="d49930dexfilingfees.htm"/>
      <w:bookmarkStart w:id="24" w:name="ksd49930dexfilingfees"/>
      <w:bookmarkStart w:id="25" w:name="d49930dexfilingfees.htm"/>
      <w:bookmarkStart w:id="26" w:name="ksd49930dexfilingfees"/>
      <w:bookmarkEnd w:id="25"/>
      <w:bookmarkEnd w:id="26"/>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Tyra Biosciences,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7" w:name="MaxAggtOfferingPrice"/>
            <w:bookmarkEnd w:id="27"/>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5"/>
        <w:gridCol w:w="8708"/>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The amount registered includes rights to acquire common stock or preferred stock of Tyra Biosciences, Inc. (the "Registrant") under any shareholder rights plan then in effect, if applicable under the terms of any such plan. 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 In accordance with Rules 456(b) and 457(r) under the Securities Act of 1933, as amended, the Registrant is deferring payment of the entire registration fee.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3" w:type="dxa"/>
            <w:gridSpan w:val="2"/>
            <w:tcBorders/>
            <w:vAlign w:val="center"/>
          </w:tcPr>
          <w:p>
            <w:pPr>
              <w:pStyle w:val="TableContents"/>
              <w:bidi w:val="0"/>
              <w:spacing w:before="0" w:after="283"/>
              <w:jc w:val="left"/>
              <w:rPr/>
            </w:pPr>
            <w:r>
              <w:rPr/>
              <w:t xml:space="preserve">See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63127/000119312526085490/tyra-20251231.htm" TargetMode="External"/><Relationship Id="rId4" Type="http://schemas.openxmlformats.org/officeDocument/2006/relationships/hyperlink" Target="http://www.sec.gov/Archives/edgar/data/../../../ix?doc=/Archives/edgar/data/1863127/000119312526160360/d33035ddef14a.htm" TargetMode="External"/><Relationship Id="rId5" Type="http://schemas.openxmlformats.org/officeDocument/2006/relationships/hyperlink" Target="http://www.sec.gov/Archives/edgar/data/../../../ix?doc=/Archives/edgar/data/1863127/000119312526220645/tyra-20260331.htm" TargetMode="External"/><Relationship Id="rId6" Type="http://schemas.openxmlformats.org/officeDocument/2006/relationships/hyperlink" Target="http://www.sec.gov/Archives/edgar/data/../../../ix?doc=/Archives/edgar/data/1863127/000119312526332995/tyra-20260630.htm" TargetMode="External"/><Relationship Id="rId7" Type="http://schemas.openxmlformats.org/officeDocument/2006/relationships/hyperlink" Target="http://www.sec.gov/Archives/edgar/data/../../../ix?doc=/Archives/edgar/data/1863127/000119312526091880/d48655d8k.htm" TargetMode="External"/><Relationship Id="rId8" Type="http://schemas.openxmlformats.org/officeDocument/2006/relationships/hyperlink" Target="http://www.sec.gov/Archives/edgar/data/../../../ix?doc=/Archives/edgar/data/1863127/000119312526140027/d136343d8k.htm" TargetMode="External"/><Relationship Id="rId9" Type="http://schemas.openxmlformats.org/officeDocument/2006/relationships/hyperlink" Target="http://www.sec.gov/Archives/edgar/data/../../../ix?doc=/Archives/edgar/data/1863127/000119312526160347/d17006d8k.htm" TargetMode="External"/><Relationship Id="rId10" Type="http://schemas.openxmlformats.org/officeDocument/2006/relationships/hyperlink" Target="http://www.sec.gov/Archives/edgar/data/../../../ix?doc=/Archives/edgar/data/1863127/000119312526253435/d33725d8k.htm" TargetMode="External"/><Relationship Id="rId11" Type="http://schemas.openxmlformats.org/officeDocument/2006/relationships/hyperlink" Target="http://www.sec.gov/Archives/edgar/data/../../../ix?doc=/Archives/edgar/data/1863127/000119312526385886/d167841d8k.htm" TargetMode="External"/><Relationship Id="rId12" Type="http://schemas.openxmlformats.org/officeDocument/2006/relationships/hyperlink" Target="http://www.sec.gov/Archives/edgar/data/1863127/000119312521270173/d213200d8a12b.htm" TargetMode="External"/><Relationship Id="rId13" Type="http://schemas.openxmlformats.org/officeDocument/2006/relationships/hyperlink" Target="http://www.sec.gov/Archives/edgar/data/1863127/000095017022002814/tyra-ex4_3.htm" TargetMode="External"/><Relationship Id="rId14" Type="http://schemas.openxmlformats.org/officeDocument/2006/relationships/hyperlink" Target="http://www.sec.gov/Archives/edgar/data/1863127/000095017023009181/tyra-ex3_1.htm" TargetMode="External"/><Relationship Id="rId15" Type="http://schemas.openxmlformats.org/officeDocument/2006/relationships/hyperlink" Target="http://www.sec.gov/Archives/edgar/data/1863127/000119312524151705/d807421dex31.htm" TargetMode="External"/><Relationship Id="rId16" Type="http://schemas.openxmlformats.org/officeDocument/2006/relationships/hyperlink" Target="http://www.sec.gov/Archives/edgar/data/1863127/000119312523264152/d537796dex31.htm" TargetMode="External"/><Relationship Id="rId17" Type="http://schemas.openxmlformats.org/officeDocument/2006/relationships/hyperlink" Target="http://www.sec.gov/Archives/edgar/data/1863127/000119312521252729/d189651dex41.htm" TargetMode="External"/><Relationship Id="rId18" Type="http://schemas.openxmlformats.org/officeDocument/2006/relationships/hyperlink" Target="http://www.sec.gov/Archives/edgar/data/1863127/000119312524023367/d620082dex41.htm" TargetMode="External"/><Relationship Id="rId19" Type="http://schemas.openxmlformats.org/officeDocument/2006/relationships/hyperlink" Target="http://www.sec.gov/Archives/edgar/data/1863127/000119312524239650/d814860dex41.htm" TargetMode="External"/><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97</Pages>
  <Words>42436</Words>
  <Characters>218691</Characters>
  <CharactersWithSpaces>261682</CharactersWithSpaces>
  <Paragraphs>2829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