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
          <w:szCs w:val="3"/>
          <w:b w:val="1"/>
          <w:bCs w:val="1"/>
          <w:color w:val="auto"/>
        </w:rPr>
        <w:drawing>
          <wp:anchor simplePos="0" relativeHeight="251657728" behindDoc="1" locked="0" layoutInCell="0" allowOverlap="1">
            <wp:simplePos x="0" y="0"/>
            <wp:positionH relativeFrom="page">
              <wp:posOffset>1315085</wp:posOffset>
            </wp:positionH>
            <wp:positionV relativeFrom="page">
              <wp:posOffset>478155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492125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l</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55245</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66675</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6" w:lineRule="exact"/>
        <w:rPr>
          <w:sz w:val="24"/>
          <w:szCs w:val="24"/>
          <w:color w:val="auto"/>
        </w:rPr>
      </w:pPr>
    </w:p>
    <w:p>
      <w:pPr>
        <w:jc w:val="center"/>
        <w:ind w:left="2800" w:right="759" w:hanging="2159"/>
        <w:spacing w:after="0" w:line="344" w:lineRule="auto"/>
        <w:tabs>
          <w:tab w:leader="none" w:pos="952"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4"/>
          <w:szCs w:val="14"/>
          <w:color w:val="auto"/>
          <w:highlight w:val="black"/>
        </w:rPr>
      </w:pP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65405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TYRA BIOSCIENCES,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53975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ectPr>
          <w:pgSz w:w="11900" w:h="16838" w:orient="portrait"/>
          <w:cols w:equalWidth="0" w:num="1">
            <w:col w:w="9019"/>
          </w:cols>
          <w:pgMar w:left="1440" w:top="790" w:right="1440" w:bottom="1440" w:gutter="0" w:footer="0" w:header="0"/>
        </w:sectPr>
      </w:pPr>
    </w:p>
    <w:p>
      <w:pPr>
        <w:spacing w:after="0" w:line="15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83-1476348</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4" w:lineRule="exact"/>
        <w:rPr>
          <w:sz w:val="24"/>
          <w:szCs w:val="24"/>
          <w:color w:val="auto"/>
        </w:rPr>
      </w:pPr>
    </w:p>
    <w:p>
      <w:pPr>
        <w:sectPr>
          <w:pgSz w:w="11900" w:h="16838" w:orient="portrait"/>
          <w:cols w:equalWidth="0" w:num="2">
            <w:col w:w="5320" w:space="720"/>
            <w:col w:w="2979"/>
          </w:cols>
          <w:pgMar w:left="1440" w:top="790" w:right="1440" w:bottom="1440" w:gutter="0" w:footer="0" w:header="0"/>
          <w:type w:val="continuous"/>
        </w:sectPr>
      </w:pPr>
    </w:p>
    <w:tbl>
      <w:tblPr>
        <w:tblLayout w:type="fixed"/>
        <w:tblInd w:w="1740" w:type="dxa"/>
        <w:tblCellMar>
          <w:top w:w="0" w:type="dxa"/>
          <w:left w:w="0" w:type="dxa"/>
          <w:bottom w:w="0" w:type="dxa"/>
          <w:right w:w="0" w:type="dxa"/>
        </w:tblCellMar>
      </w:tblPr>
      <w:tr>
        <w:trPr>
          <w:trHeight w:val="17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4"/>
                <w:szCs w:val="14"/>
                <w:b w:val="1"/>
                <w:bCs w:val="1"/>
                <w:color w:val="auto"/>
              </w:rPr>
              <w:t>2656 State Street</w:t>
            </w:r>
          </w:p>
        </w:tc>
        <w:tc>
          <w:tcPr>
            <w:tcW w:w="1880" w:type="dxa"/>
            <w:vAlign w:val="bottom"/>
          </w:tcPr>
          <w:p>
            <w:pPr>
              <w:spacing w:after="0"/>
              <w:rPr>
                <w:sz w:val="15"/>
                <w:szCs w:val="15"/>
                <w:color w:val="auto"/>
              </w:rPr>
            </w:pPr>
          </w:p>
        </w:tc>
      </w:tr>
      <w:tr>
        <w:trPr>
          <w:trHeight w:val="19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4"/>
                <w:szCs w:val="14"/>
                <w:b w:val="1"/>
                <w:bCs w:val="1"/>
                <w:color w:val="auto"/>
              </w:rPr>
              <w:t>Carlsbad, California</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92008</w:t>
            </w:r>
          </w:p>
        </w:tc>
      </w:tr>
      <w:tr>
        <w:trPr>
          <w:trHeight w:val="139"/>
        </w:trPr>
        <w:tc>
          <w:tcPr>
            <w:tcW w:w="3060" w:type="dxa"/>
            <w:vAlign w:val="bottom"/>
          </w:tcPr>
          <w:p>
            <w:pPr>
              <w:jc w:val="center"/>
              <w:ind w:right="1335"/>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39"/>
              <w:spacing w:after="0"/>
              <w:rPr>
                <w:sz w:val="20"/>
                <w:szCs w:val="20"/>
                <w:color w:val="auto"/>
              </w:rPr>
            </w:pPr>
            <w:r>
              <w:rPr>
                <w:rFonts w:ascii="Times New Roman" w:cs="Times New Roman" w:eastAsia="Times New Roman" w:hAnsi="Times New Roman"/>
                <w:sz w:val="10"/>
                <w:szCs w:val="10"/>
                <w:b w:val="1"/>
                <w:bCs w:val="1"/>
                <w:color w:val="auto"/>
              </w:rPr>
              <w:t>(Zip Code)</w:t>
            </w:r>
          </w:p>
        </w:tc>
      </w:tr>
    </w:tbl>
    <w:p>
      <w:pPr>
        <w:spacing w:after="0" w:line="39"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72390</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Common Stock, $0.0001 par value per share</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TYRA</w:t>
            </w:r>
          </w:p>
        </w:tc>
        <w:tc>
          <w:tcPr>
            <w:tcW w:w="8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The Nasdaq Global Select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ind w:left="640" w:right="71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jc w:val="both"/>
        <w:ind w:left="640" w:right="75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640" w:right="939" w:firstLine="413"/>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7"/>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7"/>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14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50" w:lineRule="exact"/>
        <w:rPr>
          <w:sz w:val="24"/>
          <w:szCs w:val="24"/>
          <w:color w:val="auto"/>
        </w:rPr>
      </w:pPr>
    </w:p>
    <w:p>
      <w:pPr>
        <w:jc w:val="both"/>
        <w:ind w:left="640" w:right="759" w:firstLine="413"/>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040" w:right="1119"/>
        <w:spacing w:after="0" w:line="20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August 5, 2024, the registrant had 52,806,137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92075</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585470</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790" w:right="1440" w:bottom="144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0"/>
        </w:trPr>
        <w:tc>
          <w:tcPr>
            <w:tcW w:w="78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Statements of Operations and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Statements of Stockholders'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the Condensed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940" w:type="dxa"/>
            <w:vAlign w:val="bottom"/>
            <w:tcBorders>
              <w:left w:val="single" w:sz="8" w:color="0000FF"/>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vMerge w:val="continue"/>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20" w:type="dxa"/>
            <w:vAlign w:val="bottom"/>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Condensed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par value data)</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8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50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31"/>
        </w:trPr>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99,490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58,006</w:t>
            </w: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274,306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145,463</w:t>
            </w:r>
          </w:p>
        </w:tc>
        <w:tc>
          <w:tcPr>
            <w:tcW w:w="80" w:type="dxa"/>
            <w:vAlign w:val="bottom"/>
          </w:tcPr>
          <w:p>
            <w:pPr>
              <w:spacing w:after="0"/>
              <w:rPr>
                <w:sz w:val="16"/>
                <w:szCs w:val="16"/>
                <w:color w:val="auto"/>
              </w:rPr>
            </w:pPr>
          </w:p>
        </w:tc>
      </w:tr>
      <w:tr>
        <w:trPr>
          <w:trHeight w:val="194"/>
        </w:trPr>
        <w:tc>
          <w:tcPr>
            <w:tcW w:w="5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8,202</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378,574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211,671</w:t>
            </w:r>
          </w:p>
        </w:tc>
        <w:tc>
          <w:tcPr>
            <w:tcW w:w="80" w:type="dxa"/>
            <w:vAlign w:val="bottom"/>
          </w:tcPr>
          <w:p>
            <w:pPr>
              <w:spacing w:after="0"/>
              <w:rPr>
                <w:sz w:val="16"/>
                <w:szCs w:val="16"/>
                <w:color w:val="auto"/>
              </w:rPr>
            </w:pPr>
          </w:p>
        </w:tc>
      </w:tr>
      <w:tr>
        <w:trPr>
          <w:trHeight w:val="19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tcPr>
          <w:p>
            <w:pPr>
              <w:spacing w:after="0"/>
              <w:rPr>
                <w:sz w:val="16"/>
                <w:szCs w:val="16"/>
                <w:color w:val="auto"/>
              </w:rPr>
            </w:pPr>
          </w:p>
        </w:tc>
      </w:tr>
      <w:tr>
        <w:trPr>
          <w:trHeight w:val="19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80" w:type="dxa"/>
            <w:vAlign w:val="bottom"/>
          </w:tcPr>
          <w:p>
            <w:pPr>
              <w:spacing w:after="0"/>
              <w:rPr>
                <w:sz w:val="16"/>
                <w:szCs w:val="16"/>
                <w:color w:val="auto"/>
              </w:rPr>
            </w:pPr>
          </w:p>
        </w:tc>
      </w:tr>
      <w:tr>
        <w:trPr>
          <w:trHeight w:val="2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392,461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225,857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2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80" w:type="dxa"/>
            <w:vAlign w:val="bottom"/>
          </w:tcPr>
          <w:p>
            <w:pPr>
              <w:spacing w:after="0"/>
              <w:rPr>
                <w:sz w:val="16"/>
                <w:szCs w:val="16"/>
                <w:color w:val="auto"/>
              </w:rPr>
            </w:pPr>
          </w:p>
        </w:tc>
      </w:tr>
      <w:tr>
        <w:trPr>
          <w:trHeight w:val="198"/>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80" w:type="dxa"/>
            <w:vAlign w:val="bottom"/>
          </w:tcPr>
          <w:p>
            <w:pPr>
              <w:spacing w:after="0"/>
              <w:rPr>
                <w:sz w:val="16"/>
                <w:szCs w:val="16"/>
                <w:color w:val="auto"/>
              </w:rPr>
            </w:pPr>
          </w:p>
        </w:tc>
      </w:tr>
      <w:tr>
        <w:trPr>
          <w:trHeight w:val="18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80" w:type="dxa"/>
            <w:vAlign w:val="bottom"/>
            <w:shd w:val="clear" w:color="auto" w:fill="CFF0FC"/>
          </w:tcPr>
          <w:p>
            <w:pPr>
              <w:spacing w:after="0"/>
              <w:rPr>
                <w:sz w:val="16"/>
                <w:szCs w:val="16"/>
                <w:color w:val="auto"/>
              </w:rPr>
            </w:pPr>
          </w:p>
        </w:tc>
      </w:tr>
      <w:tr>
        <w:trPr>
          <w:trHeight w:val="19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80" w:type="dxa"/>
            <w:vAlign w:val="bottom"/>
          </w:tcPr>
          <w:p>
            <w:pPr>
              <w:spacing w:after="0"/>
              <w:rPr>
                <w:sz w:val="16"/>
                <w:szCs w:val="16"/>
                <w:color w:val="auto"/>
              </w:rPr>
            </w:pPr>
          </w:p>
        </w:tc>
      </w:tr>
      <w:tr>
        <w:trPr>
          <w:trHeight w:val="194"/>
        </w:trPr>
        <w:tc>
          <w:tcPr>
            <w:tcW w:w="5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21,595</w:t>
            </w:r>
          </w:p>
        </w:tc>
        <w:tc>
          <w:tcPr>
            <w:tcW w:w="80" w:type="dxa"/>
            <w:vAlign w:val="bottom"/>
          </w:tcPr>
          <w:p>
            <w:pPr>
              <w:spacing w:after="0"/>
              <w:rPr>
                <w:sz w:val="16"/>
                <w:szCs w:val="16"/>
                <w:color w:val="auto"/>
              </w:rPr>
            </w:pPr>
          </w:p>
        </w:tc>
      </w:tr>
      <w:tr>
        <w:trPr>
          <w:trHeight w:val="19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 $0.0001 par value; 50,000,000 shares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authorized at June 30, 2024 and December 31, 2023;</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no shares issued and outstanding at June 30, 2024 and</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$0.0001 par value; 500,000,000 shares authorized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at June 30, 2024 and December 31, 2023; 52,767,937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43,099,055 shares issued at June 30, 2024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2023, respectively, and 52,736,458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43,024,634 shares outstanding at June 30, 2024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r>
      <w:tr>
        <w:trPr>
          <w:trHeight w:val="200"/>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577,946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368,707</w:t>
            </w:r>
          </w:p>
        </w:tc>
        <w:tc>
          <w:tcPr>
            <w:tcW w:w="80" w:type="dxa"/>
            <w:vAlign w:val="bottom"/>
            <w:shd w:val="clear" w:color="auto" w:fill="CFF0FC"/>
          </w:tcPr>
          <w:p>
            <w:pPr>
              <w:spacing w:after="0"/>
              <w:rPr>
                <w:sz w:val="17"/>
                <w:szCs w:val="17"/>
                <w:color w:val="auto"/>
              </w:rPr>
            </w:pPr>
          </w:p>
        </w:tc>
      </w:tr>
      <w:tr>
        <w:trPr>
          <w:trHeight w:val="19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r>
      <w:tr>
        <w:trPr>
          <w:trHeight w:val="194"/>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(201,724 )</w:t>
            </w:r>
          </w:p>
        </w:tc>
        <w:tc>
          <w:tcPr>
            <w:tcW w:w="1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(164,830 )</w:t>
            </w:r>
          </w:p>
        </w:tc>
      </w:tr>
      <w:tr>
        <w:trPr>
          <w:trHeight w:val="184"/>
        </w:trPr>
        <w:tc>
          <w:tcPr>
            <w:tcW w:w="5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376,043</w:t>
            </w: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204,262</w:t>
            </w:r>
          </w:p>
        </w:tc>
        <w:tc>
          <w:tcPr>
            <w:tcW w:w="80" w:type="dxa"/>
            <w:vAlign w:val="bottom"/>
            <w:tcBorders>
              <w:top w:val="single" w:sz="8" w:color="CFF0FC"/>
            </w:tcBorders>
          </w:tcPr>
          <w:p>
            <w:pPr>
              <w:spacing w:after="0"/>
              <w:rPr>
                <w:sz w:val="16"/>
                <w:szCs w:val="16"/>
                <w:color w:val="auto"/>
              </w:rPr>
            </w:pPr>
          </w:p>
        </w:tc>
      </w:tr>
      <w:tr>
        <w:trPr>
          <w:trHeight w:val="2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392,461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225,857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-3907155</wp:posOffset>
            </wp:positionV>
            <wp:extent cx="476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-3907155</wp:posOffset>
            </wp:positionV>
            <wp:extent cx="47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-3155950</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-3141980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-3155950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-3141980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-2144395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-2144395</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-19685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-6350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377825</wp:posOffset>
            </wp:positionV>
            <wp:extent cx="494474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23,532</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45,853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(23,532 )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(16,014 )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(45,853 )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(30,348 )</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(18,702 )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(13,272 )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(36,894 )</w:t>
            </w:r>
          </w:p>
        </w:tc>
        <w:tc>
          <w:tcPr>
            <w:tcW w:w="2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(25,152 )</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(178 )</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(565 )</w:t>
            </w:r>
          </w:p>
        </w:tc>
        <w:tc>
          <w:tcPr>
            <w:tcW w:w="20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available-for-sale, net</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(18,880 )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(13,272 )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(37,459 )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(25,152 )</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(0.32 )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(0.31 )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(0.67 )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(0.59 )</w:t>
            </w:r>
          </w:p>
        </w:tc>
        <w:tc>
          <w:tcPr>
            <w:tcW w:w="0" w:type="dxa"/>
            <w:vAlign w:val="bottom"/>
          </w:tcPr>
          <w:p>
            <w:pPr>
              <w:spacing w:after="0"/>
              <w:rPr>
                <w:sz w:val="1"/>
                <w:szCs w:val="1"/>
                <w:color w:val="auto"/>
              </w:rPr>
            </w:pPr>
          </w:p>
        </w:tc>
      </w:tr>
      <w:tr>
        <w:trPr>
          <w:trHeight w:val="17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shares used to compute net loss</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 share, basic and diluted</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58,668,712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42,589,213</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55,448,823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42,492,377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-1502410</wp:posOffset>
            </wp:positionV>
            <wp:extent cx="546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-1502410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-1502410</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-1502410</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-996950</wp:posOffset>
            </wp:positionV>
            <wp:extent cx="5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-996950</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-996950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-996950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-737235</wp:posOffset>
            </wp:positionV>
            <wp:extent cx="546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-737235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-737235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-737235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-375285</wp:posOffset>
            </wp:positionV>
            <wp:extent cx="546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-361315</wp:posOffset>
            </wp:positionV>
            <wp:extent cx="546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-375285</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-361315</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-375285</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-361315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-375285</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-361315</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377825</wp:posOffset>
            </wp:positionV>
            <wp:extent cx="494474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311"/>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11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 Gain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42,353,550</w:t>
            </w:r>
          </w:p>
        </w:tc>
        <w:tc>
          <w:tcPr>
            <w:tcW w:w="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353,521</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(95,696 )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129,669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52,155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(11,880 )</w:t>
            </w: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(11,880 )</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42,535,374</w:t>
            </w:r>
          </w:p>
        </w:tc>
        <w:tc>
          <w:tcPr>
            <w:tcW w:w="2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356,362</w:t>
            </w:r>
          </w:p>
        </w:tc>
        <w:tc>
          <w:tcPr>
            <w:tcW w:w="2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(107,576 )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230,502</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(13,272 )</w:t>
            </w:r>
          </w:p>
        </w:tc>
        <w:tc>
          <w:tcPr>
            <w:tcW w:w="1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(13,272 )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42,817,233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359,416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(120,848 )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238,572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2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-1611630</wp:posOffset>
            </wp:positionV>
            <wp:extent cx="685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-1611630</wp:posOffset>
            </wp:positionV>
            <wp:extent cx="685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-1611630</wp:posOffset>
            </wp:positionV>
            <wp:extent cx="685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-1611630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-1611630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-1611630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-635000</wp:posOffset>
            </wp:positionV>
            <wp:extent cx="685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-621030</wp:posOffset>
            </wp:positionV>
            <wp:extent cx="685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-635000</wp:posOffset>
            </wp:positionV>
            <wp:extent cx="685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-621030</wp:posOffset>
            </wp:positionV>
            <wp:extent cx="685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-635000</wp:posOffset>
            </wp:positionV>
            <wp:extent cx="685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-621030</wp:posOffset>
            </wp:positionV>
            <wp:extent cx="685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-635000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-621030</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-635000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-621030</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-635000</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-621030</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-26035</wp:posOffset>
            </wp:positionV>
            <wp:extent cx="323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-26035</wp:posOffset>
            </wp:positionV>
            <wp:extent cx="3238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311"/>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130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 Gain</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2"/>
                <w:szCs w:val="1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43,024,634</w:t>
            </w:r>
          </w:p>
        </w:tc>
        <w:tc>
          <w:tcPr>
            <w:tcW w:w="2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368,707</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(164,830 )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Private Placement, net of</w:t>
            </w: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costs of $0.2 million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9,286,023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120,557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issuance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$0.2 million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135,972</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available-for-sale,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(387 )</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(387 )</w:t>
            </w: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(18,192 )</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(18,192 )</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52,474,533</w:t>
            </w:r>
          </w:p>
        </w:tc>
        <w:tc>
          <w:tcPr>
            <w:tcW w:w="2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572,902</w:t>
            </w:r>
          </w:p>
        </w:tc>
        <w:tc>
          <w:tcPr>
            <w:tcW w:w="22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(183,022 )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benefit 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246,887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shares of common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subject to repurchase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available-for-sale,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(178 )</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(178 )</w:t>
            </w: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(18,702 )</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(18,702 )</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52,736,458</w:t>
            </w:r>
          </w:p>
        </w:tc>
        <w:tc>
          <w:tcPr>
            <w:tcW w:w="2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577,946</w:t>
            </w:r>
          </w:p>
        </w:tc>
        <w:tc>
          <w:tcPr>
            <w:tcW w:w="22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(201,724 )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-1229360</wp:posOffset>
            </wp:positionV>
            <wp:extent cx="6858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-1229360</wp:posOffset>
            </wp:positionV>
            <wp:extent cx="685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-1229360</wp:posOffset>
            </wp:positionV>
            <wp:extent cx="685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-1229360</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-1229360</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-1229360</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-149860</wp:posOffset>
            </wp:positionV>
            <wp:extent cx="685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-149860</wp:posOffset>
            </wp:positionV>
            <wp:extent cx="6858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-149860</wp:posOffset>
            </wp:positionV>
            <wp:extent cx="685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-149860</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-149860</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-149860</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377825</wp:posOffset>
            </wp:positionV>
            <wp:extent cx="658431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87" w:right="7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(unaudited)</w:t>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(in thousands)</w:t>
      </w:r>
    </w:p>
    <w:p>
      <w:pPr>
        <w:spacing w:after="0" w:line="197"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6"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46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(36,894 )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(25,152 )</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Accretion on marketable securities, net</w:t>
            </w:r>
          </w:p>
        </w:tc>
        <w:tc>
          <w:tcPr>
            <w:tcW w:w="220" w:type="dxa"/>
            <w:vAlign w:val="bottom"/>
          </w:tcPr>
          <w:p>
            <w:pPr>
              <w:spacing w:after="0"/>
              <w:rPr>
                <w:sz w:val="16"/>
                <w:szCs w:val="16"/>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(3,096 )</w:t>
            </w:r>
          </w:p>
        </w:tc>
        <w:tc>
          <w:tcPr>
            <w:tcW w:w="20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(4,964 )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0" w:type="dxa"/>
            <w:vAlign w:val="bottom"/>
          </w:tcPr>
          <w:p>
            <w:pPr>
              <w:spacing w:after="0"/>
              <w:rPr>
                <w:sz w:val="1"/>
                <w:szCs w:val="1"/>
                <w:color w:val="auto"/>
              </w:rPr>
            </w:pPr>
          </w:p>
        </w:tc>
      </w:tr>
      <w:tr>
        <w:trPr>
          <w:trHeight w:val="190"/>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Right-of-use assets and lease liabilities, net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(32,286 )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(19,462 )</w:t>
            </w:r>
          </w:p>
        </w:tc>
        <w:tc>
          <w:tcPr>
            <w:tcW w:w="0" w:type="dxa"/>
            <w:vAlign w:val="bottom"/>
          </w:tcPr>
          <w:p>
            <w:pPr>
              <w:spacing w:after="0"/>
              <w:rPr>
                <w:sz w:val="1"/>
                <w:szCs w:val="1"/>
                <w:color w:val="auto"/>
              </w:rPr>
            </w:pPr>
          </w:p>
        </w:tc>
      </w:tr>
      <w:tr>
        <w:trPr>
          <w:trHeight w:val="185"/>
        </w:trPr>
        <w:tc>
          <w:tcPr>
            <w:tcW w:w="4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(189,197 )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(606 )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8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(126,918</w:t>
            </w:r>
          </w:p>
        </w:tc>
        <w:tc>
          <w:tcPr>
            <w:tcW w:w="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issuances of common stock under benefit plans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from</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Private Placement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issuance costs for common stock and pre-funded warrants from</w:t>
            </w:r>
          </w:p>
        </w:tc>
        <w:tc>
          <w:tcPr>
            <w:tcW w:w="220" w:type="dxa"/>
            <w:vAlign w:val="bottom"/>
          </w:tcPr>
          <w:p>
            <w:pPr>
              <w:spacing w:after="0"/>
              <w:rPr>
                <w:sz w:val="14"/>
                <w:szCs w:val="14"/>
                <w:color w:val="auto"/>
              </w:rPr>
            </w:pP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(420 )</w:t>
            </w:r>
          </w:p>
        </w:tc>
        <w:tc>
          <w:tcPr>
            <w:tcW w:w="200" w:type="dxa"/>
            <w:vAlign w:val="bottom"/>
          </w:tcPr>
          <w:p>
            <w:pPr>
              <w:spacing w:after="0"/>
              <w:rPr>
                <w:sz w:val="14"/>
                <w:szCs w:val="14"/>
                <w:color w:val="auto"/>
              </w:rPr>
            </w:pP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200,688</w:t>
            </w: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increase (decrease) for the period</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(18,800 )</w:t>
            </w:r>
          </w:p>
        </w:tc>
        <w:tc>
          <w:tcPr>
            <w:tcW w:w="0" w:type="dxa"/>
            <w:vAlign w:val="bottom"/>
          </w:tcPr>
          <w:p>
            <w:pPr>
              <w:spacing w:after="0"/>
              <w:rPr>
                <w:sz w:val="1"/>
                <w:szCs w:val="1"/>
                <w:color w:val="auto"/>
              </w:rPr>
            </w:pPr>
          </w:p>
        </w:tc>
      </w:tr>
      <w:tr>
        <w:trPr>
          <w:trHeight w:val="194"/>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59,006</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252,213</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100,490</w:t>
            </w:r>
          </w:p>
        </w:tc>
        <w:tc>
          <w:tcPr>
            <w:tcW w:w="1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4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balance sheet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99,490</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100,490</w:t>
            </w:r>
          </w:p>
        </w:tc>
        <w:tc>
          <w:tcPr>
            <w:tcW w:w="1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liability</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Vesting of options early exercised subject to repurchase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Receivable from exercise of stock options included in prepaid expenses,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current assets and other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-3448685</wp:posOffset>
            </wp:positionV>
            <wp:extent cx="412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-3448685</wp:posOffset>
            </wp:positionV>
            <wp:extent cx="412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-2962910</wp:posOffset>
            </wp:positionV>
            <wp:extent cx="66675" cy="161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-2962910</wp:posOffset>
            </wp:positionV>
            <wp:extent cx="66675" cy="161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-1979930</wp:posOffset>
            </wp:positionV>
            <wp:extent cx="412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-1979930</wp:posOffset>
            </wp:positionV>
            <wp:extent cx="412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-1727200</wp:posOffset>
            </wp:positionV>
            <wp:extent cx="412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-1727200</wp:posOffset>
            </wp:positionV>
            <wp:extent cx="412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-1098550</wp:posOffset>
            </wp:positionV>
            <wp:extent cx="412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-1098550</wp:posOffset>
            </wp:positionV>
            <wp:extent cx="412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condensed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(unaudited)</w:t>
      </w:r>
    </w:p>
    <w:p>
      <w:pPr>
        <w:spacing w:after="0" w:line="1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1. Organization and Basis of Presentation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7" w:lineRule="exact"/>
        <w:rPr>
          <w:sz w:val="20"/>
          <w:szCs w:val="20"/>
          <w:color w:val="auto"/>
        </w:rPr>
      </w:pPr>
    </w:p>
    <w:p>
      <w:pPr>
        <w:ind w:left="1140" w:right="1159" w:firstLine="517"/>
        <w:spacing w:after="0" w:line="262" w:lineRule="auto"/>
        <w:rPr>
          <w:sz w:val="20"/>
          <w:szCs w:val="20"/>
          <w:color w:val="auto"/>
        </w:rPr>
      </w:pPr>
      <w:r>
        <w:rPr>
          <w:rFonts w:ascii="Times New Roman" w:cs="Times New Roman" w:eastAsia="Times New Roman" w:hAnsi="Times New Roman"/>
          <w:sz w:val="14"/>
          <w:szCs w:val="14"/>
          <w:color w:val="auto"/>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its accelerated small molecule drug discovery engine to develop therapies in targeted oncology and genetically defined conditions.</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1140" w:right="1179" w:firstLine="517"/>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six months ended June 30, 2024 and 2023 are not necessarily indicative of the results expected for the full fiscal year or any subsequent interim period. The condensed balance sheet at June 30, 2024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2023.</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85" w:lineRule="exact"/>
        <w:rPr>
          <w:sz w:val="20"/>
          <w:szCs w:val="20"/>
          <w:color w:val="auto"/>
        </w:rPr>
      </w:pPr>
    </w:p>
    <w:p>
      <w:pPr>
        <w:ind w:left="1140" w:right="1519" w:firstLine="517"/>
        <w:spacing w:after="0" w:line="275" w:lineRule="auto"/>
        <w:rPr>
          <w:sz w:val="20"/>
          <w:szCs w:val="20"/>
          <w:color w:val="auto"/>
        </w:rPr>
      </w:pPr>
      <w:r>
        <w:rPr>
          <w:rFonts w:ascii="Times New Roman" w:cs="Times New Roman" w:eastAsia="Times New Roman" w:hAnsi="Times New Roman"/>
          <w:sz w:val="14"/>
          <w:szCs w:val="14"/>
          <w:color w:val="auto"/>
        </w:rPr>
        <w:t>During the three and six months ended June 30, 2024, there have been no changes to the Company's significant accounting policies as described in the Company’s Annual Report on Form 10-K for the year ended December 31, 2023.</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7" w:lineRule="exact"/>
        <w:rPr>
          <w:sz w:val="20"/>
          <w:szCs w:val="20"/>
          <w:color w:val="auto"/>
        </w:rPr>
      </w:pPr>
    </w:p>
    <w:p>
      <w:pPr>
        <w:ind w:left="1140" w:right="1239" w:firstLine="517"/>
        <w:spacing w:after="0" w:line="261" w:lineRule="auto"/>
        <w:rPr>
          <w:sz w:val="20"/>
          <w:szCs w:val="20"/>
          <w:color w:val="auto"/>
        </w:rPr>
      </w:pPr>
      <w:r>
        <w:rPr>
          <w:rFonts w:ascii="Times New Roman" w:cs="Times New Roman" w:eastAsia="Times New Roman" w:hAnsi="Times New Roman"/>
          <w:sz w:val="14"/>
          <w:szCs w:val="14"/>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147" w:lineRule="exact"/>
        <w:rPr>
          <w:sz w:val="20"/>
          <w:szCs w:val="20"/>
          <w:color w:val="auto"/>
        </w:rPr>
      </w:pPr>
    </w:p>
    <w:p>
      <w:pPr>
        <w:ind w:left="1140" w:right="1599" w:firstLine="517"/>
        <w:spacing w:after="0" w:line="296" w:lineRule="auto"/>
        <w:rPr>
          <w:sz w:val="20"/>
          <w:szCs w:val="20"/>
          <w:color w:val="auto"/>
        </w:rPr>
      </w:pPr>
      <w:r>
        <w:rPr>
          <w:rFonts w:ascii="Times New Roman" w:cs="Times New Roman" w:eastAsia="Times New Roman" w:hAnsi="Times New Roman"/>
          <w:sz w:val="14"/>
          <w:szCs w:val="14"/>
          <w:b w:val="1"/>
          <w:bCs w:val="1"/>
          <w:color w:val="auto"/>
        </w:rPr>
        <w:t>Level 1</w:t>
      </w:r>
      <w:r>
        <w:rPr>
          <w:rFonts w:ascii="Times New Roman" w:cs="Times New Roman" w:eastAsia="Times New Roman" w:hAnsi="Times New Roman"/>
          <w:sz w:val="14"/>
          <w:szCs w:val="14"/>
          <w:color w:val="auto"/>
        </w:rPr>
        <w:t>—Unadjusted quoted prices in active markets that are accessible at the measurement date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identical, unrestricted assets or liabilities.</w:t>
      </w:r>
    </w:p>
    <w:p>
      <w:pPr>
        <w:spacing w:after="0" w:line="119" w:lineRule="exact"/>
        <w:rPr>
          <w:sz w:val="20"/>
          <w:szCs w:val="20"/>
          <w:color w:val="auto"/>
        </w:rPr>
      </w:pPr>
    </w:p>
    <w:p>
      <w:pPr>
        <w:ind w:left="1140" w:right="1199" w:firstLine="517"/>
        <w:spacing w:after="0" w:line="276" w:lineRule="auto"/>
        <w:rPr>
          <w:sz w:val="20"/>
          <w:szCs w:val="20"/>
          <w:color w:val="auto"/>
        </w:rPr>
      </w:pPr>
      <w:r>
        <w:rPr>
          <w:rFonts w:ascii="Times New Roman" w:cs="Times New Roman" w:eastAsia="Times New Roman" w:hAnsi="Times New Roman"/>
          <w:sz w:val="14"/>
          <w:szCs w:val="14"/>
          <w:b w:val="1"/>
          <w:bCs w:val="1"/>
          <w:color w:val="auto"/>
        </w:rPr>
        <w:t>Level 2</w:t>
      </w:r>
      <w:r>
        <w:rPr>
          <w:rFonts w:ascii="Times New Roman" w:cs="Times New Roman" w:eastAsia="Times New Roman" w:hAnsi="Times New Roman"/>
          <w:sz w:val="14"/>
          <w:szCs w:val="14"/>
          <w:color w:val="auto"/>
        </w:rPr>
        <w:t>—Quoted prices for similar assets and liabilities in active markets, quoted prices in markets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active, or inputs which are observable, either directly or indirectly, for substantially the full term of the asset or liability.</w:t>
      </w:r>
    </w:p>
    <w:p>
      <w:pPr>
        <w:spacing w:after="0" w:line="133" w:lineRule="exact"/>
        <w:rPr>
          <w:sz w:val="20"/>
          <w:szCs w:val="20"/>
          <w:color w:val="auto"/>
        </w:rPr>
      </w:pPr>
    </w:p>
    <w:p>
      <w:pPr>
        <w:ind w:left="1140" w:right="1639" w:firstLine="517"/>
        <w:spacing w:after="0" w:line="268" w:lineRule="auto"/>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4"/>
          <w:szCs w:val="14"/>
          <w:color w:val="auto"/>
        </w:rPr>
        <w:t>—Prices or valuation techniques that require inputs that are both significant to the fair value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measurement and unobservable (i.e. supported by little or no market activity).</w:t>
      </w: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8" w:name="page9"/>
    <w:bookmarkEnd w:id="8"/>
    <w:p>
      <w:pPr>
        <w:jc w:val="both"/>
        <w:ind w:left="1140" w:right="1319" w:firstLine="517"/>
        <w:spacing w:after="0" w:line="268" w:lineRule="auto"/>
        <w:rPr>
          <w:sz w:val="20"/>
          <w:szCs w:val="20"/>
          <w:color w:val="auto"/>
        </w:rPr>
      </w:pPr>
      <w:r>
        <w:rPr>
          <w:rFonts w:ascii="Times New Roman" w:cs="Times New Roman" w:eastAsia="Times New Roman" w:hAnsi="Times New Roman"/>
          <w:sz w:val="14"/>
          <w:szCs w:val="14"/>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87" w:lineRule="exact"/>
        <w:rPr>
          <w:sz w:val="20"/>
          <w:szCs w:val="20"/>
          <w:color w:val="auto"/>
        </w:rPr>
      </w:pPr>
    </w:p>
    <w:p>
      <w:pPr>
        <w:ind w:left="1140" w:right="1219"/>
        <w:spacing w:after="0" w:line="261" w:lineRule="auto"/>
        <w:rPr>
          <w:sz w:val="20"/>
          <w:szCs w:val="20"/>
          <w:color w:val="auto"/>
        </w:rPr>
      </w:pPr>
      <w:r>
        <w:rPr>
          <w:rFonts w:ascii="Times New Roman" w:cs="Times New Roman" w:eastAsia="Times New Roman" w:hAnsi="Times New Roman"/>
          <w:sz w:val="14"/>
          <w:szCs w:val="14"/>
          <w:color w:val="auto"/>
        </w:rPr>
        <w:t>Marketable securities consist of debt securities of government-sponsored entities.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87" w:lineRule="exact"/>
        <w:rPr>
          <w:sz w:val="20"/>
          <w:szCs w:val="20"/>
          <w:color w:val="auto"/>
        </w:rPr>
      </w:pPr>
    </w:p>
    <w:p>
      <w:pPr>
        <w:jc w:val="both"/>
        <w:ind w:left="1140" w:right="1279" w:firstLine="517"/>
        <w:spacing w:after="0" w:line="275" w:lineRule="auto"/>
        <w:rPr>
          <w:sz w:val="20"/>
          <w:szCs w:val="20"/>
          <w:color w:val="auto"/>
        </w:rPr>
      </w:pPr>
      <w:r>
        <w:rPr>
          <w:rFonts w:ascii="Times New Roman" w:cs="Times New Roman" w:eastAsia="Times New Roman" w:hAnsi="Times New Roman"/>
          <w:sz w:val="14"/>
          <w:szCs w:val="14"/>
          <w:color w:val="auto"/>
        </w:rPr>
        <w:t>Restricted cash is comprised of cash that is restricted as to its withdrawal or use under the terms of certain contractual agreements. Restricted cash as of both June 30, 2024 and December 31, 2023 was $1.0 million, which consisted of collateral for letters of credit related to the Company’s operating leases.</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7" w:lineRule="exact"/>
        <w:rPr>
          <w:sz w:val="20"/>
          <w:szCs w:val="20"/>
          <w:color w:val="auto"/>
        </w:rPr>
      </w:pPr>
    </w:p>
    <w:p>
      <w:pPr>
        <w:ind w:left="1140" w:right="1179" w:firstLine="702"/>
        <w:spacing w:after="0" w:line="260" w:lineRule="auto"/>
        <w:rPr>
          <w:sz w:val="20"/>
          <w:szCs w:val="20"/>
          <w:color w:val="auto"/>
        </w:rPr>
      </w:pPr>
      <w:r>
        <w:rPr>
          <w:rFonts w:ascii="Times New Roman" w:cs="Times New Roman" w:eastAsia="Times New Roman" w:hAnsi="Times New Roman"/>
          <w:sz w:val="14"/>
          <w:szCs w:val="14"/>
          <w:color w:val="auto"/>
        </w:rPr>
        <w:t>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unvested common stock, unvested common stock upon early exercise of stock options, outstanding stock options under the Company’s equity incentive plan, and estimated shares purchasable under the employee stock purchase plan,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w:t>
      </w:r>
    </w:p>
    <w:p>
      <w:pPr>
        <w:spacing w:after="0" w:line="3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87" w:lineRule="exact"/>
        <w:rPr>
          <w:sz w:val="20"/>
          <w:szCs w:val="20"/>
          <w:color w:val="auto"/>
        </w:rPr>
      </w:pPr>
    </w:p>
    <w:p>
      <w:pPr>
        <w:ind w:left="1140" w:right="1499" w:firstLine="517"/>
        <w:spacing w:after="0" w:line="265" w:lineRule="auto"/>
        <w:rPr>
          <w:sz w:val="20"/>
          <w:szCs w:val="20"/>
          <w:color w:val="auto"/>
        </w:rPr>
      </w:pPr>
      <w:r>
        <w:rPr>
          <w:rFonts w:ascii="Times New Roman" w:cs="Times New Roman" w:eastAsia="Times New Roman" w:hAnsi="Times New Roman"/>
          <w:sz w:val="14"/>
          <w:szCs w:val="14"/>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1140" w:right="1239" w:firstLine="517"/>
        <w:spacing w:after="0" w:line="259" w:lineRule="auto"/>
        <w:rPr>
          <w:sz w:val="20"/>
          <w:szCs w:val="20"/>
          <w:color w:val="auto"/>
        </w:rPr>
      </w:pPr>
      <w:r>
        <w:rPr>
          <w:rFonts w:ascii="Times New Roman" w:cs="Times New Roman" w:eastAsia="Times New Roman" w:hAnsi="Times New Roman"/>
          <w:sz w:val="14"/>
          <w:szCs w:val="14"/>
          <w:color w:val="auto"/>
        </w:rPr>
        <w:t>On August 5, 2020, the Financial Accounting Standards Board (FASB) issued ASU 2020-06, “Debt - Debt With Conversion and Other Options (Subtopic 470-20) and Derivatives and Hedging - Contracts in Entity’s Own Equity (Subtopic 815-40)”, which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For smaller reporting companies, this ASU is effective for fiscal years beginning after December 15, 2023. The Company adopted this standard effective January 1, 2024, which did not have a material impact on the Company's condensed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9" w:name="page10"/>
    <w:bookmarkEnd w:id="9"/>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Issued Accounting Pronouncements Not Yet Adopted</w:t>
      </w:r>
    </w:p>
    <w:p>
      <w:pPr>
        <w:spacing w:after="0" w:line="187" w:lineRule="exact"/>
        <w:rPr>
          <w:sz w:val="20"/>
          <w:szCs w:val="20"/>
          <w:color w:val="auto"/>
        </w:rPr>
      </w:pPr>
    </w:p>
    <w:p>
      <w:pPr>
        <w:ind w:left="1140" w:right="1299" w:firstLine="517"/>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financial statements.</w:t>
      </w:r>
    </w:p>
    <w:p>
      <w:pPr>
        <w:spacing w:after="0" w:line="144" w:lineRule="exact"/>
        <w:rPr>
          <w:sz w:val="20"/>
          <w:szCs w:val="20"/>
          <w:color w:val="auto"/>
        </w:rPr>
      </w:pPr>
    </w:p>
    <w:p>
      <w:pPr>
        <w:ind w:left="1140" w:right="1199" w:firstLine="517"/>
        <w:spacing w:after="0" w:line="262"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ASU 2023-07 updates reportable segment disclosure requirements primarily through enhanced disclosures about significant segment expenses. ASU 2023-07 is effective for all entities for fiscal years beginning after December 15, 2023, and for interim periods within fiscal years beginning after December 15, 2024. Early adoption is permitted. The amendments should be applied retrospectively to all prior periods presented in the financial statements. The Company operates as a single segment and does not expect ASU 2023-07 to have a material impact on its condensed financial statements.</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2. Fair Value Measurements</w:t>
      </w:r>
    </w:p>
    <w:p>
      <w:pPr>
        <w:spacing w:after="0" w:line="185" w:lineRule="exact"/>
        <w:rPr>
          <w:sz w:val="20"/>
          <w:szCs w:val="20"/>
          <w:color w:val="auto"/>
        </w:rPr>
      </w:pPr>
    </w:p>
    <w:p>
      <w:pPr>
        <w:ind w:left="1140" w:right="123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tables show the Company’s cash, cash equivalents, marketable securities and restricted cash measured at fair value as of June 30, 2024 and December 31, 2023 (in thousands):</w:t>
      </w:r>
    </w:p>
    <w:p>
      <w:pPr>
        <w:spacing w:after="0" w:line="172"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4"/>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 w:type="dxa"/>
            <w:vAlign w:val="bottom"/>
          </w:tcPr>
          <w:p>
            <w:pPr>
              <w:spacing w:after="0"/>
              <w:rPr>
                <w:sz w:val="8"/>
                <w:szCs w:val="8"/>
                <w:color w:val="auto"/>
              </w:rPr>
            </w:pPr>
          </w:p>
        </w:tc>
        <w:tc>
          <w:tcPr>
            <w:tcW w:w="11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5"/>
            <w:vMerge w:val="restart"/>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3"/>
            <w:vMerge w:val="restart"/>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restart"/>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4"/>
            <w:vMerge w:val="restart"/>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4"/>
            <w:vMerge w:val="restart"/>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Pr>
          <w:p>
            <w:pPr>
              <w:spacing w:after="0"/>
              <w:rPr>
                <w:sz w:val="5"/>
                <w:szCs w:val="5"/>
                <w:color w:val="auto"/>
              </w:rPr>
            </w:pPr>
          </w:p>
        </w:tc>
        <w:tc>
          <w:tcPr>
            <w:tcW w:w="10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tcBorders>
              <w:bottom w:val="single" w:sz="8" w:color="CFF0FC"/>
            </w:tcBorders>
            <w:shd w:val="clear" w:color="auto" w:fill="CFF0FC"/>
          </w:tcPr>
          <w:p>
            <w:pPr>
              <w:spacing w:after="0"/>
              <w:rPr>
                <w:sz w:val="16"/>
                <w:szCs w:val="16"/>
                <w:color w:val="auto"/>
              </w:rPr>
            </w:pPr>
          </w:p>
        </w:tc>
        <w:tc>
          <w:tcPr>
            <w:tcW w:w="24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128,956</w:t>
            </w: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128,956</w:t>
            </w:r>
          </w:p>
        </w:tc>
        <w:tc>
          <w:tcPr>
            <w:tcW w:w="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274,306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374,796</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100,490</w:t>
            </w:r>
          </w:p>
        </w:tc>
        <w:tc>
          <w:tcPr>
            <w:tcW w:w="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274,306</w:t>
            </w: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FF0F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4"/>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 w:type="dxa"/>
            <w:vAlign w:val="bottom"/>
          </w:tcPr>
          <w:p>
            <w:pPr>
              <w:spacing w:after="0"/>
              <w:rPr>
                <w:sz w:val="8"/>
                <w:szCs w:val="8"/>
                <w:color w:val="auto"/>
              </w:rPr>
            </w:pPr>
          </w:p>
        </w:tc>
        <w:tc>
          <w:tcPr>
            <w:tcW w:w="11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4"/>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3"/>
            <w:vMerge w:val="restart"/>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4"/>
            <w:vMerge w:val="restart"/>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4"/>
            <w:vMerge w:val="restart"/>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restart"/>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Pr>
          <w:p>
            <w:pPr>
              <w:spacing w:after="0"/>
              <w:rPr>
                <w:sz w:val="5"/>
                <w:szCs w:val="5"/>
                <w:color w:val="auto"/>
              </w:rPr>
            </w:pPr>
          </w:p>
        </w:tc>
        <w:tc>
          <w:tcPr>
            <w:tcW w:w="10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money market funds</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58,006</w:t>
            </w:r>
          </w:p>
        </w:tc>
        <w:tc>
          <w:tcPr>
            <w:tcW w:w="60" w:type="dxa"/>
            <w:vAlign w:val="bottom"/>
            <w:shd w:val="clear" w:color="auto" w:fill="CFF0FC"/>
          </w:tcPr>
          <w:p>
            <w:pPr>
              <w:spacing w:after="0"/>
              <w:rPr>
                <w:sz w:val="17"/>
                <w:szCs w:val="17"/>
                <w:color w:val="auto"/>
              </w:rPr>
            </w:pPr>
          </w:p>
        </w:tc>
        <w:tc>
          <w:tcPr>
            <w:tcW w:w="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58,006</w:t>
            </w:r>
          </w:p>
        </w:tc>
        <w:tc>
          <w:tcPr>
            <w:tcW w:w="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95,599</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95,599</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49,864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49,864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145,463</w:t>
            </w:r>
          </w:p>
        </w:tc>
        <w:tc>
          <w:tcPr>
            <w:tcW w:w="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145,463</w:t>
            </w:r>
          </w:p>
        </w:tc>
        <w:tc>
          <w:tcPr>
            <w:tcW w:w="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204,469</w:t>
            </w:r>
          </w:p>
        </w:tc>
        <w:tc>
          <w:tcPr>
            <w:tcW w:w="6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59,006</w:t>
            </w:r>
          </w:p>
        </w:tc>
        <w:tc>
          <w:tcPr>
            <w:tcW w:w="40" w:type="dxa"/>
            <w:vAlign w:val="bottom"/>
          </w:tcPr>
          <w:p>
            <w:pPr>
              <w:spacing w:after="0"/>
              <w:rPr>
                <w:sz w:val="16"/>
                <w:szCs w:val="16"/>
                <w:color w:val="auto"/>
              </w:rPr>
            </w:pP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145,463</w:t>
            </w:r>
          </w:p>
        </w:tc>
        <w:tc>
          <w:tcPr>
            <w:tcW w:w="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-2083435</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-2083435</wp:posOffset>
            </wp:positionV>
            <wp:extent cx="412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-2083435</wp:posOffset>
            </wp:positionV>
            <wp:extent cx="412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-2083435</wp:posOffset>
            </wp:positionV>
            <wp:extent cx="412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-1823720</wp:posOffset>
            </wp:positionV>
            <wp:extent cx="476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-1809750</wp:posOffset>
            </wp:positionV>
            <wp:extent cx="47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-1823720</wp:posOffset>
            </wp:positionV>
            <wp:extent cx="412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-1809750</wp:posOffset>
            </wp:positionV>
            <wp:extent cx="412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-1823720</wp:posOffset>
            </wp:positionV>
            <wp:extent cx="412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-1809750</wp:posOffset>
            </wp:positionV>
            <wp:extent cx="4127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-1823720</wp:posOffset>
            </wp:positionV>
            <wp:extent cx="412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-1809750</wp:posOffset>
            </wp:positionV>
            <wp:extent cx="412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-149860</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-149860</wp:posOffset>
            </wp:positionV>
            <wp:extent cx="412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-149860</wp:posOffset>
            </wp:positionV>
            <wp:extent cx="412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379" w:firstLine="517"/>
        <w:spacing w:after="0" w:line="261" w:lineRule="auto"/>
        <w:rPr>
          <w:sz w:val="20"/>
          <w:szCs w:val="20"/>
          <w:color w:val="auto"/>
        </w:rPr>
      </w:pPr>
      <w:r>
        <w:rPr>
          <w:rFonts w:ascii="Times New Roman" w:cs="Times New Roman" w:eastAsia="Times New Roman" w:hAnsi="Times New Roman"/>
          <w:sz w:val="14"/>
          <w:szCs w:val="14"/>
          <w:color w:val="auto"/>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0" w:name="page11"/>
    <w:bookmarkEnd w:id="10"/>
    <w:p>
      <w:pPr>
        <w:ind w:left="1140"/>
        <w:spacing w:after="0"/>
        <w:rPr>
          <w:sz w:val="20"/>
          <w:szCs w:val="20"/>
          <w:color w:val="auto"/>
        </w:rPr>
      </w:pPr>
      <w:r>
        <w:rPr>
          <w:rFonts w:ascii="Times New Roman" w:cs="Times New Roman" w:eastAsia="Times New Roman" w:hAnsi="Times New Roman"/>
          <w:sz w:val="14"/>
          <w:szCs w:val="14"/>
          <w:b w:val="1"/>
          <w:bCs w:val="1"/>
          <w:color w:val="auto"/>
        </w:rPr>
        <w:t>3. Marketable Securities</w:t>
      </w:r>
    </w:p>
    <w:p>
      <w:pPr>
        <w:spacing w:after="0" w:line="185" w:lineRule="exact"/>
        <w:rPr>
          <w:sz w:val="20"/>
          <w:szCs w:val="20"/>
          <w:color w:val="auto"/>
        </w:rPr>
      </w:pPr>
    </w:p>
    <w:p>
      <w:pPr>
        <w:ind w:left="1140" w:right="135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tables summarize the Company's marketable securities accounted for as available-for-sale securities (in thousands, except years):</w:t>
      </w:r>
    </w:p>
    <w:p>
      <w:pPr>
        <w:spacing w:after="0" w:line="172"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25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680" w:type="dxa"/>
            <w:vAlign w:val="bottom"/>
          </w:tcPr>
          <w:p>
            <w:pPr>
              <w:ind w:left="100"/>
              <w:spacing w:after="0" w:line="101"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0" w:type="dxa"/>
            <w:vAlign w:val="bottom"/>
          </w:tcPr>
          <w:p>
            <w:pPr>
              <w:spacing w:after="0"/>
              <w:rPr>
                <w:sz w:val="8"/>
                <w:szCs w:val="8"/>
                <w:color w:val="auto"/>
              </w:rPr>
            </w:pPr>
          </w:p>
        </w:tc>
        <w:tc>
          <w:tcPr>
            <w:tcW w:w="72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2"/>
          </w:tcPr>
          <w:p>
            <w:pPr>
              <w:jc w:val="right"/>
              <w:ind w:right="31"/>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4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107,103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107,031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38,279</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274,490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274,306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5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80" w:type="dxa"/>
            <w:vAlign w:val="bottom"/>
          </w:tcPr>
          <w:p>
            <w:pPr>
              <w:spacing w:after="0"/>
              <w:rPr>
                <w:sz w:val="8"/>
                <w:szCs w:val="8"/>
                <w:color w:val="auto"/>
              </w:rPr>
            </w:pPr>
          </w:p>
        </w:tc>
        <w:tc>
          <w:tcPr>
            <w:tcW w:w="72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2"/>
          </w:tcPr>
          <w:p>
            <w:pPr>
              <w:jc w:val="right"/>
              <w:ind w:right="31"/>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7"/>
                <w:szCs w:val="7"/>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tcPr>
          <w:p>
            <w:pPr>
              <w:spacing w:after="0"/>
              <w:rPr>
                <w:sz w:val="7"/>
                <w:szCs w:val="7"/>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63"/>
        </w:trPr>
        <w:tc>
          <w:tcPr>
            <w:tcW w:w="2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76,481</w:t>
            </w: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 or less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37,376</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6"/>
              </w:rPr>
              <w:t>1-2</w:t>
            </w:r>
          </w:p>
        </w:tc>
        <w:tc>
          <w:tcPr>
            <w:tcW w:w="2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12,379</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12,454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Pr>
          <w:p>
            <w:pPr>
              <w:spacing w:after="0"/>
              <w:rPr>
                <w:sz w:val="16"/>
                <w:szCs w:val="16"/>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-1064895</wp:posOffset>
            </wp:positionV>
            <wp:extent cx="412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-1051560</wp:posOffset>
            </wp:positionV>
            <wp:extent cx="412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-1064895</wp:posOffset>
            </wp:positionV>
            <wp:extent cx="4127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-1051560</wp:posOffset>
            </wp:positionV>
            <wp:extent cx="4127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-1064895</wp:posOffset>
            </wp:positionV>
            <wp:extent cx="412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-1051560</wp:posOffset>
            </wp:positionV>
            <wp:extent cx="41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-1064895</wp:posOffset>
            </wp:positionV>
            <wp:extent cx="412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-1051560</wp:posOffset>
            </wp:positionV>
            <wp:extent cx="412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-149860</wp:posOffset>
            </wp:positionV>
            <wp:extent cx="412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-149860</wp:posOffset>
            </wp:positionV>
            <wp:extent cx="412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-149860</wp:posOffset>
            </wp:positionV>
            <wp:extent cx="412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both"/>
        <w:ind w:left="1140" w:right="1279" w:firstLine="517"/>
        <w:spacing w:after="0" w:line="275" w:lineRule="auto"/>
        <w:rPr>
          <w:sz w:val="20"/>
          <w:szCs w:val="20"/>
          <w:color w:val="auto"/>
        </w:rPr>
      </w:pPr>
      <w:r>
        <w:rPr>
          <w:rFonts w:ascii="Times New Roman" w:cs="Times New Roman" w:eastAsia="Times New Roman" w:hAnsi="Times New Roman"/>
          <w:sz w:val="14"/>
          <w:szCs w:val="14"/>
          <w:color w:val="auto"/>
        </w:rPr>
        <w:t>The following tables present fair values and gross unrealized losses for those available-for-sale securities that were in an unrealized loss position, aggregated by category and the length of time that the securities have been in a continuous loss position (in thousands):</w:t>
      </w:r>
    </w:p>
    <w:p>
      <w:pPr>
        <w:spacing w:after="0" w:line="184"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1520" w:type="dxa"/>
            <w:vAlign w:val="bottom"/>
            <w:gridSpan w:val="6"/>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less than</w:t>
            </w:r>
          </w:p>
        </w:tc>
        <w:tc>
          <w:tcPr>
            <w:tcW w:w="120" w:type="dxa"/>
            <w:vAlign w:val="bottom"/>
          </w:tcPr>
          <w:p>
            <w:pPr>
              <w:spacing w:after="0"/>
              <w:rPr>
                <w:sz w:val="8"/>
                <w:szCs w:val="8"/>
                <w:color w:val="auto"/>
              </w:rPr>
            </w:pPr>
          </w:p>
        </w:tc>
        <w:tc>
          <w:tcPr>
            <w:tcW w:w="1020" w:type="dxa"/>
            <w:vAlign w:val="bottom"/>
            <w:gridSpan w:val="3"/>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12</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12 months</w:t>
            </w:r>
          </w:p>
        </w:tc>
        <w:tc>
          <w:tcPr>
            <w:tcW w:w="120" w:type="dxa"/>
            <w:vAlign w:val="bottom"/>
          </w:tcPr>
          <w:p>
            <w:pPr>
              <w:spacing w:after="0"/>
              <w:rPr>
                <w:sz w:val="7"/>
                <w:szCs w:val="7"/>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months or greater</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6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8"/>
                <w:szCs w:val="8"/>
                <w:color w:val="auto"/>
              </w:rPr>
            </w:pPr>
          </w:p>
        </w:tc>
        <w:tc>
          <w:tcPr>
            <w:tcW w:w="6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8"/>
                <w:szCs w:val="8"/>
                <w:color w:val="auto"/>
              </w:rPr>
            </w:pPr>
          </w:p>
        </w:tc>
        <w:tc>
          <w:tcPr>
            <w:tcW w:w="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vMerge w:val="restart"/>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87,093</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87,093</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tcPr>
          <w:p>
            <w:pPr>
              <w:spacing w:after="0"/>
              <w:rPr>
                <w:sz w:val="16"/>
                <w:szCs w:val="16"/>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$ 203,084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$ 203,084</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1520" w:type="dxa"/>
            <w:vAlign w:val="bottom"/>
            <w:gridSpan w:val="6"/>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less than</w:t>
            </w:r>
          </w:p>
        </w:tc>
        <w:tc>
          <w:tcPr>
            <w:tcW w:w="120" w:type="dxa"/>
            <w:vAlign w:val="bottom"/>
          </w:tcPr>
          <w:p>
            <w:pPr>
              <w:spacing w:after="0"/>
              <w:rPr>
                <w:sz w:val="8"/>
                <w:szCs w:val="8"/>
                <w:color w:val="auto"/>
              </w:rPr>
            </w:pPr>
          </w:p>
        </w:tc>
        <w:tc>
          <w:tcPr>
            <w:tcW w:w="1020" w:type="dxa"/>
            <w:vAlign w:val="bottom"/>
            <w:gridSpan w:val="3"/>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 losses 12</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12 months</w:t>
            </w:r>
          </w:p>
        </w:tc>
        <w:tc>
          <w:tcPr>
            <w:tcW w:w="120" w:type="dxa"/>
            <w:vAlign w:val="bottom"/>
          </w:tcPr>
          <w:p>
            <w:pPr>
              <w:spacing w:after="0"/>
              <w:rPr>
                <w:sz w:val="7"/>
                <w:szCs w:val="7"/>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months or greater</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6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8"/>
                <w:szCs w:val="8"/>
                <w:color w:val="auto"/>
              </w:rPr>
            </w:pPr>
          </w:p>
        </w:tc>
        <w:tc>
          <w:tcPr>
            <w:tcW w:w="6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8"/>
                <w:szCs w:val="8"/>
                <w:color w:val="auto"/>
              </w:rPr>
            </w:pPr>
          </w:p>
        </w:tc>
        <w:tc>
          <w:tcPr>
            <w:tcW w:w="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60" w:type="dxa"/>
            <w:vAlign w:val="bottom"/>
            <w:vMerge w:val="restart"/>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w w:val="91"/>
              </w:rPr>
              <w:t>losses</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-866775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-853440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-866775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-853440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-866775</wp:posOffset>
            </wp:positionV>
            <wp:extent cx="412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-853440</wp:posOffset>
            </wp:positionV>
            <wp:extent cx="412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-866775</wp:posOffset>
            </wp:positionV>
            <wp:extent cx="412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-853440</wp:posOffset>
            </wp:positionV>
            <wp:extent cx="412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-866775</wp:posOffset>
            </wp:positionV>
            <wp:extent cx="412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-853440</wp:posOffset>
            </wp:positionV>
            <wp:extent cx="412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-866775</wp:posOffset>
            </wp:positionV>
            <wp:extent cx="412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-853440</wp:posOffset>
            </wp:positionV>
            <wp:extent cx="4127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-149860</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-149860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-149860</wp:posOffset>
            </wp:positionV>
            <wp:extent cx="4127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-149860</wp:posOffset>
            </wp:positionV>
            <wp:extent cx="412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-149860</wp:posOffset>
            </wp:positionV>
            <wp:extent cx="4127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10" w:lineRule="exact"/>
        <w:rPr>
          <w:sz w:val="20"/>
          <w:szCs w:val="20"/>
          <w:color w:val="auto"/>
        </w:rPr>
      </w:pPr>
    </w:p>
    <w:p>
      <w:pPr>
        <w:ind w:left="1140" w:right="1199" w:firstLine="517"/>
        <w:spacing w:after="0" w:line="264" w:lineRule="auto"/>
        <w:rPr>
          <w:sz w:val="20"/>
          <w:szCs w:val="20"/>
          <w:color w:val="auto"/>
        </w:rPr>
      </w:pPr>
      <w:r>
        <w:rPr>
          <w:rFonts w:ascii="Times New Roman" w:cs="Times New Roman" w:eastAsia="Times New Roman" w:hAnsi="Times New Roman"/>
          <w:sz w:val="14"/>
          <w:szCs w:val="14"/>
          <w:color w:val="auto"/>
        </w:rPr>
        <w:t>As of June 30, 2024, there were 37 available-for-sale securities with an estimated fair value of $203.1 million in a gross unrealized loss position for less than 12 months. As of June 30, 2024,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spacing w:after="0" w:line="143" w:lineRule="exact"/>
        <w:rPr>
          <w:sz w:val="20"/>
          <w:szCs w:val="20"/>
          <w:color w:val="auto"/>
        </w:rPr>
      </w:pPr>
    </w:p>
    <w:p>
      <w:pPr>
        <w:ind w:left="1140" w:right="1219" w:firstLine="517"/>
        <w:spacing w:after="0" w:line="293" w:lineRule="auto"/>
        <w:rPr>
          <w:sz w:val="20"/>
          <w:szCs w:val="20"/>
          <w:color w:val="auto"/>
        </w:rPr>
      </w:pPr>
      <w:r>
        <w:rPr>
          <w:rFonts w:ascii="Times New Roman" w:cs="Times New Roman" w:eastAsia="Times New Roman" w:hAnsi="Times New Roman"/>
          <w:sz w:val="14"/>
          <w:szCs w:val="14"/>
          <w:color w:val="auto"/>
        </w:rPr>
        <w:t>Accrued interest on the Company's available-for-sale securities was $1.9 million as of June 30, 2024 and is included in prepaid and other current assets on the condensed balance sheet.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1" w:name="page12"/>
    <w:bookmarkEnd w:id="11"/>
    <w:p>
      <w:pPr>
        <w:ind w:left="1140"/>
        <w:spacing w:after="0"/>
        <w:rPr>
          <w:sz w:val="20"/>
          <w:szCs w:val="20"/>
          <w:color w:val="auto"/>
        </w:rPr>
      </w:pPr>
      <w:r>
        <w:rPr>
          <w:rFonts w:ascii="Times New Roman" w:cs="Times New Roman" w:eastAsia="Times New Roman" w:hAnsi="Times New Roman"/>
          <w:sz w:val="14"/>
          <w:szCs w:val="14"/>
          <w:b w:val="1"/>
          <w:bCs w:val="1"/>
          <w:color w:val="auto"/>
        </w:rPr>
        <w:t>4. Property and Equipment</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Property and equipment consisted of the following (in thousands):</w:t>
      </w:r>
    </w:p>
    <w:p>
      <w:pPr>
        <w:spacing w:after="0" w:line="203"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48"/>
        </w:trPr>
        <w:tc>
          <w:tcPr>
            <w:tcW w:w="4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60" w:type="dxa"/>
            <w:vAlign w:val="bottom"/>
            <w:shd w:val="clear" w:color="auto" w:fill="CFF0FC"/>
          </w:tcPr>
          <w:p>
            <w:pPr>
              <w:spacing w:after="0"/>
              <w:rPr>
                <w:sz w:val="16"/>
                <w:szCs w:val="16"/>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Computers and software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60" w:type="dxa"/>
            <w:vAlign w:val="bottom"/>
          </w:tcPr>
          <w:p>
            <w:pPr>
              <w:spacing w:after="0"/>
              <w:rPr>
                <w:sz w:val="16"/>
                <w:szCs w:val="16"/>
                <w:color w:val="auto"/>
              </w:rPr>
            </w:pPr>
          </w:p>
        </w:tc>
      </w:tr>
      <w:tr>
        <w:trPr>
          <w:trHeight w:val="19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60" w:type="dxa"/>
            <w:vAlign w:val="bottom"/>
            <w:shd w:val="clear" w:color="auto" w:fill="CFF0FC"/>
          </w:tcPr>
          <w:p>
            <w:pPr>
              <w:spacing w:after="0"/>
              <w:rPr>
                <w:sz w:val="17"/>
                <w:szCs w:val="17"/>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60" w:type="dxa"/>
            <w:vAlign w:val="bottom"/>
          </w:tcPr>
          <w:p>
            <w:pPr>
              <w:spacing w:after="0"/>
              <w:rPr>
                <w:sz w:val="16"/>
                <w:szCs w:val="16"/>
                <w:color w:val="auto"/>
              </w:rPr>
            </w:pPr>
          </w:p>
        </w:tc>
      </w:tr>
      <w:tr>
        <w:trPr>
          <w:trHeight w:val="188"/>
        </w:trPr>
        <w:tc>
          <w:tcPr>
            <w:tcW w:w="4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60" w:type="dxa"/>
            <w:vAlign w:val="bottom"/>
            <w:shd w:val="clear" w:color="auto" w:fill="CFF0FC"/>
          </w:tcPr>
          <w:p>
            <w:pPr>
              <w:spacing w:after="0"/>
              <w:rPr>
                <w:sz w:val="16"/>
                <w:szCs w:val="16"/>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(1,052 )</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(807 )</w:t>
            </w:r>
          </w:p>
        </w:tc>
      </w:tr>
      <w:tr>
        <w:trPr>
          <w:trHeight w:val="224"/>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-19685</wp:posOffset>
            </wp:positionV>
            <wp:extent cx="412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-6350</wp:posOffset>
            </wp:positionV>
            <wp:extent cx="41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359" w:firstLine="517"/>
        <w:spacing w:after="0" w:line="275" w:lineRule="auto"/>
        <w:rPr>
          <w:sz w:val="20"/>
          <w:szCs w:val="20"/>
          <w:color w:val="auto"/>
        </w:rPr>
      </w:pPr>
      <w:r>
        <w:rPr>
          <w:rFonts w:ascii="Times New Roman" w:cs="Times New Roman" w:eastAsia="Times New Roman" w:hAnsi="Times New Roman"/>
          <w:sz w:val="14"/>
          <w:szCs w:val="14"/>
          <w:color w:val="auto"/>
        </w:rPr>
        <w:t>The Company recognized $0.1 million and $0.2 million in depreciation expense for the three and six months ended June 30, 2024, respectively, and $0.1 million and $0.2 million in depreciation expense for the three and six months ended June 30, 2023, respectively.</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5. Accrued and Other Current Liabilities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Accrued and other current liabilities consisted of the following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payroll and other employee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2,226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5,117</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4,848</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legal and professional fees</w:t>
            </w:r>
          </w:p>
        </w:tc>
        <w:tc>
          <w:tcPr>
            <w:tcW w:w="10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other general and administrative fees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and other current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8,422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10,391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6. Stockholders' Equity</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47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Common stock reserved for future issuance consisted of the following:</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24"/>
                <w:szCs w:val="24"/>
                <w:color w:val="auto"/>
              </w:rPr>
            </w:pPr>
          </w:p>
        </w:tc>
        <w:tc>
          <w:tcPr>
            <w:tcW w:w="920" w:type="dxa"/>
            <w:vAlign w:val="bottom"/>
            <w:gridSpan w:val="2"/>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 options granted and outstanding</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8,600,436</w:t>
            </w: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8,276,442</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the 2021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Incentive Award Plan</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5,169,104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3,677,313</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the</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1,516,697</w:t>
            </w:r>
          </w:p>
        </w:tc>
        <w:tc>
          <w:tcPr>
            <w:tcW w:w="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1,129,399</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Pre-Funded Warrants issued and outstanding under</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6,087,230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2024 Private Placement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common stock reserved for future issuance</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21,373,467</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13,083,154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-1932940</wp:posOffset>
            </wp:positionV>
            <wp:extent cx="412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-1918970</wp:posOffset>
            </wp:positionV>
            <wp:extent cx="4127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-1932940</wp:posOffset>
            </wp:positionV>
            <wp:extent cx="4127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-1918970</wp:posOffset>
            </wp:positionV>
            <wp:extent cx="4127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-19685</wp:posOffset>
            </wp:positionV>
            <wp:extent cx="412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-6350</wp:posOffset>
            </wp:positionV>
            <wp:extent cx="41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199" w:firstLine="517"/>
        <w:spacing w:after="0" w:line="259" w:lineRule="auto"/>
        <w:rPr>
          <w:sz w:val="20"/>
          <w:szCs w:val="20"/>
          <w:color w:val="auto"/>
        </w:rPr>
      </w:pPr>
      <w:r>
        <w:rPr>
          <w:rFonts w:ascii="Times New Roman" w:cs="Times New Roman" w:eastAsia="Times New Roman" w:hAnsi="Times New Roman"/>
          <w:sz w:val="14"/>
          <w:szCs w:val="14"/>
          <w:color w:val="auto"/>
        </w:rPr>
        <w:t>On October 3, 2022, the Company entered into an ATM Sales Agreement (the Sales Agreement) with Virtu Americas LLC (the Agent), under which the Company may, from time to time, sell shares of its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June 30, 2024, no shares of common stock were issued and sold pursuant to the Sales Agreement since inception.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187" w:lineRule="exact"/>
        <w:rPr>
          <w:sz w:val="20"/>
          <w:szCs w:val="20"/>
          <w:color w:val="auto"/>
        </w:rPr>
      </w:pPr>
    </w:p>
    <w:p>
      <w:pPr>
        <w:ind w:left="1140" w:right="1179" w:firstLine="517"/>
        <w:spacing w:after="0" w:line="260" w:lineRule="auto"/>
        <w:rPr>
          <w:sz w:val="20"/>
          <w:szCs w:val="20"/>
          <w:color w:val="auto"/>
        </w:rPr>
      </w:pPr>
      <w:r>
        <w:rPr>
          <w:rFonts w:ascii="Times New Roman" w:cs="Times New Roman" w:eastAsia="Times New Roman" w:hAnsi="Times New Roman"/>
          <w:sz w:val="14"/>
          <w:szCs w:val="14"/>
          <w:color w:val="auto"/>
        </w:rPr>
        <w:t>On February 1, 2024, the Company entered into a securities purchase agreement (the February 2024 SPA) for a private placement of 9,286,023 shares of the Company's common stock at a price of $13.01 per share (the 2024 Private Placement). The February 2024 SPA also included pre-funded warrants (the 2024 Pre-Funded Warrants) to purchase an aggregate of 6,087,230 shares of common stock at a purchase price of $13.009 per pre-funded warrant. Each pre-funded warrant has an exercise price of $0.001 per share of common stock, is immediately exercisable on the date of issuance and will not expire. The 2024 Private Placement closed on February 6, 2024 and the Company received gross proceeds of approximately $200 million, before deducting offering expenses of $0.4 million. On March 19, 2024, the Company filed a registration statement on Form S-3 with the SEC registering the resale of the shares of common stock issued, or underlying the pre-funded warrants issued, in the 2024 Private Placement. There were no exercises of the 2024 Pre-Funded Warrants during the three and six months ended June 30, 2024. The 2024 Pre-funded Warrants did not meet the characteristics of a liability or a derivative and are classified within stockholders' equity.</w:t>
      </w: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7. Equity Incentive Plans and Stock-Based Compensation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87" w:lineRule="exact"/>
        <w:rPr>
          <w:sz w:val="20"/>
          <w:szCs w:val="20"/>
          <w:color w:val="auto"/>
        </w:rPr>
      </w:pPr>
    </w:p>
    <w:p>
      <w:pPr>
        <w:ind w:left="1140" w:right="1399" w:firstLine="517"/>
        <w:spacing w:after="0" w:line="275" w:lineRule="auto"/>
        <w:rPr>
          <w:sz w:val="20"/>
          <w:szCs w:val="20"/>
          <w:color w:val="auto"/>
        </w:rPr>
      </w:pPr>
      <w:r>
        <w:rPr>
          <w:rFonts w:ascii="Times New Roman" w:cs="Times New Roman" w:eastAsia="Times New Roman" w:hAnsi="Times New Roman"/>
          <w:sz w:val="14"/>
          <w:szCs w:val="14"/>
          <w:color w:val="auto"/>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p>
    <w:p>
      <w:pPr>
        <w:spacing w:after="0" w:line="135" w:lineRule="exact"/>
        <w:rPr>
          <w:sz w:val="20"/>
          <w:szCs w:val="20"/>
          <w:color w:val="auto"/>
        </w:rPr>
      </w:pPr>
    </w:p>
    <w:p>
      <w:pPr>
        <w:ind w:left="1140" w:right="1299" w:firstLine="517"/>
        <w:spacing w:after="0" w:line="260" w:lineRule="auto"/>
        <w:rPr>
          <w:sz w:val="20"/>
          <w:szCs w:val="20"/>
          <w:color w:val="auto"/>
        </w:rPr>
      </w:pPr>
      <w:r>
        <w:rPr>
          <w:rFonts w:ascii="Times New Roman" w:cs="Times New Roman" w:eastAsia="Times New Roman" w:hAnsi="Times New Roman"/>
          <w:sz w:val="14"/>
          <w:szCs w:val="14"/>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consisting of 4,537,850 shares reserved under the 2021 Plan and 1,032,150 shares of the Company’s common stock that remained available for issuance under the 2020 Plan. The 2021 Plan share reserve increased by the number of shares under the 2020 Plan that were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On January 1, 2024, the shares available for grant under the 2021 Plan were increased by 2,154,952. As of June 30, 2024, 5,169,104 shares were available for future grant under the 2021 Plan.</w:t>
      </w:r>
    </w:p>
    <w:p>
      <w:pPr>
        <w:spacing w:after="0" w:line="145" w:lineRule="exact"/>
        <w:rPr>
          <w:sz w:val="20"/>
          <w:szCs w:val="20"/>
          <w:color w:val="auto"/>
        </w:rPr>
      </w:pPr>
    </w:p>
    <w:p>
      <w:pPr>
        <w:ind w:left="1140" w:right="1319" w:firstLine="517"/>
        <w:spacing w:after="0" w:line="293" w:lineRule="auto"/>
        <w:rPr>
          <w:sz w:val="20"/>
          <w:szCs w:val="20"/>
          <w:color w:val="auto"/>
        </w:rPr>
      </w:pPr>
      <w:r>
        <w:rPr>
          <w:rFonts w:ascii="Times New Roman" w:cs="Times New Roman" w:eastAsia="Times New Roman" w:hAnsi="Times New Roman"/>
          <w:sz w:val="14"/>
          <w:szCs w:val="14"/>
          <w:color w:val="auto"/>
        </w:rPr>
        <w:t>A summary of the Company’s stock option activity for the period ended June 30, 2024 was as follows (in thousands, except share and per share data and years):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0"/>
                <w:szCs w:val="10"/>
                <w:color w:val="auto"/>
              </w:rPr>
            </w:pPr>
          </w:p>
        </w:tc>
        <w:tc>
          <w:tcPr>
            <w:tcW w:w="6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3"/>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13"/>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8,276,442</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40,420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680,550</w:t>
            </w:r>
          </w:p>
        </w:tc>
        <w:tc>
          <w:tcPr>
            <w:tcW w:w="14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Exercised</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(339,167 )</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Cancelled</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(17,389 )</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8,600,436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FF0FC"/>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50,366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at June 30, 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3,896,013</w:t>
            </w:r>
          </w:p>
        </w:tc>
        <w:tc>
          <w:tcPr>
            <w:tcW w:w="14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30,787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 w:type="dxa"/>
            <w:vAlign w:val="bottom"/>
          </w:tcPr>
          <w:p>
            <w:pPr>
              <w:spacing w:after="0"/>
              <w:rPr>
                <w:sz w:val="17"/>
                <w:szCs w:val="17"/>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 and expected to vest as of June 30, 2024</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8,600,436</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FF0FC"/>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50,366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-1031240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-1017270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-744220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-730250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3" w:name="page14"/>
    <w:bookmarkEnd w:id="13"/>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ind w:left="1140" w:right="1299" w:firstLine="517"/>
        <w:spacing w:after="0" w:line="268" w:lineRule="auto"/>
        <w:rPr>
          <w:sz w:val="20"/>
          <w:szCs w:val="20"/>
          <w:color w:val="auto"/>
        </w:rPr>
      </w:pPr>
      <w:r>
        <w:rPr>
          <w:rFonts w:ascii="Times New Roman" w:cs="Times New Roman" w:eastAsia="Times New Roman" w:hAnsi="Times New Roman"/>
          <w:sz w:val="14"/>
          <w:szCs w:val="14"/>
          <w:color w:val="auto"/>
        </w:rPr>
        <w:t>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w:t>
      </w:r>
    </w:p>
    <w:p>
      <w:pPr>
        <w:spacing w:after="0" w:line="148"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6"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8" w:lineRule="exact"/>
        <w:rPr>
          <w:sz w:val="20"/>
          <w:szCs w:val="20"/>
          <w:color w:val="auto"/>
        </w:rPr>
      </w:pPr>
    </w:p>
    <w:tbl>
      <w:tblPr>
        <w:tblLayout w:type="fixed"/>
        <w:tblInd w:w="1200" w:type="dxa"/>
        <w:tblCellMar>
          <w:top w:w="0" w:type="dxa"/>
          <w:left w:w="0" w:type="dxa"/>
          <w:bottom w:w="0" w:type="dxa"/>
          <w:right w:w="0" w:type="dxa"/>
        </w:tblCellMar>
      </w:tblPr>
      <w:tr>
        <w:trPr>
          <w:trHeight w:val="131"/>
        </w:trPr>
        <w:tc>
          <w:tcPr>
            <w:tcW w:w="47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Risk-free rate of interest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5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- 4.6%</w:t>
            </w:r>
          </w:p>
        </w:tc>
        <w:tc>
          <w:tcPr>
            <w:tcW w:w="8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3.5 - 4.2%</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5.3 - 6.1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5.2 - 6.1</w:t>
            </w:r>
          </w:p>
        </w:tc>
      </w:tr>
      <w:tr>
        <w:trPr>
          <w:trHeight w:val="198"/>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- 93.5%</w:t>
            </w:r>
          </w:p>
        </w:tc>
        <w:tc>
          <w:tcPr>
            <w:tcW w:w="94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4"/>
                <w:szCs w:val="14"/>
                <w:color w:val="auto"/>
              </w:rPr>
              <w:t>88.6 - 89.7 %</w:t>
            </w:r>
          </w:p>
        </w:tc>
      </w:tr>
      <w:tr>
        <w:trPr>
          <w:trHeight w:val="18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340" w:type="dxa"/>
            <w:vAlign w:val="bottom"/>
          </w:tcPr>
          <w:p>
            <w:pPr>
              <w:spacing w:after="0"/>
              <w:rPr>
                <w:sz w:val="16"/>
                <w:szCs w:val="16"/>
                <w:color w:val="auto"/>
              </w:rPr>
            </w:pPr>
          </w:p>
        </w:tc>
        <w:tc>
          <w:tcPr>
            <w:tcW w:w="580" w:type="dxa"/>
            <w:vAlign w:val="bottom"/>
          </w:tcPr>
          <w:p>
            <w:pPr>
              <w:jc w:val="center"/>
              <w:ind w:right="29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165" w:lineRule="exact"/>
        <w:rPr>
          <w:sz w:val="20"/>
          <w:szCs w:val="20"/>
          <w:color w:val="auto"/>
        </w:rPr>
      </w:pPr>
    </w:p>
    <w:p>
      <w:pPr>
        <w:ind w:left="1140" w:right="1399" w:firstLine="517"/>
        <w:spacing w:after="0" w:line="293" w:lineRule="auto"/>
        <w:rPr>
          <w:sz w:val="20"/>
          <w:szCs w:val="20"/>
          <w:color w:val="auto"/>
        </w:rPr>
      </w:pPr>
      <w:r>
        <w:rPr>
          <w:rFonts w:ascii="Times New Roman" w:cs="Times New Roman" w:eastAsia="Times New Roman" w:hAnsi="Times New Roman"/>
          <w:sz w:val="14"/>
          <w:szCs w:val="14"/>
          <w:color w:val="auto"/>
        </w:rPr>
        <w:t>Stock-based compensation expense recognized for all equity awards has been reported in the condensed statements of operations and comprehensive loss as follows (in thousands):</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4"/>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4"/>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48"/>
        </w:trPr>
        <w:tc>
          <w:tcPr>
            <w:tcW w:w="3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4"/>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2,937</w:t>
            </w: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2,025</w:t>
            </w:r>
          </w:p>
        </w:tc>
      </w:tr>
      <w:tr>
        <w:trPr>
          <w:trHeight w:val="204"/>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4,962</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-19685</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-6350</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-19685</wp:posOffset>
            </wp:positionV>
            <wp:extent cx="4127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-6350</wp:posOffset>
            </wp:positionV>
            <wp:extent cx="4127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-19685</wp:posOffset>
            </wp:positionV>
            <wp:extent cx="412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-6350</wp:posOffset>
            </wp:positionV>
            <wp:extent cx="4127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both"/>
        <w:ind w:left="1140" w:right="1279" w:firstLine="517"/>
        <w:spacing w:after="0" w:line="293"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for the six months ended June 30, 2024 and 2023 was $13.41 and $7.65 per share, respectively.</w:t>
      </w:r>
    </w:p>
    <w:p>
      <w:pPr>
        <w:spacing w:after="0" w:line="123" w:lineRule="exact"/>
        <w:rPr>
          <w:sz w:val="20"/>
          <w:szCs w:val="20"/>
          <w:color w:val="auto"/>
        </w:rPr>
      </w:pPr>
    </w:p>
    <w:p>
      <w:pPr>
        <w:ind w:left="1140" w:right="1459" w:firstLine="517"/>
        <w:spacing w:after="0" w:line="293" w:lineRule="auto"/>
        <w:rPr>
          <w:sz w:val="20"/>
          <w:szCs w:val="20"/>
          <w:color w:val="auto"/>
        </w:rPr>
      </w:pPr>
      <w:r>
        <w:rPr>
          <w:rFonts w:ascii="Times New Roman" w:cs="Times New Roman" w:eastAsia="Times New Roman" w:hAnsi="Times New Roman"/>
          <w:sz w:val="14"/>
          <w:szCs w:val="14"/>
          <w:color w:val="auto"/>
        </w:rPr>
        <w:t>For the six months ended June 30, 2024 and 2023, forfeitures resulting in the reversal of compensation expenses were immaterial.</w:t>
      </w:r>
    </w:p>
    <w:p>
      <w:pPr>
        <w:spacing w:after="0" w:line="123" w:lineRule="exact"/>
        <w:rPr>
          <w:sz w:val="20"/>
          <w:szCs w:val="20"/>
          <w:color w:val="auto"/>
        </w:rPr>
      </w:pPr>
    </w:p>
    <w:p>
      <w:pPr>
        <w:ind w:left="1140" w:right="1539" w:firstLine="517"/>
        <w:spacing w:after="0" w:line="275" w:lineRule="auto"/>
        <w:rPr>
          <w:sz w:val="20"/>
          <w:szCs w:val="20"/>
          <w:color w:val="auto"/>
        </w:rPr>
      </w:pPr>
      <w:r>
        <w:rPr>
          <w:rFonts w:ascii="Times New Roman" w:cs="Times New Roman" w:eastAsia="Times New Roman" w:hAnsi="Times New Roman"/>
          <w:sz w:val="14"/>
          <w:szCs w:val="14"/>
          <w:color w:val="auto"/>
        </w:rPr>
        <w:t>As of June 30, 2024, the unrecognized compensation cost related to outstanding employee and nonemployee options was $41.3 million, and is expected to be recognized as expense over a weighted-average period of approximately 2.1 years.</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7" w:lineRule="exact"/>
        <w:rPr>
          <w:sz w:val="20"/>
          <w:szCs w:val="20"/>
          <w:color w:val="auto"/>
        </w:rPr>
      </w:pPr>
    </w:p>
    <w:p>
      <w:pPr>
        <w:ind w:left="1140" w:right="1219" w:firstLine="517"/>
        <w:spacing w:after="0" w:line="261" w:lineRule="auto"/>
        <w:rPr>
          <w:sz w:val="20"/>
          <w:szCs w:val="20"/>
          <w:color w:val="auto"/>
        </w:rPr>
      </w:pPr>
      <w:r>
        <w:rPr>
          <w:rFonts w:ascii="Times New Roman" w:cs="Times New Roman" w:eastAsia="Times New Roman" w:hAnsi="Times New Roman"/>
          <w:sz w:val="14"/>
          <w:szCs w:val="14"/>
          <w:color w:val="auto"/>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2024, the number of shares reserved for issuance under the ESPP was increased by 430,990 shares.</w:t>
      </w:r>
    </w:p>
    <w:p>
      <w:pPr>
        <w:spacing w:after="0" w:line="146" w:lineRule="exact"/>
        <w:rPr>
          <w:sz w:val="20"/>
          <w:szCs w:val="20"/>
          <w:color w:val="auto"/>
        </w:rPr>
      </w:pPr>
    </w:p>
    <w:p>
      <w:pPr>
        <w:ind w:left="1140" w:right="1199" w:firstLine="517"/>
        <w:spacing w:after="0" w:line="261" w:lineRule="auto"/>
        <w:rPr>
          <w:sz w:val="20"/>
          <w:szCs w:val="20"/>
          <w:color w:val="auto"/>
        </w:rPr>
      </w:pPr>
      <w:r>
        <w:rPr>
          <w:rFonts w:ascii="Times New Roman" w:cs="Times New Roman" w:eastAsia="Times New Roman" w:hAnsi="Times New Roman"/>
          <w:sz w:val="14"/>
          <w:szCs w:val="14"/>
          <w:color w:val="auto"/>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 During the six months ended June 30, 2024 and 2023, the Company issued 43,692 and 32,442 shares, respectively, of common stock in connection with the ESPP. As of June 30, 2024, there were 1,516,697 shares available for future purchase under the ESPP.</w:t>
      </w:r>
    </w:p>
    <w:p>
      <w:pPr>
        <w:spacing w:after="0" w:line="149" w:lineRule="exact"/>
        <w:rPr>
          <w:sz w:val="20"/>
          <w:szCs w:val="20"/>
          <w:color w:val="auto"/>
        </w:rPr>
      </w:pPr>
    </w:p>
    <w:p>
      <w:pPr>
        <w:ind w:left="1140" w:right="1239" w:firstLine="517"/>
        <w:spacing w:after="0" w:line="260" w:lineRule="auto"/>
        <w:rPr>
          <w:sz w:val="20"/>
          <w:szCs w:val="20"/>
          <w:color w:val="auto"/>
        </w:rPr>
      </w:pPr>
      <w:r>
        <w:rPr>
          <w:rFonts w:ascii="Times New Roman" w:cs="Times New Roman" w:eastAsia="Times New Roman" w:hAnsi="Times New Roman"/>
          <w:sz w:val="14"/>
          <w:szCs w:val="14"/>
          <w:color w:val="auto"/>
        </w:rPr>
        <w:t>The Company recognized compensation expense of $0.1 million and $0.2 million for the three months ended June 30, 2024 and 2023, respectively, and $0.2 million and $0.3 million for the six months ended June 30, 2024 and 2023, respectively, related to the ESPP. As of June 30, 2024, the remaining unrecognized compensation expense related to the ESPP was $0.2 million, and is expected to be recognized as expense over a weighted-average period of approximately 0.8 years.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4" w:name="page15"/>
    <w:bookmarkEnd w:id="14"/>
    <w:p>
      <w:pPr>
        <w:ind w:left="1140"/>
        <w:spacing w:after="0"/>
        <w:rPr>
          <w:sz w:val="20"/>
          <w:szCs w:val="20"/>
          <w:color w:val="auto"/>
        </w:rPr>
      </w:pPr>
      <w:r>
        <w:rPr>
          <w:rFonts w:ascii="Times New Roman" w:cs="Times New Roman" w:eastAsia="Times New Roman" w:hAnsi="Times New Roman"/>
          <w:sz w:val="14"/>
          <w:szCs w:val="14"/>
          <w:b w:val="1"/>
          <w:bCs w:val="1"/>
          <w:color w:val="auto"/>
        </w:rPr>
        <w:t>8. Net Loss Per Share</w:t>
      </w:r>
    </w:p>
    <w:p>
      <w:pPr>
        <w:spacing w:after="0" w:line="185" w:lineRule="exact"/>
        <w:rPr>
          <w:sz w:val="20"/>
          <w:szCs w:val="20"/>
          <w:color w:val="auto"/>
        </w:rPr>
      </w:pPr>
    </w:p>
    <w:p>
      <w:pPr>
        <w:ind w:left="1140" w:right="145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the basic and diluted net loss per share (in thousands, except share and per share amounts):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168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(18,702 )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(13,272 )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(36,894 )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(25,152 )</w:t>
            </w:r>
          </w:p>
        </w:tc>
        <w:tc>
          <w:tcPr>
            <w:tcW w:w="0" w:type="dxa"/>
            <w:vAlign w:val="bottom"/>
          </w:tcPr>
          <w:p>
            <w:pPr>
              <w:spacing w:after="0"/>
              <w:rPr>
                <w:sz w:val="1"/>
                <w:szCs w:val="1"/>
                <w:color w:val="auto"/>
              </w:rPr>
            </w:pPr>
          </w:p>
        </w:tc>
      </w:tr>
      <w:tr>
        <w:trPr>
          <w:trHeight w:val="18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58,707,309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42,792,812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55,496,543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42,721,891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Less: weighted-average unvested restricted</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common stock subject to repurchase</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(2,770 )</w:t>
            </w: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(3,095 )</w:t>
            </w:r>
          </w:p>
        </w:tc>
        <w:tc>
          <w:tcPr>
            <w:tcW w:w="0" w:type="dxa"/>
            <w:vAlign w:val="bottom"/>
          </w:tcPr>
          <w:p>
            <w:pPr>
              <w:spacing w:after="0"/>
              <w:rPr>
                <w:sz w:val="1"/>
                <w:szCs w:val="1"/>
                <w:color w:val="auto"/>
              </w:rPr>
            </w:pPr>
          </w:p>
        </w:tc>
      </w:tr>
      <w:tr>
        <w:trPr>
          <w:trHeight w:val="168"/>
        </w:trPr>
        <w:tc>
          <w:tcPr>
            <w:tcW w:w="3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weighted-average unvested common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issued upon early exercise of common</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(38,597 )</w:t>
            </w:r>
          </w:p>
        </w:tc>
        <w:tc>
          <w:tcPr>
            <w:tcW w:w="14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(200,829 )</w:t>
            </w:r>
          </w:p>
        </w:tc>
        <w:tc>
          <w:tcPr>
            <w:tcW w:w="10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(47,720 )</w:t>
            </w:r>
          </w:p>
        </w:tc>
        <w:tc>
          <w:tcPr>
            <w:tcW w:w="1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(226,419 )</w:t>
            </w:r>
          </w:p>
        </w:tc>
        <w:tc>
          <w:tcPr>
            <w:tcW w:w="0" w:type="dxa"/>
            <w:vAlign w:val="bottom"/>
          </w:tcPr>
          <w:p>
            <w:pPr>
              <w:spacing w:after="0"/>
              <w:rPr>
                <w:sz w:val="1"/>
                <w:szCs w:val="1"/>
                <w:color w:val="auto"/>
              </w:rPr>
            </w:pPr>
          </w:p>
        </w:tc>
      </w:tr>
      <w:tr>
        <w:trPr>
          <w:trHeight w:val="186"/>
        </w:trPr>
        <w:tc>
          <w:tcPr>
            <w:tcW w:w="3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options</w:t>
            </w: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4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Weighted-average shares used to compute net loss</w:t>
            </w: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58,668,712</w:t>
            </w: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42,589,213</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55,448,823</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42,492,377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per common share, basic and diluted</w:t>
            </w: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(0.32 )</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(0.31 )</w:t>
            </w:r>
          </w:p>
        </w:tc>
        <w:tc>
          <w:tcPr>
            <w:tcW w:w="1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4"/>
                <w:szCs w:val="14"/>
                <w:color w:val="auto"/>
              </w:rPr>
              <w:t>(0.67 )</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(0.59 )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-137795</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-124460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-137795</wp:posOffset>
            </wp:positionV>
            <wp:extent cx="41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-124460</wp:posOffset>
            </wp:positionV>
            <wp:extent cx="412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-137795</wp:posOffset>
            </wp:positionV>
            <wp:extent cx="412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-124460</wp:posOffset>
            </wp:positionV>
            <wp:extent cx="412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-137795</wp:posOffset>
            </wp:positionV>
            <wp:extent cx="4127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-124460</wp:posOffset>
            </wp:positionV>
            <wp:extent cx="4127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7" w:lineRule="exact"/>
        <w:rPr>
          <w:sz w:val="20"/>
          <w:szCs w:val="20"/>
          <w:color w:val="auto"/>
        </w:rPr>
      </w:pPr>
    </w:p>
    <w:p>
      <w:pPr>
        <w:ind w:left="1140" w:right="1159" w:firstLine="517"/>
        <w:spacing w:after="0" w:line="265" w:lineRule="auto"/>
        <w:rPr>
          <w:sz w:val="20"/>
          <w:szCs w:val="20"/>
          <w:color w:val="auto"/>
        </w:rPr>
      </w:pPr>
      <w:r>
        <w:rPr>
          <w:rFonts w:ascii="Times New Roman" w:cs="Times New Roman" w:eastAsia="Times New Roman" w:hAnsi="Times New Roman"/>
          <w:sz w:val="14"/>
          <w:szCs w:val="14"/>
          <w:color w:val="auto"/>
        </w:rPr>
        <w:t>Included in the weighted-average shares of common stock outstanding, both basic and diluted for the three and six months ended June 30, 2024 are weighted shares of common stock issuable upon the exercise of the 2024 Pre-Funded Warrants issued under the 2024 Private Placement (described in Note 6). The 2024 Pre-Funded Warrants are exercisable at any time for nominal consideration, and therefore these shares are considered outstanding for the purpose of calculating basic and diluted net loss per share.</w:t>
      </w:r>
    </w:p>
    <w:p>
      <w:pPr>
        <w:spacing w:after="0" w:line="144" w:lineRule="exact"/>
        <w:rPr>
          <w:sz w:val="20"/>
          <w:szCs w:val="20"/>
          <w:color w:val="auto"/>
        </w:rPr>
      </w:pPr>
    </w:p>
    <w:p>
      <w:pPr>
        <w:ind w:left="1140" w:right="1319"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outstanding potentially dilutive securities that have been excluded from the calculation of diluted net loss per share because their inclusion would be anti-dilutive.</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4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4520" w:type="dxa"/>
            <w:vAlign w:val="bottom"/>
          </w:tcPr>
          <w:p>
            <w:pPr>
              <w:spacing w:after="0"/>
              <w:rPr>
                <w:sz w:val="11"/>
                <w:szCs w:val="11"/>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Unvested restricted common stock subject to repurchase</w:t>
            </w:r>
          </w:p>
        </w:tc>
        <w:tc>
          <w:tcPr>
            <w:tcW w:w="146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common stock upon early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174,867</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8,600,436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6,040,647</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shares purchasable under the ESPP</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19,851</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8,652,020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6,237,895</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-19685</wp:posOffset>
            </wp:positionV>
            <wp:extent cx="4127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-6350</wp:posOffset>
            </wp:positionV>
            <wp:extent cx="4127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9. Leases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Company has operating leases for its office and laboratory space, including its corporate headquarters.</w:t>
      </w:r>
    </w:p>
    <w:p>
      <w:pPr>
        <w:spacing w:after="0" w:line="183" w:lineRule="exact"/>
        <w:rPr>
          <w:sz w:val="20"/>
          <w:szCs w:val="20"/>
          <w:color w:val="auto"/>
        </w:rPr>
      </w:pPr>
    </w:p>
    <w:p>
      <w:pPr>
        <w:ind w:left="1140" w:right="1199" w:firstLine="517"/>
        <w:spacing w:after="0" w:line="268" w:lineRule="auto"/>
        <w:rPr>
          <w:sz w:val="20"/>
          <w:szCs w:val="20"/>
          <w:color w:val="auto"/>
        </w:rPr>
      </w:pPr>
      <w:r>
        <w:rPr>
          <w:rFonts w:ascii="Times New Roman" w:cs="Times New Roman" w:eastAsia="Times New Roman" w:hAnsi="Times New Roman"/>
          <w:sz w:val="14"/>
          <w:szCs w:val="14"/>
          <w:color w:val="auto"/>
        </w:rPr>
        <w:t>In August 2020, the Company entered into a lease agreement for approximately 4,734 square feet of office and lab space at 2656 State Street in Carlsbad, California, for the Company’s headquarters (the Original Lease). The Original Lease commenced in May 2021 and had an original term of 60 months, with an option to extend for two additional 36-month periods.</w:t>
      </w:r>
    </w:p>
    <w:p>
      <w:pPr>
        <w:spacing w:after="0" w:line="142" w:lineRule="exact"/>
        <w:rPr>
          <w:sz w:val="20"/>
          <w:szCs w:val="20"/>
          <w:color w:val="auto"/>
        </w:rPr>
      </w:pPr>
    </w:p>
    <w:p>
      <w:pPr>
        <w:ind w:left="1140" w:right="1199" w:firstLine="516"/>
        <w:spacing w:after="0" w:line="258" w:lineRule="auto"/>
        <w:rPr>
          <w:sz w:val="20"/>
          <w:szCs w:val="20"/>
          <w:color w:val="auto"/>
        </w:rPr>
      </w:pPr>
      <w:r>
        <w:rPr>
          <w:rFonts w:ascii="Times New Roman" w:cs="Times New Roman" w:eastAsia="Times New Roman" w:hAnsi="Times New Roman"/>
          <w:sz w:val="14"/>
          <w:szCs w:val="14"/>
          <w:color w:val="auto"/>
        </w:rPr>
        <w:t>In March 2022, the Company entered into a lease agreement for approximately 8,331 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began on the date the landlord delivered possession of the Expansion Lease premises in November 2023. The landlord completed improvements on the Expansion Lease premises, and the Company paid $0.5 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delivered possession of the Expansion Lease premises. The Company has an option to renew the Expansion Lease for two additional 36-month periods. The Original Lease was also amended to have the same lease expiration as the Expansion Lease.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5" w:name="page16"/>
    <w:bookmarkEnd w:id="15"/>
    <w:p>
      <w:pPr>
        <w:ind w:left="1140" w:right="1299" w:firstLine="517"/>
        <w:spacing w:after="0" w:line="293" w:lineRule="auto"/>
        <w:rPr>
          <w:sz w:val="20"/>
          <w:szCs w:val="20"/>
          <w:color w:val="auto"/>
        </w:rPr>
      </w:pPr>
      <w:r>
        <w:rPr>
          <w:rFonts w:ascii="Times New Roman" w:cs="Times New Roman" w:eastAsia="Times New Roman" w:hAnsi="Times New Roman"/>
          <w:sz w:val="14"/>
          <w:szCs w:val="14"/>
          <w:color w:val="auto"/>
        </w:rPr>
        <w:t>The Company did not include the renewal periods in determining the lease term, as the Company was not reasonably certain to exercise either the amended Original Lease or the Expansion Lease renewal options.</w:t>
      </w:r>
    </w:p>
    <w:p>
      <w:pPr>
        <w:spacing w:after="0" w:line="123" w:lineRule="exact"/>
        <w:rPr>
          <w:sz w:val="20"/>
          <w:szCs w:val="20"/>
          <w:color w:val="auto"/>
        </w:rPr>
      </w:pPr>
    </w:p>
    <w:p>
      <w:pPr>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In connection with the Company's lease agreements, the Company paid security deposits of $0.1 million and is required to maintain a letter of credit of $1.0 million until 2027 at which time it can be reduced to $0.5 million throughout the end of the lease term.</w:t>
      </w:r>
    </w:p>
    <w:p>
      <w:pPr>
        <w:spacing w:after="0" w:line="135" w:lineRule="exact"/>
        <w:rPr>
          <w:sz w:val="20"/>
          <w:szCs w:val="20"/>
          <w:color w:val="auto"/>
        </w:rPr>
      </w:pPr>
    </w:p>
    <w:p>
      <w:pPr>
        <w:ind w:left="1140" w:right="1359" w:firstLine="517"/>
        <w:spacing w:after="0" w:line="275" w:lineRule="auto"/>
        <w:rPr>
          <w:sz w:val="20"/>
          <w:szCs w:val="20"/>
          <w:color w:val="auto"/>
        </w:rPr>
      </w:pPr>
      <w:r>
        <w:rPr>
          <w:rFonts w:ascii="Times New Roman" w:cs="Times New Roman" w:eastAsia="Times New Roman" w:hAnsi="Times New Roman"/>
          <w:sz w:val="14"/>
          <w:szCs w:val="14"/>
          <w:color w:val="auto"/>
        </w:rPr>
        <w:t>Cash paid for amounts included in the measurement of lease liabilities was $0.2 million and $0.6 million for the three months ended June 30, 2024 and 2023, respectively, and $0.3 million and $0.7 million for the six months ended June 30, 2024 and 2023, respectively.</w:t>
      </w:r>
    </w:p>
    <w:p>
      <w:pPr>
        <w:spacing w:after="0" w:line="135" w:lineRule="exact"/>
        <w:rPr>
          <w:sz w:val="20"/>
          <w:szCs w:val="20"/>
          <w:color w:val="auto"/>
        </w:rPr>
      </w:pPr>
    </w:p>
    <w:p>
      <w:pPr>
        <w:jc w:val="both"/>
        <w:ind w:left="1140" w:right="1239" w:firstLine="517"/>
        <w:spacing w:after="0" w:line="268" w:lineRule="auto"/>
        <w:rPr>
          <w:sz w:val="20"/>
          <w:szCs w:val="20"/>
          <w:color w:val="auto"/>
        </w:rPr>
      </w:pPr>
      <w:r>
        <w:rPr>
          <w:rFonts w:ascii="Times New Roman" w:cs="Times New Roman" w:eastAsia="Times New Roman" w:hAnsi="Times New Roman"/>
          <w:sz w:val="14"/>
          <w:szCs w:val="14"/>
          <w:color w:val="auto"/>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and six months ended June 30, 2024 and 2023, respectively, were as follows (in thousands):</w:t>
      </w:r>
    </w:p>
    <w:p>
      <w:pPr>
        <w:spacing w:after="0" w:line="140"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1480" w:type="dxa"/>
            <w:vAlign w:val="bottom"/>
            <w:gridSpan w:val="5"/>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48"/>
        </w:trPr>
        <w:tc>
          <w:tcPr>
            <w:tcW w:w="35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3560" w:type="dxa"/>
            <w:vAlign w:val="bottom"/>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46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239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FF0FC"/>
          </w:tcPr>
          <w:p>
            <w:pPr>
              <w:spacing w:after="0"/>
              <w:rPr>
                <w:sz w:val="16"/>
                <w:szCs w:val="16"/>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4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6"/>
                <w:szCs w:val="16"/>
                <w:color w:val="auto"/>
              </w:rPr>
            </w:pPr>
          </w:p>
        </w:tc>
      </w:tr>
      <w:tr>
        <w:trPr>
          <w:trHeight w:val="194"/>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46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46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295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-149860</wp:posOffset>
            </wp:positionV>
            <wp:extent cx="4127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-149860</wp:posOffset>
            </wp:positionV>
            <wp:extent cx="4127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-149860</wp:posOffset>
            </wp:positionV>
            <wp:extent cx="4127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both"/>
        <w:ind w:left="1140" w:right="1179" w:firstLine="517"/>
        <w:spacing w:after="0" w:line="293" w:lineRule="auto"/>
        <w:rPr>
          <w:sz w:val="20"/>
          <w:szCs w:val="20"/>
          <w:color w:val="auto"/>
        </w:rPr>
      </w:pPr>
      <w:r>
        <w:rPr>
          <w:rFonts w:ascii="Times New Roman" w:cs="Times New Roman" w:eastAsia="Times New Roman" w:hAnsi="Times New Roman"/>
          <w:sz w:val="14"/>
          <w:szCs w:val="14"/>
          <w:color w:val="auto"/>
        </w:rPr>
        <w:t>Maturities of lease liabilities, weighted-average remaining term and weighted-average discount rate were as follows (in thousands):</w:t>
      </w:r>
    </w:p>
    <w:p>
      <w:pPr>
        <w:spacing w:after="0" w:line="151"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9"/>
              </w:rPr>
              <w:t>As of June 30,</w:t>
            </w: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8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(remaining six months)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428</w:t>
            </w:r>
          </w:p>
        </w:tc>
        <w:tc>
          <w:tcPr>
            <w:tcW w:w="60" w:type="dxa"/>
            <w:vAlign w:val="bottom"/>
          </w:tcPr>
          <w:p>
            <w:pPr>
              <w:spacing w:after="0"/>
              <w:rPr>
                <w:sz w:val="16"/>
                <w:szCs w:val="16"/>
                <w:color w:val="auto"/>
              </w:rPr>
            </w:pPr>
          </w:p>
        </w:tc>
      </w:tr>
      <w:tr>
        <w:trPr>
          <w:trHeight w:val="198"/>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873</w:t>
            </w:r>
          </w:p>
        </w:tc>
        <w:tc>
          <w:tcPr>
            <w:tcW w:w="60" w:type="dxa"/>
            <w:vAlign w:val="bottom"/>
          </w:tcPr>
          <w:p>
            <w:pPr>
              <w:spacing w:after="0"/>
              <w:rPr>
                <w:sz w:val="17"/>
                <w:szCs w:val="17"/>
                <w:color w:val="auto"/>
              </w:rPr>
            </w:pPr>
          </w:p>
        </w:tc>
      </w:tr>
      <w:tr>
        <w:trPr>
          <w:trHeight w:val="19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899</w:t>
            </w:r>
          </w:p>
        </w:tc>
        <w:tc>
          <w:tcPr>
            <w:tcW w:w="60" w:type="dxa"/>
            <w:vAlign w:val="bottom"/>
          </w:tcPr>
          <w:p>
            <w:pPr>
              <w:spacing w:after="0"/>
              <w:rPr>
                <w:sz w:val="16"/>
                <w:szCs w:val="16"/>
                <w:color w:val="auto"/>
              </w:rPr>
            </w:pPr>
          </w:p>
        </w:tc>
      </w:tr>
      <w:tr>
        <w:trPr>
          <w:trHeight w:val="198"/>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926</w:t>
            </w:r>
          </w:p>
        </w:tc>
        <w:tc>
          <w:tcPr>
            <w:tcW w:w="60" w:type="dxa"/>
            <w:vAlign w:val="bottom"/>
          </w:tcPr>
          <w:p>
            <w:pPr>
              <w:spacing w:after="0"/>
              <w:rPr>
                <w:sz w:val="17"/>
                <w:szCs w:val="17"/>
                <w:color w:val="auto"/>
              </w:rPr>
            </w:pPr>
          </w:p>
        </w:tc>
      </w:tr>
      <w:tr>
        <w:trPr>
          <w:trHeight w:val="190"/>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954</w:t>
            </w:r>
          </w:p>
        </w:tc>
        <w:tc>
          <w:tcPr>
            <w:tcW w:w="60" w:type="dxa"/>
            <w:vAlign w:val="bottom"/>
          </w:tcPr>
          <w:p>
            <w:pPr>
              <w:spacing w:after="0"/>
              <w:rPr>
                <w:sz w:val="16"/>
                <w:szCs w:val="16"/>
                <w:color w:val="auto"/>
              </w:rPr>
            </w:pPr>
          </w:p>
        </w:tc>
      </w:tr>
      <w:tr>
        <w:trPr>
          <w:trHeight w:val="194"/>
        </w:trPr>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88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5,027</w:t>
            </w:r>
          </w:p>
        </w:tc>
        <w:tc>
          <w:tcPr>
            <w:tcW w:w="60" w:type="dxa"/>
            <w:vAlign w:val="bottom"/>
          </w:tcPr>
          <w:p>
            <w:pPr>
              <w:spacing w:after="0"/>
              <w:rPr>
                <w:sz w:val="16"/>
                <w:szCs w:val="16"/>
                <w:color w:val="auto"/>
              </w:rPr>
            </w:pP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9,107</w:t>
            </w:r>
          </w:p>
        </w:tc>
        <w:tc>
          <w:tcPr>
            <w:tcW w:w="60" w:type="dxa"/>
            <w:vAlign w:val="bottom"/>
          </w:tcPr>
          <w:p>
            <w:pPr>
              <w:spacing w:after="0"/>
              <w:rPr>
                <w:sz w:val="16"/>
                <w:szCs w:val="16"/>
                <w:color w:val="auto"/>
              </w:rPr>
            </w:pPr>
          </w:p>
        </w:tc>
      </w:tr>
      <w:tr>
        <w:trPr>
          <w:trHeight w:val="19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8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(2,708 )</w:t>
            </w:r>
          </w:p>
        </w:tc>
        <w:tc>
          <w:tcPr>
            <w:tcW w:w="60" w:type="dxa"/>
            <w:vAlign w:val="bottom"/>
          </w:tcPr>
          <w:p>
            <w:pPr>
              <w:spacing w:after="0"/>
              <w:rPr>
                <w:sz w:val="16"/>
                <w:szCs w:val="16"/>
                <w:color w:val="auto"/>
              </w:rPr>
            </w:pPr>
          </w:p>
        </w:tc>
      </w:tr>
      <w:tr>
        <w:trPr>
          <w:trHeight w:val="184"/>
        </w:trPr>
        <w:tc>
          <w:tcPr>
            <w:tcW w:w="4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6,399</w:t>
            </w:r>
          </w:p>
        </w:tc>
        <w:tc>
          <w:tcPr>
            <w:tcW w:w="60" w:type="dxa"/>
            <w:vAlign w:val="bottom"/>
          </w:tcPr>
          <w:p>
            <w:pPr>
              <w:spacing w:after="0"/>
              <w:rPr>
                <w:sz w:val="16"/>
                <w:szCs w:val="16"/>
                <w:color w:val="auto"/>
              </w:rPr>
            </w:pPr>
          </w:p>
        </w:tc>
      </w:tr>
      <w:tr>
        <w:trPr>
          <w:trHeight w:val="19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8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60" w:type="dxa"/>
            <w:vAlign w:val="bottom"/>
          </w:tcPr>
          <w:p>
            <w:pPr>
              <w:spacing w:after="0"/>
              <w:rPr>
                <w:sz w:val="16"/>
                <w:szCs w:val="16"/>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8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6,016</w:t>
            </w:r>
          </w:p>
        </w:tc>
        <w:tc>
          <w:tcPr>
            <w:tcW w:w="6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472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8"/>
        </w:trPr>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 - operating leases</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16"/>
                <w:szCs w:val="16"/>
                <w:color w:val="auto"/>
              </w:rPr>
            </w:pPr>
          </w:p>
        </w:tc>
      </w:t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incremental borrowing rate - operating leases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8.07 %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-1203960</wp:posOffset>
            </wp:positionV>
            <wp:extent cx="412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-950595</wp:posOffset>
            </wp:positionV>
            <wp:extent cx="4127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-697865</wp:posOffset>
            </wp:positionV>
            <wp:extent cx="4127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Funding Commitments</w:t>
      </w:r>
    </w:p>
    <w:p>
      <w:pPr>
        <w:spacing w:after="0" w:line="187" w:lineRule="exact"/>
        <w:rPr>
          <w:sz w:val="20"/>
          <w:szCs w:val="20"/>
          <w:color w:val="auto"/>
        </w:rPr>
      </w:pPr>
    </w:p>
    <w:p>
      <w:pPr>
        <w:ind w:left="1140" w:right="1199" w:firstLine="517"/>
        <w:spacing w:after="0" w:line="260" w:lineRule="auto"/>
        <w:rPr>
          <w:sz w:val="20"/>
          <w:szCs w:val="20"/>
          <w:color w:val="auto"/>
        </w:rPr>
      </w:pPr>
      <w:r>
        <w:rPr>
          <w:rFonts w:ascii="Times New Roman" w:cs="Times New Roman" w:eastAsia="Times New Roman" w:hAnsi="Times New Roman"/>
          <w:sz w:val="14"/>
          <w:szCs w:val="14"/>
          <w:color w:val="auto"/>
        </w:rPr>
        <w:t>As of June 30, 2024,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6" w:name="page17"/>
    <w:bookmarkEnd w:id="16"/>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7" w:lineRule="exact"/>
        <w:rPr>
          <w:sz w:val="20"/>
          <w:szCs w:val="20"/>
          <w:color w:val="auto"/>
        </w:rPr>
      </w:pPr>
    </w:p>
    <w:p>
      <w:pPr>
        <w:jc w:val="both"/>
        <w:ind w:left="1140" w:right="1199" w:firstLine="517"/>
        <w:spacing w:after="0" w:line="267" w:lineRule="auto"/>
        <w:rPr>
          <w:sz w:val="20"/>
          <w:szCs w:val="20"/>
          <w:color w:val="auto"/>
        </w:rPr>
      </w:pPr>
      <w:r>
        <w:rPr>
          <w:rFonts w:ascii="Times New Roman" w:cs="Times New Roman" w:eastAsia="Times New Roman" w:hAnsi="Times New Roman"/>
          <w:sz w:val="14"/>
          <w:szCs w:val="14"/>
          <w:color w:val="auto"/>
        </w:rPr>
        <w:t>The Company, from time to time, may be party to litigation arising in the ordinary course of business. The Company was not subject to any material legal proceedings as of June 30, 2024, and no material legal proceedings are currently pending or threatened. If the potential loss from any claim, asserted or unasserted, or legal proceeding is considered probable and the amount is reasonably estimable, the Company will accrue a liability for the estimated loss.</w:t>
      </w:r>
    </w:p>
    <w:p>
      <w:pPr>
        <w:spacing w:after="0" w:line="3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ind w:left="1140" w:right="1179" w:firstLine="516"/>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and analysis and the unaudited interim condensed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0" w:lineRule="exact"/>
        <w:rPr>
          <w:sz w:val="20"/>
          <w:szCs w:val="20"/>
          <w:color w:val="auto"/>
        </w:rPr>
      </w:pPr>
    </w:p>
    <w:p>
      <w:pPr>
        <w:ind w:left="1140" w:right="1159" w:firstLine="552"/>
        <w:spacing w:after="0" w:line="259"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1140" w:right="1199" w:firstLine="516"/>
        <w:spacing w:after="0" w:line="260" w:lineRule="auto"/>
        <w:rPr>
          <w:sz w:val="20"/>
          <w:szCs w:val="20"/>
          <w:color w:val="auto"/>
        </w:rPr>
      </w:pPr>
      <w:r>
        <w:rPr>
          <w:rFonts w:ascii="Times New Roman" w:cs="Times New Roman" w:eastAsia="Times New Roman" w:hAnsi="Times New Roman"/>
          <w:sz w:val="14"/>
          <w:szCs w:val="14"/>
          <w:color w:val="auto"/>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7" w:name="page18"/>
    <w:bookmarkEnd w:id="17"/>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in order to generate novel product candidates that are specifically designed to limit off-target toxicities and address acquired drug resistance to provide next-generation treatment options.</w:t>
      </w:r>
    </w:p>
    <w:p>
      <w:pPr>
        <w:spacing w:after="0" w:line="143" w:lineRule="exact"/>
        <w:rPr>
          <w:sz w:val="20"/>
          <w:szCs w:val="20"/>
          <w:color w:val="auto"/>
        </w:rPr>
      </w:pPr>
    </w:p>
    <w:p>
      <w:pPr>
        <w:ind w:left="1140" w:right="1199" w:firstLine="516"/>
        <w:spacing w:after="0" w:line="260" w:lineRule="auto"/>
        <w:rPr>
          <w:sz w:val="20"/>
          <w:szCs w:val="20"/>
          <w:color w:val="auto"/>
        </w:rPr>
      </w:pPr>
      <w:r>
        <w:rPr>
          <w:rFonts w:ascii="Times New Roman" w:cs="Times New Roman" w:eastAsia="Times New Roman" w:hAnsi="Times New Roman"/>
          <w:sz w:val="14"/>
          <w:szCs w:val="14"/>
          <w:color w:val="auto"/>
        </w:rPr>
        <w:t>Our lead product candidate, TYRA-300, is an investigational, oral, FGFR3-selective inhibitor currently being evaluated in an international, multi-center, open label Phase 1 clinical trial, SURF301 (Study in Untreated and Resistant FGFR3+ Advanced Solid Tumors). SURF301 (NCT05544552) was designed to determine the optimal and maximum tolerated doses (MTD) and the recommended Phase 2 dose (RP2D) of TYRA-300, as well as to evaluate the preliminary antitumor activity of TYRA-300. SURF301 is currently enrolling adults with locally advanced or metastatic urothelial carcinoma (mUC) and other advanced solid tumors with FGFR3 gene alterations. We expect that the Phase 1 portion of SURF301 will provide data to inform the dosing schedule of TYRA-300 we intend to evaluate in potential future studies in mUC and non-muscle invasive bladder cancer (NMIBC). The Part A, Phase 1 portion of SURF301 has completed dose escalation without determining an MTD, and the current expansion cohorts in Part B are evaluating potentially therapeutic once daily and twice daily doses in preparation for potential future Phase 2 studies in NMIBC and mUC. We expect to submit initial results from the SURF301 Phase 1 portion for presentation at a scientific congress in the second half of 2024.</w:t>
      </w:r>
    </w:p>
    <w:p>
      <w:pPr>
        <w:spacing w:after="0" w:line="145"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Beyond oncology, FGFR3 is implicated in many genetically-defined conditions, such as achondroplasia (ACH) and other skeletal dysplasias, due to its role in regulating bone and cartilage formation. In March 2023, we announced we were expanding development of TYRA-300 into ACH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the dataset when molecular analysis showed chimeric incorporation of mutation, and n=10 for vehicle, after excluding one vehicle mouse from the dataset when molecular analysis showed chimeric incorporation of mutation). Achondroplasia, the most common form of dwarfism, is a skeletal dysplasia in which growth plate cartilage is affected, resulting in decreased growth of the long bones, vertebral bodies and skull base. These growth differences can result in health complications such as foramen magnum and spinal stenosis, hydrocephalus, genu varum (bowed legs), and sleep apnea. A specific DNA mutation in FGFR3 causes an estimated 99% of ACH.</w:t>
      </w:r>
    </w:p>
    <w:p>
      <w:pPr>
        <w:spacing w:after="0" w:line="152" w:lineRule="exact"/>
        <w:rPr>
          <w:sz w:val="20"/>
          <w:szCs w:val="20"/>
          <w:color w:val="auto"/>
        </w:rPr>
      </w:pPr>
    </w:p>
    <w:p>
      <w:pPr>
        <w:ind w:left="1140" w:right="1219" w:firstLine="516"/>
        <w:spacing w:after="0" w:line="260" w:lineRule="auto"/>
        <w:rPr>
          <w:sz w:val="20"/>
          <w:szCs w:val="20"/>
          <w:color w:val="auto"/>
        </w:rPr>
      </w:pPr>
      <w:r>
        <w:rPr>
          <w:rFonts w:ascii="Times New Roman" w:cs="Times New Roman" w:eastAsia="Times New Roman" w:hAnsi="Times New Roman"/>
          <w:sz w:val="14"/>
          <w:szCs w:val="14"/>
          <w:color w:val="auto"/>
        </w:rPr>
        <w:t>We believe that the design of TYRA-300 may have a meaningful impact on ACH and potentially other skeletal dysplasias. We are conducting additional Investigational New Drug Application (IND)-enabling studies and plan to submit an Investigational New Drug (IND) application to the FDA in the second half of 2024 for the initiation of a Phase 2 clinical trial testing multiple doses of TYRA-300 to support children with ACH. We expect that the primary objective of this study will be to assess safety and tolerability in children with ACH and determine the dose(s) for further development. We expect that secondary objectives will include evaluating change in growth velocity, growth proportionality and pharmacokinetics (PK). We are also planning exploratory assessments of clinical outcomes and quality of life measures, and an evaluation of biomarkers to determine dose-response relationships to TYRA-300. In July 2023 and January 2024, the FDA granted Orphan Drug Designation (ODD) and Rare Pediatric Disease (RPD) Designation to TYRA-300, respectively, for the treatment of ACH.</w:t>
      </w:r>
    </w:p>
    <w:p>
      <w:pPr>
        <w:spacing w:after="0" w:line="150" w:lineRule="exact"/>
        <w:rPr>
          <w:sz w:val="20"/>
          <w:szCs w:val="20"/>
          <w:color w:val="auto"/>
        </w:rPr>
      </w:pPr>
    </w:p>
    <w:p>
      <w:pPr>
        <w:ind w:left="1140" w:right="1319" w:firstLine="516"/>
        <w:spacing w:after="0" w:line="265" w:lineRule="auto"/>
        <w:rPr>
          <w:sz w:val="20"/>
          <w:szCs w:val="20"/>
          <w:color w:val="auto"/>
        </w:rPr>
      </w:pPr>
      <w:r>
        <w:rPr>
          <w:rFonts w:ascii="Times New Roman" w:cs="Times New Roman" w:eastAsia="Times New Roman" w:hAnsi="Times New Roman"/>
          <w:sz w:val="14"/>
          <w:szCs w:val="14"/>
          <w:color w:val="auto"/>
        </w:rPr>
        <w:t>In July 2024, we announced the expansion of development of TYRA-300 into hypochondroplasia (HCH) based on positive preclinical results. In a preclinical HCH model, TYRA-300 demonstrated increases in long bone length and binding against the HCH altered protein. HCH is a skeletal dysplasia closely related to ACH. HCH is most commonly caused by the N540K mutation (~70-80%) in the FGFR3 gene. The design of TYRA-300 may inhibit the alteration driving FGFR3-related skeletal dysplasias including ACH, HCH and others.</w:t>
      </w:r>
    </w:p>
    <w:p>
      <w:pPr>
        <w:spacing w:after="0" w:line="144" w:lineRule="exact"/>
        <w:rPr>
          <w:sz w:val="20"/>
          <w:szCs w:val="20"/>
          <w:color w:val="auto"/>
        </w:rPr>
      </w:pPr>
    </w:p>
    <w:p>
      <w:pPr>
        <w:ind w:left="1140" w:right="1279" w:firstLine="516"/>
        <w:spacing w:after="0" w:line="263" w:lineRule="auto"/>
        <w:rPr>
          <w:sz w:val="20"/>
          <w:szCs w:val="20"/>
          <w:color w:val="auto"/>
        </w:rPr>
      </w:pPr>
      <w:r>
        <w:rPr>
          <w:rFonts w:ascii="Times New Roman" w:cs="Times New Roman" w:eastAsia="Times New Roman" w:hAnsi="Times New Roman"/>
          <w:sz w:val="14"/>
          <w:szCs w:val="14"/>
          <w:color w:val="auto"/>
        </w:rPr>
        <w:t>Our second oncology product candidate, TYRA-200, is an investigational, oral, FGFR1/2/3 inhibitor with potency against activating FGFR2 gene alterations, as well as clinically important molecular brake and gatekeeper resistance mutations. TYRA-200 is currently being evaluated in a multi-center, open label Phase 1 clinical study, SURF201 (Study in PrevioUsly treated and Resistant FGFR2+ Cholangiocarcinoma and Other Advanced Solid Tumors) (NCT06160752) that is designed to evaluate the safety, tolerability, and PK of TYRA-200 and determine the optimal dose for further development and the MTD and RP2D, as well as evaluate preliminary antitumor activity.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8" w:name="page19"/>
    <w:bookmarkEnd w:id="18"/>
    <w:p>
      <w:pPr>
        <w:ind w:left="1140" w:right="1179" w:firstLine="516"/>
        <w:spacing w:after="0" w:line="264" w:lineRule="auto"/>
        <w:rPr>
          <w:sz w:val="20"/>
          <w:szCs w:val="20"/>
          <w:color w:val="auto"/>
        </w:rPr>
      </w:pPr>
      <w:r>
        <w:rPr>
          <w:rFonts w:ascii="Times New Roman" w:cs="Times New Roman" w:eastAsia="Times New Roman" w:hAnsi="Times New Roman"/>
          <w:sz w:val="14"/>
          <w:szCs w:val="14"/>
          <w:color w:val="auto"/>
        </w:rPr>
        <w:t>We nominated our third candidate for clinical development, TYRA-430, an investigational FGFR4/3 biased inhibitor for FGF19+/FGFR4-driven cancers. In August 2024, we announced that the FDA allowed our IND to proceed with a Phase 1 clinical study of TYRA-430. The Phase 1 study will be a multicenter, open-label, first-in-human study of TYRA-430 in advanced hepatocellular carcinoma (HCC) and other solid tumors with activating FGF/FGFR pathway aberrations (SURF431). We believe TYRA-430 has the potential to address a significant unmet need in HCC, where there are no approved biomarker-driven, targeted therapies.</w:t>
      </w:r>
    </w:p>
    <w:p>
      <w:pPr>
        <w:spacing w:after="0" w:line="143" w:lineRule="exact"/>
        <w:rPr>
          <w:sz w:val="20"/>
          <w:szCs w:val="20"/>
          <w:color w:val="auto"/>
        </w:rPr>
      </w:pPr>
    </w:p>
    <w:p>
      <w:pPr>
        <w:ind w:left="1140" w:right="1239" w:firstLine="516"/>
        <w:spacing w:after="0" w:line="261" w:lineRule="auto"/>
        <w:rPr>
          <w:sz w:val="20"/>
          <w:szCs w:val="20"/>
          <w:color w:val="auto"/>
        </w:rPr>
      </w:pPr>
      <w:r>
        <w:rPr>
          <w:rFonts w:ascii="Times New Roman" w:cs="Times New Roman" w:eastAsia="Times New Roman" w:hAnsi="Times New Roman"/>
          <w:sz w:val="14"/>
          <w:szCs w:val="14"/>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six months ended June 30, 2024 and 2023 were $36.9 million and $25.2 million, respectively. As of June 30, 2024, we had an accumulated deficit of $201.7 million. As of June 30, 2024, we had cash, cash equivalents, and marketable securities of $373.8 million.</w:t>
      </w:r>
    </w:p>
    <w:p>
      <w:pPr>
        <w:spacing w:after="0" w:line="146" w:lineRule="exact"/>
        <w:rPr>
          <w:sz w:val="20"/>
          <w:szCs w:val="20"/>
          <w:color w:val="auto"/>
        </w:rPr>
      </w:pPr>
    </w:p>
    <w:p>
      <w:pPr>
        <w:ind w:left="1140" w:right="1399" w:firstLine="516"/>
        <w:spacing w:after="0" w:line="275" w:lineRule="auto"/>
        <w:rPr>
          <w:sz w:val="20"/>
          <w:szCs w:val="20"/>
          <w:color w:val="auto"/>
        </w:rPr>
      </w:pPr>
      <w:r>
        <w:rPr>
          <w:rFonts w:ascii="Times New Roman" w:cs="Times New Roman" w:eastAsia="Times New Roman" w:hAnsi="Times New Roman"/>
          <w:sz w:val="14"/>
          <w:szCs w:val="14"/>
          <w:color w:val="auto"/>
        </w:rPr>
        <w:t>In February 2024, we completed a private placement of 9,286,023 shares of our common stock and pre-funded warrants to purchase an aggregate of 6,087,230 shares of our common stock for gross proceeds of approximately $200 million (the 2024 Private Placement) before deducting offering expenses.</w:t>
      </w:r>
    </w:p>
    <w:p>
      <w:pPr>
        <w:spacing w:after="0" w:line="135" w:lineRule="exact"/>
        <w:rPr>
          <w:sz w:val="20"/>
          <w:szCs w:val="20"/>
          <w:color w:val="auto"/>
        </w:rPr>
      </w:pPr>
    </w:p>
    <w:p>
      <w:pPr>
        <w:ind w:left="1140" w:right="1379" w:firstLine="516"/>
        <w:spacing w:after="0" w:line="262" w:lineRule="auto"/>
        <w:rPr>
          <w:sz w:val="20"/>
          <w:szCs w:val="20"/>
          <w:color w:val="auto"/>
        </w:rPr>
      </w:pPr>
      <w:r>
        <w:rPr>
          <w:rFonts w:ascii="Times New Roman" w:cs="Times New Roman" w:eastAsia="Times New Roman" w:hAnsi="Times New Roman"/>
          <w:sz w:val="14"/>
          <w:szCs w:val="14"/>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47"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Based on our current operating plan, we believe that our cash, cash equivalents, and marketable securities as of June 30, 2024 will be sufficient to fund our operating expenses and capital expenditures through at least 2026.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3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jc w:val="both"/>
        <w:ind w:left="1140" w:right="1319" w:firstLine="516"/>
        <w:spacing w:after="0" w:line="275" w:lineRule="auto"/>
        <w:rPr>
          <w:sz w:val="20"/>
          <w:szCs w:val="20"/>
          <w:color w:val="auto"/>
        </w:rPr>
      </w:pPr>
      <w:r>
        <w:rPr>
          <w:rFonts w:ascii="Times New Roman" w:cs="Times New Roman" w:eastAsia="Times New Roman" w:hAnsi="Times New Roman"/>
          <w:sz w:val="14"/>
          <w:szCs w:val="14"/>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35" w:lineRule="exact"/>
        <w:rPr>
          <w:sz w:val="20"/>
          <w:szCs w:val="20"/>
          <w:color w:val="auto"/>
        </w:rPr>
      </w:pPr>
    </w:p>
    <w:p>
      <w:pPr>
        <w:ind w:left="1660" w:hanging="213"/>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costs, including:</w:t>
      </w:r>
    </w:p>
    <w:p>
      <w:pPr>
        <w:spacing w:after="0" w:line="183" w:lineRule="exact"/>
        <w:rPr>
          <w:rFonts w:ascii="Times New Roman" w:cs="Times New Roman" w:eastAsia="Times New Roman" w:hAnsi="Times New Roman"/>
          <w:sz w:val="14"/>
          <w:szCs w:val="14"/>
          <w:color w:val="auto"/>
        </w:rPr>
      </w:pPr>
    </w:p>
    <w:p>
      <w:pPr>
        <w:ind w:left="1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expenses incurred in connection with conducting clinical trials, including investigator grants and site</w:t>
      </w:r>
    </w:p>
    <w:p>
      <w:pPr>
        <w:spacing w:after="0" w:line="25" w:lineRule="exact"/>
        <w:rPr>
          <w:sz w:val="20"/>
          <w:szCs w:val="20"/>
          <w:color w:val="auto"/>
        </w:rPr>
      </w:pPr>
    </w:p>
    <w:p>
      <w:pPr>
        <w:ind w:left="1880" w:right="1219"/>
        <w:spacing w:after="0" w:line="256" w:lineRule="auto"/>
        <w:rPr>
          <w:sz w:val="20"/>
          <w:szCs w:val="20"/>
          <w:color w:val="auto"/>
        </w:rPr>
      </w:pPr>
      <w:r>
        <w:rPr>
          <w:rFonts w:ascii="Times New Roman" w:cs="Times New Roman" w:eastAsia="Times New Roman" w:hAnsi="Times New Roman"/>
          <w:sz w:val="14"/>
          <w:szCs w:val="14"/>
          <w:color w:val="auto"/>
        </w:rPr>
        <w:t>payments for time and pass-through expenses and expenses incurred under agreements with contract research organizations (CROs), central laboratories and other vendors and service providers engaged to conduct our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9" w:name="page20"/>
    <w:bookmarkEnd w:id="19"/>
    <w:p>
      <w:pPr>
        <w:ind w:left="2100" w:right="145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the discovery and preclinical development of our product candidates, including under agreements with third parties, such as consultants and CROs;</w:t>
      </w:r>
    </w:p>
    <w:p>
      <w:pPr>
        <w:spacing w:after="0" w:line="123" w:lineRule="exact"/>
        <w:rPr>
          <w:rFonts w:ascii="Times New Roman" w:cs="Times New Roman" w:eastAsia="Times New Roman" w:hAnsi="Times New Roman"/>
          <w:sz w:val="14"/>
          <w:szCs w:val="14"/>
          <w:color w:val="auto"/>
        </w:rPr>
      </w:pPr>
    </w:p>
    <w:p>
      <w:pPr>
        <w:ind w:left="2100" w:right="133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consultants for chemistry, manufacturing and controls (CMC) development, and other services;</w:t>
      </w:r>
    </w:p>
    <w:p>
      <w:pPr>
        <w:spacing w:after="0" w:line="123" w:lineRule="exact"/>
        <w:rPr>
          <w:rFonts w:ascii="Times New Roman" w:cs="Times New Roman" w:eastAsia="Times New Roman" w:hAnsi="Times New Roman"/>
          <w:sz w:val="14"/>
          <w:szCs w:val="14"/>
          <w:color w:val="auto"/>
        </w:rPr>
      </w:pPr>
    </w:p>
    <w:p>
      <w:pPr>
        <w:ind w:left="2100" w:right="121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compounds for use in our preclinical studies, including under agreements with third parties, such as consultants and third-party manufacturers; and</w:t>
      </w:r>
    </w:p>
    <w:p>
      <w:pPr>
        <w:spacing w:after="0" w:line="123" w:lineRule="exact"/>
        <w:rPr>
          <w:rFonts w:ascii="Times New Roman" w:cs="Times New Roman" w:eastAsia="Times New Roman" w:hAnsi="Times New Roman"/>
          <w:sz w:val="14"/>
          <w:szCs w:val="14"/>
          <w:color w:val="auto"/>
        </w:rPr>
      </w:pPr>
    </w:p>
    <w:p>
      <w:pPr>
        <w:ind w:left="2100" w:hanging="219"/>
        <w:spacing w:after="0"/>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drug development regulatory requirements; and</w:t>
      </w:r>
    </w:p>
    <w:p>
      <w:pPr>
        <w:spacing w:after="0" w:line="183"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costs, including:</w:t>
      </w:r>
    </w:p>
    <w:p>
      <w:pPr>
        <w:spacing w:after="0" w:line="183" w:lineRule="exact"/>
        <w:rPr>
          <w:rFonts w:ascii="Times New Roman" w:cs="Times New Roman" w:eastAsia="Times New Roman" w:hAnsi="Times New Roman"/>
          <w:sz w:val="14"/>
          <w:szCs w:val="14"/>
          <w:color w:val="auto"/>
        </w:rPr>
      </w:pPr>
    </w:p>
    <w:p>
      <w:pPr>
        <w:ind w:left="2100" w:right="191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related benefits, travel and share-based compensation expenses for employees engaged in research and development functions;</w:t>
      </w:r>
    </w:p>
    <w:p>
      <w:pPr>
        <w:spacing w:after="0" w:line="123" w:lineRule="exact"/>
        <w:rPr>
          <w:rFonts w:ascii="Times New Roman" w:cs="Times New Roman" w:eastAsia="Times New Roman" w:hAnsi="Times New Roman"/>
          <w:sz w:val="14"/>
          <w:szCs w:val="14"/>
          <w:color w:val="auto"/>
        </w:rPr>
      </w:pPr>
    </w:p>
    <w:p>
      <w:pPr>
        <w:ind w:left="2100" w:right="149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laboratory supplies and acquiring, developing and manufacturing preclinical study materials; and</w:t>
      </w:r>
    </w:p>
    <w:p>
      <w:pPr>
        <w:spacing w:after="0" w:line="123" w:lineRule="exact"/>
        <w:rPr>
          <w:rFonts w:ascii="Times New Roman" w:cs="Times New Roman" w:eastAsia="Times New Roman" w:hAnsi="Times New Roman"/>
          <w:sz w:val="14"/>
          <w:szCs w:val="14"/>
          <w:color w:val="auto"/>
        </w:rPr>
      </w:pPr>
    </w:p>
    <w:p>
      <w:pPr>
        <w:ind w:left="2100" w:right="1819" w:hanging="219"/>
        <w:spacing w:after="0" w:line="293" w:lineRule="auto"/>
        <w:tabs>
          <w:tab w:leader="none" w:pos="21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expenses, which include allocated expenses for rent and maintenance of facilities, and supplies.</w:t>
      </w:r>
    </w:p>
    <w:p>
      <w:pPr>
        <w:spacing w:after="0" w:line="123" w:lineRule="exact"/>
        <w:rPr>
          <w:sz w:val="20"/>
          <w:szCs w:val="20"/>
          <w:color w:val="auto"/>
        </w:rPr>
      </w:pPr>
    </w:p>
    <w:p>
      <w:pPr>
        <w:ind w:left="1140" w:right="1179" w:firstLine="516"/>
        <w:spacing w:after="0" w:line="264" w:lineRule="auto"/>
        <w:rPr>
          <w:sz w:val="20"/>
          <w:szCs w:val="20"/>
          <w:color w:val="auto"/>
        </w:rPr>
      </w:pPr>
      <w:r>
        <w:rPr>
          <w:rFonts w:ascii="Times New Roman" w:cs="Times New Roman" w:eastAsia="Times New Roman" w:hAnsi="Times New Roman"/>
          <w:sz w:val="14"/>
          <w:szCs w:val="14"/>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43" w:lineRule="exact"/>
        <w:rPr>
          <w:sz w:val="20"/>
          <w:szCs w:val="20"/>
          <w:color w:val="auto"/>
        </w:rPr>
      </w:pPr>
    </w:p>
    <w:p>
      <w:pPr>
        <w:ind w:left="1140" w:right="1239" w:firstLine="516"/>
        <w:spacing w:after="0" w:line="261"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future research and development expenses may vary significantly based on a wide variety of factors</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such as:</w:t>
      </w:r>
    </w:p>
    <w:p>
      <w:pPr>
        <w:spacing w:after="0" w:line="170" w:lineRule="exact"/>
        <w:rPr>
          <w:sz w:val="20"/>
          <w:szCs w:val="20"/>
          <w:color w:val="auto"/>
        </w:rPr>
      </w:pPr>
    </w:p>
    <w:p>
      <w:pPr>
        <w:ind w:left="1880" w:right="1879" w:hanging="216"/>
        <w:spacing w:after="0" w:line="293" w:lineRule="auto"/>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rate of progress, expense and results of our discovery and preclinical development activities and clinical trials;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trials required for approval;</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sites included in each of our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countries in which the trials are conducted;</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eligible patients;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that participate in the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appropriate patients eligible for our clinical trials;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that patients receive;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0" w:name="page21"/>
    <w:bookmarkEnd w:id="20"/>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drop-out or discontinuation rates of patients;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additional safety monitoring requested by regulatory agencies;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patient participation in the trials and follow-up;</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phase of development of the product candidate;</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the product candidate;</w:t>
      </w:r>
    </w:p>
    <w:p>
      <w:pPr>
        <w:spacing w:after="0" w:line="183" w:lineRule="exact"/>
        <w:rPr>
          <w:rFonts w:ascii="Times New Roman" w:cs="Times New Roman" w:eastAsia="Times New Roman" w:hAnsi="Times New Roman"/>
          <w:sz w:val="14"/>
          <w:szCs w:val="14"/>
          <w:color w:val="auto"/>
        </w:rPr>
      </w:pPr>
    </w:p>
    <w:p>
      <w:pPr>
        <w:ind w:left="1880" w:right="147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terms of any approvals from applicable regulatory authorities including the FDA and non-U.S. regulators;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 continued acceptable safety profile of our product candidates following approval, if any;</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manufacturing our product candidates;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changing government regulation and regulatory guidance;</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attract and retain personnel;</w:t>
      </w:r>
    </w:p>
    <w:p>
      <w:pPr>
        <w:spacing w:after="0" w:line="183" w:lineRule="exact"/>
        <w:rPr>
          <w:rFonts w:ascii="Times New Roman" w:cs="Times New Roman" w:eastAsia="Times New Roman" w:hAnsi="Times New Roman"/>
          <w:sz w:val="14"/>
          <w:szCs w:val="14"/>
          <w:color w:val="auto"/>
        </w:rPr>
      </w:pPr>
    </w:p>
    <w:p>
      <w:pPr>
        <w:ind w:left="1880" w:right="121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business interruptions to our operations or to those of the third parties with whom we work;</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instability, such as the war and other conflicts in Ukraine and the Middle East;</w:t>
      </w:r>
    </w:p>
    <w:p>
      <w:pPr>
        <w:spacing w:after="0" w:line="183" w:lineRule="exact"/>
        <w:rPr>
          <w:rFonts w:ascii="Times New Roman" w:cs="Times New Roman" w:eastAsia="Times New Roman" w:hAnsi="Times New Roman"/>
          <w:sz w:val="14"/>
          <w:szCs w:val="14"/>
          <w:color w:val="auto"/>
        </w:rPr>
      </w:pPr>
    </w:p>
    <w:p>
      <w:pPr>
        <w:ind w:left="1880" w:right="1259" w:hanging="216"/>
        <w:spacing w:after="0" w:line="293" w:lineRule="auto"/>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effects on the financial markets, the global economy, the supply chain and our expenses due to pandemic or epidemic diseases, geopolitical instability, inflation, interest rates and other factors; and</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establish additional strategic collaborations or other arrangements.</w:t>
      </w:r>
    </w:p>
    <w:p>
      <w:pPr>
        <w:spacing w:after="0" w:line="183" w:lineRule="exact"/>
        <w:rPr>
          <w:sz w:val="20"/>
          <w:szCs w:val="20"/>
          <w:color w:val="auto"/>
        </w:rPr>
      </w:pPr>
    </w:p>
    <w:p>
      <w:pPr>
        <w:ind w:left="1140" w:right="1359" w:firstLine="516"/>
        <w:spacing w:after="0" w:line="275"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35" w:lineRule="exact"/>
        <w:rPr>
          <w:sz w:val="20"/>
          <w:szCs w:val="20"/>
          <w:color w:val="auto"/>
        </w:rPr>
      </w:pPr>
    </w:p>
    <w:p>
      <w:pPr>
        <w:ind w:left="1140" w:right="1339" w:firstLine="516"/>
        <w:spacing w:after="0" w:line="268" w:lineRule="auto"/>
        <w:rPr>
          <w:sz w:val="20"/>
          <w:szCs w:val="20"/>
          <w:color w:val="auto"/>
        </w:rPr>
      </w:pPr>
      <w:r>
        <w:rPr>
          <w:rFonts w:ascii="Times New Roman" w:cs="Times New Roman" w:eastAsia="Times New Roman" w:hAnsi="Times New Roman"/>
          <w:sz w:val="14"/>
          <w:szCs w:val="14"/>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1140" w:right="1199" w:firstLine="516"/>
        <w:spacing w:after="0" w:line="258"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1" w:name="page22"/>
    <w:bookmarkEnd w:id="21"/>
    <w:p>
      <w:pPr>
        <w:ind w:left="11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2024 and 2023</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periods indicated (in thousands):</w:t>
      </w:r>
    </w:p>
    <w:p>
      <w:pPr>
        <w:spacing w:after="0" w:line="265"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1"/>
        </w:trPr>
        <w:tc>
          <w:tcPr>
            <w:tcW w:w="4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r>
      <w:tr>
        <w:trPr>
          <w:trHeight w:val="190"/>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14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5,835</w:t>
            </w:r>
          </w:p>
        </w:tc>
      </w:tr>
      <w:tr>
        <w:trPr>
          <w:trHeight w:val="194"/>
        </w:trPr>
        <w:tc>
          <w:tcPr>
            <w:tcW w:w="4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1,683</w:t>
            </w:r>
          </w:p>
        </w:tc>
      </w:tr>
      <w:tr>
        <w:trPr>
          <w:trHeight w:val="184"/>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7,518</w:t>
            </w:r>
          </w:p>
        </w:tc>
      </w:tr>
      <w:tr>
        <w:trPr>
          <w:trHeight w:val="18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(23,532 )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(16,014 )</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(7,518 )</w:t>
            </w: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4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2,088</w:t>
            </w:r>
          </w:p>
        </w:tc>
      </w:tr>
      <w:tr>
        <w:trPr>
          <w:trHeight w:val="184"/>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2,088</w:t>
            </w:r>
          </w:p>
        </w:tc>
      </w:tr>
      <w:tr>
        <w:trPr>
          <w:trHeight w:val="20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(18,702 )</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(13,272 )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(5,430 )</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-784860</wp:posOffset>
            </wp:positionV>
            <wp:extent cx="4127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-784860</wp:posOffset>
            </wp:positionV>
            <wp:extent cx="4127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-784860</wp:posOffset>
            </wp:positionV>
            <wp:extent cx="4127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-279400</wp:posOffset>
            </wp:positionV>
            <wp:extent cx="4127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wp:posOffset>
            </wp:positionV>
            <wp:extent cx="4127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-279400</wp:posOffset>
            </wp:positionV>
            <wp:extent cx="4127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-19685</wp:posOffset>
            </wp:positionV>
            <wp:extent cx="4127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-6350</wp:posOffset>
            </wp:positionV>
            <wp:extent cx="4127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-19685</wp:posOffset>
            </wp:positionV>
            <wp:extent cx="412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-6350</wp:posOffset>
            </wp:positionV>
            <wp:extent cx="412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7" w:lineRule="exact"/>
        <w:rPr>
          <w:sz w:val="20"/>
          <w:szCs w:val="20"/>
          <w:color w:val="auto"/>
        </w:rPr>
      </w:pPr>
    </w:p>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were $18.0 million and $12.2 million for the three months ended June 30, 2024 and 2023, respectively. The overall increase of $5.8 million was primarily due to an increase in CRO and drug manufacturing costs to support our ongoing and planned clinical trials of $3.0 million, an increase in personnel costs of $1.3 million, an increase in stock-based compensation costs of $1.2 million, and an increase in facilities and other operating costs of $0.7 million. The increase was partially offset by a decrease in preclinical expenses of $0.4 million.</w:t>
      </w:r>
    </w:p>
    <w:p>
      <w:pPr>
        <w:spacing w:after="0" w:line="143" w:lineRule="exact"/>
        <w:rPr>
          <w:sz w:val="20"/>
          <w:szCs w:val="20"/>
          <w:color w:val="auto"/>
        </w:rPr>
      </w:pPr>
    </w:p>
    <w:p>
      <w:pPr>
        <w:ind w:left="1140" w:right="1299" w:firstLine="516"/>
        <w:spacing w:after="0" w:line="293"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by development program for the three months ended June 30, 2024 and 2023 (in thousands):</w:t>
      </w:r>
    </w:p>
    <w:p>
      <w:pPr>
        <w:spacing w:after="0" w:line="151"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r>
      <w:tr>
        <w:trPr>
          <w:trHeight w:val="131"/>
        </w:trPr>
        <w:tc>
          <w:tcPr>
            <w:tcW w:w="48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59"/>
        </w:trPr>
        <w:tc>
          <w:tcPr>
            <w:tcW w:w="48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External research and development expense by</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98"/>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program</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TYRA-300 ACH</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TYRA-300 ONC</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TYRA-200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TYRA-430</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development programs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60" w:type="dxa"/>
            <w:vAlign w:val="bottom"/>
          </w:tcPr>
          <w:p>
            <w:pPr>
              <w:spacing w:after="0"/>
              <w:rPr>
                <w:sz w:val="16"/>
                <w:szCs w:val="16"/>
                <w:color w:val="auto"/>
              </w:rPr>
            </w:pPr>
          </w:p>
        </w:tc>
      </w:tr>
      <w:tr>
        <w:trPr>
          <w:trHeight w:val="194"/>
        </w:trPr>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Personnel and stock-based compensation</w:t>
            </w: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60" w:type="dxa"/>
            <w:vAlign w:val="bottom"/>
          </w:tcPr>
          <w:p>
            <w:pPr>
              <w:spacing w:after="0"/>
              <w:rPr>
                <w:sz w:val="16"/>
                <w:szCs w:val="16"/>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-149860</wp:posOffset>
            </wp:positionV>
            <wp:extent cx="4127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7" w:lineRule="exact"/>
        <w:rPr>
          <w:sz w:val="20"/>
          <w:szCs w:val="20"/>
          <w:color w:val="auto"/>
        </w:rPr>
      </w:pPr>
    </w:p>
    <w:p>
      <w:pPr>
        <w:ind w:left="1140" w:right="1279" w:firstLine="516"/>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were $5.5 million and $3.9 million for the three months ended June 30, 2024 and 2023, respectively. The increase of $1.6 million was primarily due to an increase in stock-based compensation costs of $0.7 million, an increase in professional costs of $0.5 million, an increase in personnel costs of $0.3 million and an increase in other operating costs of $0.1 million.</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7" w:lineRule="exact"/>
        <w:rPr>
          <w:sz w:val="20"/>
          <w:szCs w:val="20"/>
          <w:color w:val="auto"/>
        </w:rPr>
      </w:pPr>
    </w:p>
    <w:p>
      <w:pPr>
        <w:ind w:left="1140" w:right="1319" w:firstLine="516"/>
        <w:spacing w:after="0" w:line="261" w:lineRule="auto"/>
        <w:rPr>
          <w:sz w:val="20"/>
          <w:szCs w:val="20"/>
          <w:color w:val="auto"/>
        </w:rPr>
      </w:pPr>
      <w:r>
        <w:rPr>
          <w:rFonts w:ascii="Times New Roman" w:cs="Times New Roman" w:eastAsia="Times New Roman" w:hAnsi="Times New Roman"/>
          <w:sz w:val="14"/>
          <w:szCs w:val="14"/>
          <w:color w:val="auto"/>
        </w:rPr>
        <w:t>Other income was $4.8 million and $2.7 million for the three months ended June 30, 2024 and 2023, respectively. The increase of $2.1 million was primarily related to the increase in cash, cash equivalents, and marketable securities resulting from proceeds received from the 2024 Private Placement, as well as fluctuations in interest rates.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2024 and 2023</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periods indicated (in thousands):</w:t>
      </w:r>
    </w:p>
    <w:p>
      <w:pPr>
        <w:spacing w:after="0" w:line="265"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1"/>
        </w:trPr>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8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r>
      <w:tr>
        <w:trPr>
          <w:trHeight w:val="190"/>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14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12,629</w:t>
            </w:r>
          </w:p>
        </w:tc>
      </w:tr>
      <w:tr>
        <w:trPr>
          <w:trHeight w:val="194"/>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10,654</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2,876</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45,853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15,505</w:t>
            </w:r>
          </w:p>
        </w:tc>
      </w:tr>
      <w:tr>
        <w:trPr>
          <w:trHeight w:val="188"/>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(45,853 )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(30,348 )</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(15,505 )</w:t>
            </w:r>
          </w:p>
        </w:tc>
      </w:tr>
      <w:tr>
        <w:trPr>
          <w:trHeight w:val="190"/>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3,763</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3,763</w:t>
            </w:r>
          </w:p>
        </w:tc>
      </w:tr>
      <w:tr>
        <w:trPr>
          <w:trHeight w:val="20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(36,894 )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(25,152 )</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(11,742 )</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-784860</wp:posOffset>
            </wp:positionV>
            <wp:extent cx="4127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-784860</wp:posOffset>
            </wp:positionV>
            <wp:extent cx="4127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-784860</wp:posOffset>
            </wp:positionV>
            <wp:extent cx="4127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-279400</wp:posOffset>
            </wp:positionV>
            <wp:extent cx="4127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wp:posOffset>
            </wp:positionV>
            <wp:extent cx="4127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-279400</wp:posOffset>
            </wp:positionV>
            <wp:extent cx="4127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-19685</wp:posOffset>
            </wp:positionV>
            <wp:extent cx="4127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-6350</wp:posOffset>
            </wp:positionV>
            <wp:extent cx="4127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-19685</wp:posOffset>
            </wp:positionV>
            <wp:extent cx="4127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-6350</wp:posOffset>
            </wp:positionV>
            <wp:extent cx="4127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-19685</wp:posOffset>
            </wp:positionV>
            <wp:extent cx="4127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-6350</wp:posOffset>
            </wp:positionV>
            <wp:extent cx="4127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7" w:lineRule="exact"/>
        <w:rPr>
          <w:sz w:val="20"/>
          <w:szCs w:val="20"/>
          <w:color w:val="auto"/>
        </w:rPr>
      </w:pPr>
    </w:p>
    <w:p>
      <w:pPr>
        <w:ind w:left="1140" w:right="1199" w:firstLine="516"/>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were $35.2 million and $22.6 million for the six months ended June 30, 2024 and 2023, respectively. The overall increase of $12.6 million was primarily due to an increase in CRO and drug manufacturing costs to support our ongoing and planned clinical trials of $7.6 million, an increase of personnel costs of $2.4 million, an increase in stock-based compensation costs of $2.2 million, and an increase in facilities and other operating costs of $1.2 million. The increase was partially offset by a decrease in preclinical expenses of $0.8 million.</w:t>
      </w:r>
    </w:p>
    <w:p>
      <w:pPr>
        <w:spacing w:after="0" w:line="316" w:lineRule="exact"/>
        <w:rPr>
          <w:sz w:val="20"/>
          <w:szCs w:val="20"/>
          <w:color w:val="auto"/>
        </w:rPr>
      </w:pPr>
    </w:p>
    <w:p>
      <w:pPr>
        <w:ind w:left="1140" w:right="1299" w:firstLine="516"/>
        <w:spacing w:after="0" w:line="293"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by development program for the six months ended June 30, 2024 and 2023 (in thousands):</w:t>
      </w:r>
    </w:p>
    <w:p>
      <w:pPr>
        <w:spacing w:after="0" w:line="151"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48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59"/>
        </w:trPr>
        <w:tc>
          <w:tcPr>
            <w:tcW w:w="48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External research and development expense by</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98"/>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program</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TYRA-300 ACH</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TYRA-300 ONC</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TYRA-200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TYRA-430</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development programs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60" w:type="dxa"/>
            <w:vAlign w:val="bottom"/>
          </w:tcPr>
          <w:p>
            <w:pPr>
              <w:spacing w:after="0"/>
              <w:rPr>
                <w:sz w:val="16"/>
                <w:szCs w:val="16"/>
                <w:color w:val="auto"/>
              </w:rPr>
            </w:pPr>
          </w:p>
        </w:tc>
      </w:tr>
      <w:tr>
        <w:trPr>
          <w:trHeight w:val="198"/>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0"/>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6"/>
                <w:szCs w:val="16"/>
                <w:color w:val="auto"/>
              </w:rPr>
            </w:pPr>
          </w:p>
        </w:tc>
      </w:tr>
      <w:tr>
        <w:trPr>
          <w:trHeight w:val="194"/>
        </w:trPr>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Personnel and stock-based compensation</w:t>
            </w:r>
          </w:p>
        </w:tc>
        <w:tc>
          <w:tcPr>
            <w:tcW w:w="1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7,521</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 expense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60" w:type="dxa"/>
            <w:vAlign w:val="bottom"/>
          </w:tcPr>
          <w:p>
            <w:pPr>
              <w:spacing w:after="0"/>
              <w:rPr>
                <w:sz w:val="16"/>
                <w:szCs w:val="16"/>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-149860</wp:posOffset>
            </wp:positionV>
            <wp:extent cx="4127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7" w:lineRule="exact"/>
        <w:rPr>
          <w:sz w:val="20"/>
          <w:szCs w:val="20"/>
          <w:color w:val="auto"/>
        </w:rPr>
      </w:pPr>
    </w:p>
    <w:p>
      <w:pPr>
        <w:ind w:left="1140" w:right="1179" w:firstLine="516"/>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were $10.7 million and $7.8 million for the six months ended June 30, 2024 and 2023, respectively. The increase of $2.9 million was primarily due to an increase in stock-based compensation costs of $1.4 million, an increase in professional service costs of $0.9 million, an increase in personnel costs of $0.5 million and an increase in other operating costs of $0.1 million.</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7" w:lineRule="exact"/>
        <w:rPr>
          <w:sz w:val="20"/>
          <w:szCs w:val="20"/>
          <w:color w:val="auto"/>
        </w:rPr>
      </w:pPr>
    </w:p>
    <w:p>
      <w:pPr>
        <w:ind w:left="1140" w:right="1319" w:firstLine="516"/>
        <w:spacing w:after="0" w:line="261" w:lineRule="auto"/>
        <w:rPr>
          <w:sz w:val="20"/>
          <w:szCs w:val="20"/>
          <w:color w:val="auto"/>
        </w:rPr>
      </w:pPr>
      <w:r>
        <w:rPr>
          <w:rFonts w:ascii="Times New Roman" w:cs="Times New Roman" w:eastAsia="Times New Roman" w:hAnsi="Times New Roman"/>
          <w:sz w:val="14"/>
          <w:szCs w:val="14"/>
          <w:color w:val="auto"/>
        </w:rPr>
        <w:t>Other income was $9.0 million and $5.2 million for the six months ended June 30, 2024 and 2023, respectively. The increase of $3.8 million was primarily related to the increase in cash, cash equivalents, and marketable securities resulting from proceeds received from the 2024 Private Placement, as well as fluctuations in interest rates.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3" w:name="page24"/>
    <w:bookmarkEnd w:id="23"/>
    <w:p>
      <w:pPr>
        <w:ind w:left="11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87" w:lineRule="exact"/>
        <w:rPr>
          <w:sz w:val="20"/>
          <w:szCs w:val="20"/>
          <w:color w:val="auto"/>
        </w:rPr>
      </w:pPr>
    </w:p>
    <w:p>
      <w:pPr>
        <w:ind w:left="1140" w:right="1299" w:firstLine="516"/>
        <w:spacing w:after="0" w:line="268" w:lineRule="auto"/>
        <w:rPr>
          <w:sz w:val="20"/>
          <w:szCs w:val="20"/>
          <w:color w:val="auto"/>
        </w:rPr>
      </w:pPr>
      <w:r>
        <w:rPr>
          <w:rFonts w:ascii="Times New Roman" w:cs="Times New Roman" w:eastAsia="Times New Roman" w:hAnsi="Times New Roman"/>
          <w:sz w:val="14"/>
          <w:szCs w:val="14"/>
          <w:color w:val="auto"/>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spacing w:after="0" w:line="142" w:lineRule="exact"/>
        <w:rPr>
          <w:sz w:val="20"/>
          <w:szCs w:val="20"/>
          <w:color w:val="auto"/>
        </w:rPr>
      </w:pPr>
    </w:p>
    <w:p>
      <w:pPr>
        <w:ind w:left="1140" w:right="1199" w:firstLine="516"/>
        <w:spacing w:after="0" w:line="265" w:lineRule="auto"/>
        <w:rPr>
          <w:sz w:val="20"/>
          <w:szCs w:val="20"/>
          <w:color w:val="auto"/>
        </w:rPr>
      </w:pPr>
      <w:r>
        <w:rPr>
          <w:rFonts w:ascii="Times New Roman" w:cs="Times New Roman" w:eastAsia="Times New Roman" w:hAnsi="Times New Roman"/>
          <w:sz w:val="14"/>
          <w:szCs w:val="14"/>
          <w:color w:val="auto"/>
        </w:rPr>
        <w:t>On February 6, 2024, we completed the 2024 Private Placement for gross proceeds of approximately $200 million, before deducting offering expenses of $0.4 million. On March 19, 2024, we filed a registration statement on Form S-3 registering the resale of the shares of common stock and shares of common stock issuable upon the exercise of pre-funded warrants issued in the private placement, which registration statement was declared effective by the SEC on April 22, 2024.</w:t>
      </w:r>
    </w:p>
    <w:p>
      <w:pPr>
        <w:spacing w:after="0" w:line="144" w:lineRule="exact"/>
        <w:rPr>
          <w:sz w:val="20"/>
          <w:szCs w:val="20"/>
          <w:color w:val="auto"/>
        </w:rPr>
      </w:pPr>
    </w:p>
    <w:p>
      <w:pPr>
        <w:ind w:left="1140" w:right="1219" w:firstLine="516"/>
        <w:spacing w:after="0" w:line="268" w:lineRule="auto"/>
        <w:rPr>
          <w:sz w:val="20"/>
          <w:szCs w:val="20"/>
          <w:color w:val="auto"/>
        </w:rPr>
      </w:pPr>
      <w:r>
        <w:rPr>
          <w:rFonts w:ascii="Times New Roman" w:cs="Times New Roman" w:eastAsia="Times New Roman" w:hAnsi="Times New Roman"/>
          <w:sz w:val="14"/>
          <w:szCs w:val="14"/>
          <w:color w:val="auto"/>
        </w:rPr>
        <w:t>Our primary uses of cash to date have been to fund our research and development activities, including with respect to TYRA-300, TYRA-300 ACH and TYRA-200 and other research programs, business planning, establishing and maintaining our intellectual property portfolio, hiring personnel, raising capital, and providing general and administrative support for these operations.</w:t>
      </w:r>
    </w:p>
    <w:p>
      <w:pPr>
        <w:spacing w:after="0" w:line="142" w:lineRule="exact"/>
        <w:rPr>
          <w:sz w:val="20"/>
          <w:szCs w:val="20"/>
          <w:color w:val="auto"/>
        </w:rPr>
      </w:pPr>
    </w:p>
    <w:p>
      <w:pPr>
        <w:ind w:left="1140" w:right="1199" w:firstLine="516"/>
        <w:spacing w:after="0" w:line="264" w:lineRule="auto"/>
        <w:rPr>
          <w:sz w:val="20"/>
          <w:szCs w:val="20"/>
          <w:color w:val="auto"/>
        </w:rPr>
      </w:pPr>
      <w:r>
        <w:rPr>
          <w:rFonts w:ascii="Times New Roman" w:cs="Times New Roman" w:eastAsia="Times New Roman" w:hAnsi="Times New Roman"/>
          <w:sz w:val="14"/>
          <w:szCs w:val="14"/>
          <w:color w:val="auto"/>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spacing w:after="0" w:line="143" w:lineRule="exact"/>
        <w:rPr>
          <w:sz w:val="20"/>
          <w:szCs w:val="20"/>
          <w:color w:val="auto"/>
        </w:rPr>
      </w:pPr>
    </w:p>
    <w:p>
      <w:pPr>
        <w:ind w:left="1140" w:right="1199" w:firstLine="516"/>
        <w:spacing w:after="0" w:line="268" w:lineRule="auto"/>
        <w:rPr>
          <w:sz w:val="20"/>
          <w:szCs w:val="20"/>
          <w:color w:val="auto"/>
        </w:rPr>
      </w:pPr>
      <w:r>
        <w:rPr>
          <w:rFonts w:ascii="Times New Roman" w:cs="Times New Roman" w:eastAsia="Times New Roman" w:hAnsi="Times New Roman"/>
          <w:sz w:val="14"/>
          <w:szCs w:val="14"/>
          <w:color w:val="auto"/>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 As of June 30, 2024, we have not sold any shares under the Sales Agreement.</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table sets forth a summary of our cash flows for the periods indicated (in thousands):</w:t>
      </w:r>
    </w:p>
    <w:p>
      <w:pPr>
        <w:spacing w:after="0" w:line="211" w:lineRule="exact"/>
        <w:rPr>
          <w:sz w:val="20"/>
          <w:szCs w:val="20"/>
          <w:color w:val="auto"/>
        </w:rPr>
      </w:pPr>
    </w:p>
    <w:tbl>
      <w:tblPr>
        <w:tblLayout w:type="fixed"/>
        <w:tblInd w:w="120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45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(32,286 )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(19,462 )</w:t>
            </w:r>
          </w:p>
        </w:tc>
      </w:tr>
      <w:tr>
        <w:trPr>
          <w:trHeight w:val="190"/>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(126,918 )</w:t>
            </w: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194"/>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200,688</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cash increase (decrease) for the period</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41,484</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(18,800 )</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-149860</wp:posOffset>
            </wp:positionV>
            <wp:extent cx="4127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-149860</wp:posOffset>
            </wp:positionV>
            <wp:extent cx="4127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5" w:lineRule="exact"/>
        <w:rPr>
          <w:sz w:val="20"/>
          <w:szCs w:val="20"/>
          <w:color w:val="auto"/>
        </w:rPr>
      </w:pPr>
    </w:p>
    <w:p>
      <w:pPr>
        <w:ind w:left="1140" w:right="1179" w:firstLine="516"/>
        <w:spacing w:after="0" w:line="268"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2024 was $32.3 million, consisting primarily of our net loss of $36.9 million and $1.1 million for net changes in operating assets and liabilities, adjusted for $5.7 million of non-cash charges primarily related to stock-based compensation expense and accretion on marketable securities.</w:t>
      </w:r>
    </w:p>
    <w:p>
      <w:pPr>
        <w:spacing w:after="0" w:line="142" w:lineRule="exact"/>
        <w:rPr>
          <w:sz w:val="20"/>
          <w:szCs w:val="20"/>
          <w:color w:val="auto"/>
        </w:rPr>
      </w:pPr>
    </w:p>
    <w:p>
      <w:pPr>
        <w:jc w:val="both"/>
        <w:ind w:left="1140" w:right="1279" w:firstLine="516"/>
        <w:spacing w:after="0" w:line="27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2023 was $19.5 million, consisting primarily of our net loss of $25.2 million, adjusted for $5.1 million of non-cash charges primarily related to stock-based compensation expense and $0.6 million for net changes in operating assets and liabilities.</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5" w:lineRule="exact"/>
        <w:rPr>
          <w:sz w:val="20"/>
          <w:szCs w:val="20"/>
          <w:color w:val="auto"/>
        </w:rPr>
      </w:pPr>
    </w:p>
    <w:p>
      <w:pPr>
        <w:jc w:val="both"/>
        <w:ind w:left="1140" w:right="1219" w:firstLine="516"/>
        <w:spacing w:after="0" w:line="263" w:lineRule="auto"/>
        <w:rPr>
          <w:sz w:val="20"/>
          <w:szCs w:val="20"/>
          <w:color w:val="auto"/>
        </w:rPr>
      </w:pPr>
      <w:r>
        <w:rPr>
          <w:rFonts w:ascii="Times New Roman" w:cs="Times New Roman" w:eastAsia="Times New Roman" w:hAnsi="Times New Roman"/>
          <w:sz w:val="14"/>
          <w:szCs w:val="14"/>
          <w:color w:val="auto"/>
        </w:rPr>
        <w:t>Net cash used in investing activities for the six months ended June 30, 2024 was $126.9 million, consisting of purchases of marketable securities available-for-sale of $189.2 million and purchases of property and equipment of $0.6 million, offset by $62.9 million related to sales and maturities of marketable securities available-for-sale.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4" w:name="page25"/>
    <w:bookmarkEnd w:id="24"/>
    <w:p>
      <w:pPr>
        <w:ind w:left="1140" w:right="1199" w:firstLine="516"/>
        <w:spacing w:after="0" w:line="293" w:lineRule="auto"/>
        <w:rPr>
          <w:sz w:val="20"/>
          <w:szCs w:val="20"/>
          <w:color w:val="auto"/>
        </w:rPr>
      </w:pPr>
      <w:r>
        <w:rPr>
          <w:rFonts w:ascii="Times New Roman" w:cs="Times New Roman" w:eastAsia="Times New Roman" w:hAnsi="Times New Roman"/>
          <w:sz w:val="14"/>
          <w:szCs w:val="14"/>
          <w:color w:val="auto"/>
        </w:rPr>
        <w:t>Net cash used in investing activities for the six months ended June 30, 2023 was $0.1 million, consisting of purchases of property and equipment.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5" w:lineRule="exact"/>
        <w:rPr>
          <w:sz w:val="20"/>
          <w:szCs w:val="20"/>
          <w:color w:val="auto"/>
        </w:rPr>
      </w:pPr>
    </w:p>
    <w:p>
      <w:pPr>
        <w:ind w:left="1140" w:right="1219" w:firstLine="516"/>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June 30, 2024 was $200.7 million, consisting primarily of proceeds from the issuance of common stock and pre-funded warrants from the 2024 Private Placement of $200 million, offset by issuance costs of $0.4 million and proceeds from issuances of common stock under benefit plans of $1.1 million.</w:t>
      </w:r>
    </w:p>
    <w:p>
      <w:pPr>
        <w:spacing w:after="0" w:line="142" w:lineRule="exact"/>
        <w:rPr>
          <w:sz w:val="20"/>
          <w:szCs w:val="20"/>
          <w:color w:val="auto"/>
        </w:rPr>
      </w:pPr>
    </w:p>
    <w:p>
      <w:pPr>
        <w:ind w:left="1140" w:right="1259" w:firstLine="516"/>
        <w:spacing w:after="0" w:line="293"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June 30, 2023 was $0.7 million, related to proceeds from issuances of common stock under benefit plans.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1140" w:right="1179" w:firstLine="516"/>
        <w:spacing w:after="0" w:line="261" w:lineRule="auto"/>
        <w:rPr>
          <w:sz w:val="20"/>
          <w:szCs w:val="20"/>
          <w:color w:val="auto"/>
        </w:rPr>
      </w:pPr>
      <w:r>
        <w:rPr>
          <w:rFonts w:ascii="Times New Roman" w:cs="Times New Roman" w:eastAsia="Times New Roman" w:hAnsi="Times New Roman"/>
          <w:sz w:val="14"/>
          <w:szCs w:val="14"/>
          <w:color w:val="auto"/>
        </w:rPr>
        <w:t>Based on our current operating plan, we believe that our existing cash, cash equivalents, and marketable securities as of June 30, 2024 will be sufficient to meet our anticipated operating expenses and capital expenditures through at least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4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183" w:lineRule="exact"/>
        <w:rPr>
          <w:sz w:val="20"/>
          <w:szCs w:val="20"/>
          <w:color w:val="auto"/>
        </w:rPr>
      </w:pPr>
    </w:p>
    <w:p>
      <w:pPr>
        <w:ind w:left="1880" w:right="1439" w:hanging="216"/>
        <w:spacing w:after="0" w:line="268"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41" w:lineRule="exact"/>
        <w:rPr>
          <w:rFonts w:ascii="Times New Roman" w:cs="Times New Roman" w:eastAsia="Times New Roman" w:hAnsi="Times New Roman"/>
          <w:sz w:val="14"/>
          <w:szCs w:val="14"/>
          <w:color w:val="auto"/>
        </w:rPr>
      </w:pPr>
    </w:p>
    <w:p>
      <w:pPr>
        <w:ind w:left="1880" w:right="1339" w:hanging="216"/>
        <w:spacing w:after="0" w:line="293"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current or future product candidates, including commercial scale manufacturing if any product candidate is approved;</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current or future product candidates;</w:t>
      </w:r>
    </w:p>
    <w:p>
      <w:pPr>
        <w:spacing w:after="0" w:line="18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and enforcing our patents and other intellectual property rights;</w:t>
      </w:r>
    </w:p>
    <w:p>
      <w:pPr>
        <w:spacing w:after="0" w:line="183" w:lineRule="exact"/>
        <w:rPr>
          <w:rFonts w:ascii="Times New Roman" w:cs="Times New Roman" w:eastAsia="Times New Roman" w:hAnsi="Times New Roman"/>
          <w:sz w:val="14"/>
          <w:szCs w:val="14"/>
          <w:color w:val="auto"/>
        </w:rPr>
      </w:pPr>
    </w:p>
    <w:p>
      <w:pPr>
        <w:ind w:left="1880" w:right="1299" w:hanging="216"/>
        <w:spacing w:after="0" w:line="293"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 including enhanced internal controls over financial reporting;</w:t>
      </w:r>
    </w:p>
    <w:p>
      <w:pPr>
        <w:spacing w:after="0" w:line="123" w:lineRule="exact"/>
        <w:rPr>
          <w:rFonts w:ascii="Times New Roman" w:cs="Times New Roman" w:eastAsia="Times New Roman" w:hAnsi="Times New Roman"/>
          <w:sz w:val="14"/>
          <w:szCs w:val="14"/>
          <w:color w:val="auto"/>
        </w:rPr>
      </w:pPr>
    </w:p>
    <w:p>
      <w:pPr>
        <w:ind w:left="1880" w:right="1319" w:hanging="216"/>
        <w:spacing w:after="0" w:line="293"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personnel and consultants as our business grows, including additional executive officers and clinical development personnel, as well as retaining personnel;</w:t>
      </w:r>
    </w:p>
    <w:p>
      <w:pPr>
        <w:spacing w:after="0" w:line="123" w:lineRule="exact"/>
        <w:rPr>
          <w:rFonts w:ascii="Times New Roman" w:cs="Times New Roman" w:eastAsia="Times New Roman" w:hAnsi="Times New Roman"/>
          <w:sz w:val="14"/>
          <w:szCs w:val="14"/>
          <w:color w:val="auto"/>
        </w:rPr>
      </w:pPr>
    </w:p>
    <w:p>
      <w:pPr>
        <w:ind w:left="1880" w:right="1239" w:hanging="216"/>
        <w:spacing w:after="0" w:line="293"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current or future product candidate is approved;</w:t>
      </w:r>
    </w:p>
    <w:p>
      <w:pPr>
        <w:spacing w:after="0" w:line="123" w:lineRule="exact"/>
        <w:rPr>
          <w:rFonts w:ascii="Times New Roman" w:cs="Times New Roman" w:eastAsia="Times New Roman" w:hAnsi="Times New Roman"/>
          <w:sz w:val="14"/>
          <w:szCs w:val="14"/>
          <w:color w:val="auto"/>
        </w:rPr>
      </w:pPr>
    </w:p>
    <w:p>
      <w:pPr>
        <w:ind w:left="1880" w:right="1299" w:hanging="216"/>
        <w:spacing w:after="0" w:line="293"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products;</w:t>
      </w:r>
    </w:p>
    <w:p>
      <w:pPr>
        <w:spacing w:after="0" w:line="123" w:lineRule="exact"/>
        <w:rPr>
          <w:rFonts w:ascii="Times New Roman" w:cs="Times New Roman" w:eastAsia="Times New Roman" w:hAnsi="Times New Roman"/>
          <w:sz w:val="14"/>
          <w:szCs w:val="14"/>
          <w:color w:val="auto"/>
        </w:rPr>
      </w:pPr>
    </w:p>
    <w:p>
      <w:pPr>
        <w:ind w:left="1880" w:hanging="216"/>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any products or technologies that we may in-license or acquire; and</w:t>
      </w:r>
    </w:p>
    <w:p>
      <w:pPr>
        <w:spacing w:after="0" w:line="183" w:lineRule="exact"/>
        <w:rPr>
          <w:rFonts w:ascii="Times New Roman" w:cs="Times New Roman" w:eastAsia="Times New Roman" w:hAnsi="Times New Roman"/>
          <w:sz w:val="14"/>
          <w:szCs w:val="14"/>
          <w:color w:val="auto"/>
        </w:rPr>
      </w:pPr>
    </w:p>
    <w:p>
      <w:pPr>
        <w:ind w:left="1880" w:right="1199" w:hanging="216"/>
        <w:spacing w:after="0" w:line="275"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issues with any of the above, including that the risk of each may be exacerbated by any future pandemics or epidemic diseases, potential geopolitical instability and war, inflation or rising interest rates.</w:t>
      </w:r>
    </w:p>
    <w:p>
      <w:pPr>
        <w:spacing w:after="0" w:line="135" w:lineRule="exact"/>
        <w:rPr>
          <w:sz w:val="20"/>
          <w:szCs w:val="20"/>
          <w:color w:val="auto"/>
        </w:rPr>
      </w:pPr>
    </w:p>
    <w:p>
      <w:pPr>
        <w:ind w:left="1140" w:right="1339" w:firstLine="516"/>
        <w:spacing w:after="0" w:line="263"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5" w:name="page26"/>
    <w:bookmarkEnd w:id="25"/>
    <w:p>
      <w:pPr>
        <w:ind w:left="1140" w:right="1199"/>
        <w:spacing w:after="0" w:line="260" w:lineRule="auto"/>
        <w:rPr>
          <w:sz w:val="20"/>
          <w:szCs w:val="20"/>
          <w:color w:val="auto"/>
        </w:rPr>
      </w:pPr>
      <w:r>
        <w:rPr>
          <w:rFonts w:ascii="Times New Roman" w:cs="Times New Roman" w:eastAsia="Times New Roman" w:hAnsi="Times New Roman"/>
          <w:sz w:val="14"/>
          <w:szCs w:val="14"/>
          <w:color w:val="auto"/>
        </w:rPr>
        <w:t>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5" w:lineRule="exact"/>
        <w:rPr>
          <w:sz w:val="20"/>
          <w:szCs w:val="20"/>
          <w:color w:val="auto"/>
        </w:rPr>
      </w:pPr>
    </w:p>
    <w:p>
      <w:pPr>
        <w:ind w:left="1140" w:right="1359" w:firstLine="516"/>
        <w:spacing w:after="0" w:line="275" w:lineRule="auto"/>
        <w:rPr>
          <w:sz w:val="20"/>
          <w:szCs w:val="20"/>
          <w:color w:val="auto"/>
        </w:rPr>
      </w:pPr>
      <w:r>
        <w:rPr>
          <w:rFonts w:ascii="Times New Roman" w:cs="Times New Roman" w:eastAsia="Times New Roman" w:hAnsi="Times New Roman"/>
          <w:sz w:val="14"/>
          <w:szCs w:val="14"/>
          <w:color w:val="auto"/>
        </w:rPr>
        <w:t>There were no material changes outside the ordinary course of our business during the six months ended June 30, 2024 to the information regarding our contractual obligations that was disclosed in “Management’s Discussion and Analysis of Financial Condition and Results of Operations” included in the 2023 Annual Report.</w:t>
      </w:r>
    </w:p>
    <w:p>
      <w:pPr>
        <w:spacing w:after="0" w:line="135" w:lineRule="exact"/>
        <w:rPr>
          <w:sz w:val="20"/>
          <w:szCs w:val="20"/>
          <w:color w:val="auto"/>
        </w:rPr>
      </w:pPr>
    </w:p>
    <w:p>
      <w:pPr>
        <w:ind w:left="1140" w:right="1819" w:firstLine="516"/>
        <w:spacing w:after="0" w:line="293" w:lineRule="auto"/>
        <w:rPr>
          <w:sz w:val="20"/>
          <w:szCs w:val="20"/>
          <w:color w:val="auto"/>
        </w:rPr>
      </w:pPr>
      <w:r>
        <w:rPr>
          <w:rFonts w:ascii="Times New Roman" w:cs="Times New Roman" w:eastAsia="Times New Roman" w:hAnsi="Times New Roman"/>
          <w:sz w:val="14"/>
          <w:szCs w:val="14"/>
          <w:color w:val="auto"/>
        </w:rPr>
        <w:t>As of June 30, 2024, total future aggregate operating lease commitments were $9.1 million, with approximately $0.4 million due during 2024, and the remaining due in periods from 2025 through 2033.</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ind w:left="1140" w:right="1279" w:firstLine="516"/>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during the three and six months ended June 30, 2024, as compared to the critical accounting policies and estimates disclosed in “Management’s Discussion and Analysis of Financial Condition and Results of Operations” included in the 2023 Annual Report.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85" w:lineRule="exact"/>
        <w:rPr>
          <w:sz w:val="20"/>
          <w:szCs w:val="20"/>
          <w:color w:val="auto"/>
        </w:rPr>
      </w:pPr>
    </w:p>
    <w:p>
      <w:pPr>
        <w:ind w:left="1140" w:right="1239" w:firstLine="516"/>
        <w:spacing w:after="0" w:line="275" w:lineRule="auto"/>
        <w:rPr>
          <w:sz w:val="20"/>
          <w:szCs w:val="20"/>
          <w:color w:val="auto"/>
        </w:rPr>
      </w:pPr>
      <w:r>
        <w:rPr>
          <w:rFonts w:ascii="Times New Roman" w:cs="Times New Roman" w:eastAsia="Times New Roman" w:hAnsi="Times New Roman"/>
          <w:sz w:val="14"/>
          <w:szCs w:val="14"/>
          <w:color w:val="auto"/>
        </w:rPr>
        <w:t>See Note 1 to our condensed financial statements included elsewhere in this Quarterly Report on Form 10-Q for recently issued accounting pronouncements that may potentially impact our financial position and results of operations.</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1140" w:right="1339" w:firstLine="516"/>
        <w:spacing w:after="0" w:line="268" w:lineRule="auto"/>
        <w:rPr>
          <w:sz w:val="20"/>
          <w:szCs w:val="20"/>
          <w:color w:val="auto"/>
        </w:rPr>
      </w:pPr>
      <w:r>
        <w:rPr>
          <w:rFonts w:ascii="Times New Roman" w:cs="Times New Roman" w:eastAsia="Times New Roman" w:hAnsi="Times New Roman"/>
          <w:sz w:val="14"/>
          <w:szCs w:val="14"/>
          <w:color w:val="auto"/>
        </w:rPr>
        <w:t>As of June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5" w:lineRule="exact"/>
        <w:rPr>
          <w:sz w:val="20"/>
          <w:szCs w:val="20"/>
          <w:color w:val="auto"/>
        </w:rPr>
      </w:pPr>
    </w:p>
    <w:p>
      <w:pPr>
        <w:ind w:left="1140" w:right="1219" w:firstLine="516"/>
        <w:spacing w:after="0" w:line="26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(our principal executive officer and principal financial and accounting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47" w:lineRule="exact"/>
        <w:rPr>
          <w:sz w:val="20"/>
          <w:szCs w:val="20"/>
          <w:color w:val="auto"/>
        </w:rPr>
      </w:pPr>
    </w:p>
    <w:p>
      <w:pPr>
        <w:ind w:left="1140" w:right="1279" w:firstLine="516"/>
        <w:spacing w:after="0" w:line="261" w:lineRule="auto"/>
        <w:rPr>
          <w:sz w:val="20"/>
          <w:szCs w:val="20"/>
          <w:color w:val="auto"/>
        </w:rPr>
      </w:pPr>
      <w:r>
        <w:rPr>
          <w:rFonts w:ascii="Times New Roman" w:cs="Times New Roman" w:eastAsia="Times New Roman" w:hAnsi="Times New Roman"/>
          <w:sz w:val="14"/>
          <w:szCs w:val="14"/>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6" w:name="page27"/>
    <w:bookmarkEnd w:id="26"/>
    <w:p>
      <w:pPr>
        <w:ind w:left="1140" w:right="1379"/>
        <w:spacing w:after="0" w:line="275" w:lineRule="auto"/>
        <w:rPr>
          <w:sz w:val="20"/>
          <w:szCs w:val="20"/>
          <w:color w:val="auto"/>
        </w:rPr>
      </w:pPr>
      <w:r>
        <w:rPr>
          <w:rFonts w:ascii="Times New Roman" w:cs="Times New Roman" w:eastAsia="Times New Roman" w:hAnsi="Times New Roman"/>
          <w:sz w:val="14"/>
          <w:szCs w:val="14"/>
          <w:color w:val="auto"/>
        </w:rPr>
        <w:t>covered by this report. Based on such evaluation, our chief executive officer and our chief financial officer concluded that, as of such date, our disclosure controls and procedures were effective at the reasonable assurance level.</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231F20"/>
        </w:rPr>
        <w:t>Changes in Internal Control Over Financial Reporting</w:t>
      </w:r>
    </w:p>
    <w:p>
      <w:pPr>
        <w:spacing w:after="0" w:line="185" w:lineRule="exact"/>
        <w:rPr>
          <w:sz w:val="20"/>
          <w:szCs w:val="20"/>
          <w:color w:val="auto"/>
        </w:rPr>
      </w:pPr>
    </w:p>
    <w:p>
      <w:pPr>
        <w:ind w:left="1140" w:right="1359" w:firstLine="516"/>
        <w:spacing w:after="0" w:line="275"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1140" w:right="1319" w:firstLine="516"/>
        <w:spacing w:after="0" w:line="268" w:lineRule="auto"/>
        <w:rPr>
          <w:sz w:val="20"/>
          <w:szCs w:val="20"/>
          <w:color w:val="auto"/>
        </w:rPr>
      </w:pPr>
      <w:r>
        <w:rPr>
          <w:rFonts w:ascii="Times New Roman" w:cs="Times New Roman" w:eastAsia="Times New Roman" w:hAnsi="Times New Roman"/>
          <w:sz w:val="14"/>
          <w:szCs w:val="14"/>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disclosed in Item 1A of our 2023 Annual Report.</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Use of Proceeds from Initial Public Offering</w:t>
      </w:r>
    </w:p>
    <w:p>
      <w:pPr>
        <w:spacing w:after="0" w:line="185" w:lineRule="exact"/>
        <w:rPr>
          <w:sz w:val="20"/>
          <w:szCs w:val="20"/>
          <w:color w:val="auto"/>
        </w:rPr>
      </w:pPr>
    </w:p>
    <w:p>
      <w:pPr>
        <w:ind w:left="1140" w:right="1219" w:firstLine="516"/>
        <w:spacing w:after="0" w:line="261" w:lineRule="auto"/>
        <w:rPr>
          <w:sz w:val="20"/>
          <w:szCs w:val="20"/>
          <w:color w:val="auto"/>
        </w:rPr>
      </w:pPr>
      <w:r>
        <w:rPr>
          <w:rFonts w:ascii="Times New Roman" w:cs="Times New Roman" w:eastAsia="Times New Roman" w:hAnsi="Times New Roman"/>
          <w:sz w:val="14"/>
          <w:szCs w:val="14"/>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46" w:lineRule="exact"/>
        <w:rPr>
          <w:sz w:val="20"/>
          <w:szCs w:val="20"/>
          <w:color w:val="auto"/>
        </w:rPr>
      </w:pPr>
    </w:p>
    <w:p>
      <w:pPr>
        <w:ind w:left="1140" w:right="1199" w:firstLine="516"/>
        <w:spacing w:after="0" w:line="268" w:lineRule="auto"/>
        <w:rPr>
          <w:sz w:val="20"/>
          <w:szCs w:val="20"/>
          <w:color w:val="auto"/>
        </w:rPr>
      </w:pPr>
      <w:r>
        <w:rPr>
          <w:rFonts w:ascii="Times New Roman" w:cs="Times New Roman" w:eastAsia="Times New Roman" w:hAnsi="Times New Roman"/>
          <w:sz w:val="14"/>
          <w:szCs w:val="14"/>
          <w:color w:val="auto"/>
        </w:rPr>
        <w:t>As of June 30, 2024, we estimate that we have used approximately $145.3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Issuer Repurchases of Equity Securities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jc w:val="center"/>
        <w:ind w:right="4819"/>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jc w:val="center"/>
        <w:ind w:right="4799"/>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7" w:name="page28"/>
    <w:bookmarkEnd w:id="27"/>
    <w:p>
      <w:pPr>
        <w:ind w:left="11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CMO Transition</w:t>
      </w:r>
    </w:p>
    <w:p>
      <w:pPr>
        <w:spacing w:after="0" w:line="187" w:lineRule="exact"/>
        <w:rPr>
          <w:sz w:val="20"/>
          <w:szCs w:val="20"/>
          <w:color w:val="auto"/>
        </w:rPr>
      </w:pPr>
    </w:p>
    <w:p>
      <w:pPr>
        <w:ind w:left="1140" w:right="1179" w:firstLine="516"/>
        <w:spacing w:after="0" w:line="259" w:lineRule="auto"/>
        <w:rPr>
          <w:sz w:val="20"/>
          <w:szCs w:val="20"/>
          <w:color w:val="auto"/>
        </w:rPr>
      </w:pPr>
      <w:r>
        <w:rPr>
          <w:rFonts w:ascii="Times New Roman" w:cs="Times New Roman" w:eastAsia="Times New Roman" w:hAnsi="Times New Roman"/>
          <w:sz w:val="14"/>
          <w:szCs w:val="14"/>
          <w:color w:val="auto"/>
        </w:rPr>
        <w:t>On August 4, 2024, we entered into a transition agreement (the Transition Agreement) with Hiroomi Tada, M.D., Ph.D., our Chief Medical Officer. Dr. Tada intends to pursue other opportunities but has agreed to remain employed with us for a period of time in order to assist in the transition and support of his successor as Chief Medical Officer. Dr. Tada will continue in his current role as Chief Medical Officer until the appointment of his successor (such date, the Role Conversion Date), but in no event later than January 1, 2025. On the Role Conversion Date, Dr. Tada will transition to supporting us in the role of Special Advisor through the earliest of (i) January 1, 2025, or (ii) the date on which Dr. Tada’s employment ends for any reason (the earliest of the dates in clauses (i) and</w:t>
      </w:r>
    </w:p>
    <w:p>
      <w:pPr>
        <w:spacing w:after="0" w:line="3" w:lineRule="exact"/>
        <w:rPr>
          <w:sz w:val="20"/>
          <w:szCs w:val="20"/>
          <w:color w:val="auto"/>
        </w:rPr>
      </w:pPr>
    </w:p>
    <w:p>
      <w:pPr>
        <w:ind w:left="1140" w:right="1219" w:firstLine="7"/>
        <w:spacing w:after="0" w:line="264" w:lineRule="auto"/>
        <w:tabs>
          <w:tab w:leader="none" w:pos="135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Dr. Tada’s Separation Date). We are in the process of searching for a successor to Dr. Tada. Dr. Tada will no longer serve as an executive officer as of the Role Conversion Date. Through the Separation Date, Dr. Tada will continue to receive his current cash compensation.</w:t>
      </w:r>
    </w:p>
    <w:p>
      <w:pPr>
        <w:spacing w:after="0" w:line="144" w:lineRule="exact"/>
        <w:rPr>
          <w:sz w:val="20"/>
          <w:szCs w:val="20"/>
          <w:color w:val="auto"/>
        </w:rPr>
      </w:pPr>
    </w:p>
    <w:p>
      <w:pPr>
        <w:ind w:left="1140" w:right="1179" w:firstLine="516"/>
        <w:spacing w:after="0" w:line="261" w:lineRule="auto"/>
        <w:rPr>
          <w:sz w:val="20"/>
          <w:szCs w:val="20"/>
          <w:color w:val="auto"/>
        </w:rPr>
      </w:pPr>
      <w:r>
        <w:rPr>
          <w:rFonts w:ascii="Times New Roman" w:cs="Times New Roman" w:eastAsia="Times New Roman" w:hAnsi="Times New Roman"/>
          <w:sz w:val="14"/>
          <w:szCs w:val="14"/>
          <w:color w:val="auto"/>
        </w:rPr>
        <w:t>In the event that the Separation Date occurs (i) on January 1, 2025 or (ii) earlier as a result of Dr. Tada’s termination of employment other than for cause, resignation for good reason, death or termination due to disability, subject to his execution of a general release of claims and compliance with applicable restrictive covenants, Dr. Tada shall be entitled to receive the following payments and benefits: (A) his annual base salary through June 30, 2025;</w:t>
      </w:r>
    </w:p>
    <w:p>
      <w:pPr>
        <w:spacing w:after="0" w:line="2" w:lineRule="exact"/>
        <w:rPr>
          <w:sz w:val="20"/>
          <w:szCs w:val="20"/>
          <w:color w:val="auto"/>
        </w:rPr>
      </w:pPr>
    </w:p>
    <w:p>
      <w:pPr>
        <w:ind w:left="1140" w:right="1159" w:firstLine="7"/>
        <w:spacing w:after="0" w:line="258" w:lineRule="auto"/>
        <w:tabs>
          <w:tab w:leader="none" w:pos="136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Separation Date occurs prior to Dr. Tada’s receipt of his annual bonus for 2024, he will remain eligible to receive his annual bonus for 2024 (and if the Separation Date occurs prior to December 31, 2024, such annual bonus will be prorated based on the total number of days that elapsed in 2024 through the Separation Date); (C) accelerated vesting of 50% of Dr. Tada’s unvested equity awards; (D) healthcare continuation payments for Dr. Tada and his dependents through June 30, 2025; and (E) Dr. Tada’s vested equity awards will remain exercisable until the second anniversary of the Separation Date (the Exercise Period Extension); provided, however, that as a condition to the Exercise Period Extension, Dr. Tada has agreed not to transfer or sell, on any single trading day occurring during the Exercise Period Extension, shares of our common stock in an amount that is in excess of 5% of the average daily trading volume of our common stock for the preceding calendar week.</w:t>
      </w:r>
    </w:p>
    <w:p>
      <w:pPr>
        <w:spacing w:after="0" w:line="150" w:lineRule="exact"/>
        <w:rPr>
          <w:sz w:val="20"/>
          <w:szCs w:val="20"/>
          <w:color w:val="auto"/>
        </w:rPr>
      </w:pPr>
    </w:p>
    <w:p>
      <w:pPr>
        <w:ind w:left="1140" w:right="1279" w:firstLine="516"/>
        <w:spacing w:after="0" w:line="275" w:lineRule="auto"/>
        <w:rPr>
          <w:sz w:val="20"/>
          <w:szCs w:val="20"/>
          <w:color w:val="auto"/>
        </w:rPr>
      </w:pPr>
      <w:r>
        <w:rPr>
          <w:rFonts w:ascii="Times New Roman" w:cs="Times New Roman" w:eastAsia="Times New Roman" w:hAnsi="Times New Roman"/>
          <w:sz w:val="14"/>
          <w:szCs w:val="14"/>
          <w:color w:val="auto"/>
        </w:rPr>
        <w:t>The foregoing description of the Transition Agreement does not purport to be complete and is qualified in its entirety by reference to the full text of the Transition Agreement, a copy of which we intend to file with our Quarterly Report on Form 10-Q for the quarter ending September 30, 2024.</w:t>
      </w:r>
    </w:p>
    <w:p>
      <w:pPr>
        <w:spacing w:after="0" w:line="1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Rule 10b5-1 Trading Arrangements</w:t>
      </w:r>
    </w:p>
    <w:p>
      <w:pPr>
        <w:spacing w:after="0" w:line="187" w:lineRule="exact"/>
        <w:rPr>
          <w:sz w:val="20"/>
          <w:szCs w:val="20"/>
          <w:color w:val="auto"/>
        </w:rPr>
      </w:pPr>
    </w:p>
    <w:p>
      <w:pPr>
        <w:ind w:left="1140" w:right="1259" w:firstLine="516"/>
        <w:spacing w:after="0" w:line="261" w:lineRule="auto"/>
        <w:rPr>
          <w:sz w:val="20"/>
          <w:szCs w:val="20"/>
          <w:color w:val="auto"/>
        </w:rPr>
      </w:pPr>
      <w:r>
        <w:rPr>
          <w:rFonts w:ascii="Times New Roman" w:cs="Times New Roman" w:eastAsia="Times New Roman" w:hAnsi="Times New Roman"/>
          <w:sz w:val="14"/>
          <w:szCs w:val="14"/>
          <w:color w:val="auto"/>
        </w:rPr>
        <w:t>From time to time, our officers (as defined in Rule 16a-1(f) of the Exchange Act) and directors may enter into Rule 10b5-1 or non-Rule 10b5-1 trading arrangements (as each such term is defined in Item 408 of Regulation S-K). During the three months ended June 30, 2024, none of our officers or directors adopted, modified or terminated any such trading arrangements.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377825</wp:posOffset>
            </wp:positionV>
            <wp:extent cx="428879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8" w:name="page29"/>
    <w:bookmarkEnd w:id="28"/>
    <w:tbl>
      <w:tblPr>
        <w:tblLayout w:type="fixed"/>
        <w:tblInd w:w="1140" w:type="dxa"/>
        <w:tblCellMar>
          <w:top w:w="0" w:type="dxa"/>
          <w:left w:w="0" w:type="dxa"/>
          <w:bottom w:w="0" w:type="dxa"/>
          <w:right w:w="0" w:type="dxa"/>
        </w:tblCellMar>
      </w:tblPr>
      <w:tr>
        <w:trPr>
          <w:trHeight w:val="188"/>
        </w:trPr>
        <w:tc>
          <w:tcPr>
            <w:tcW w:w="410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29"/>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19"/>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tcPr>
          <w:p>
            <w:pPr>
              <w:spacing w:after="0"/>
              <w:rPr>
                <w:sz w:val="24"/>
                <w:szCs w:val="24"/>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90"/>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31"/>
        </w:trPr>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3340" w:type="dxa"/>
            <w:vAlign w:val="bottom"/>
            <w:gridSpan w:val="22"/>
          </w:tcPr>
          <w:p>
            <w:pPr>
              <w:spacing w:after="0" w:line="131"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Amended and Restated Certificate of Incorporation</w:t>
              </w:r>
            </w:hyperlink>
          </w:p>
        </w:tc>
        <w:tc>
          <w:tcPr>
            <w:tcW w:w="8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7"/>
              </w:rPr>
              <w:t>10-K</w:t>
            </w:r>
          </w:p>
        </w:tc>
        <w:tc>
          <w:tcPr>
            <w:tcW w:w="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3/22/23</w:t>
            </w: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0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Certificate of Amendment of Amended and Restated</w:t>
              </w:r>
            </w:hyperlink>
          </w:p>
        </w:tc>
        <w:tc>
          <w:tcPr>
            <w:tcW w:w="280" w:type="dxa"/>
            <w:vAlign w:val="bottom"/>
            <w:gridSpan w:val="7"/>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5/31/24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Borders>
              <w:bottom w:val="single" w:sz="8" w:color="0000FF"/>
            </w:tcBorders>
            <w:gridSpan w:val="9"/>
          </w:tcPr>
          <w:p>
            <w:pPr>
              <w:spacing w:after="0" w:line="152"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Certificate of Incorporation, dated May 29, 2024</w:t>
              </w:r>
            </w:hyperlink>
          </w:p>
        </w:tc>
        <w:tc>
          <w:tcPr>
            <w:tcW w:w="54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322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Amended and Restated Bylaws, effective as of October</w:t>
              </w:r>
            </w:hyperlink>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10/26/23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w w:val="97"/>
              </w:rPr>
            </w:pPr>
            <w:hyperlink r:id="rId242">
              <w:r>
                <w:rPr>
                  <w:rFonts w:ascii="Times New Roman" w:cs="Times New Roman" w:eastAsia="Times New Roman" w:hAnsi="Times New Roman"/>
                  <w:sz w:val="14"/>
                  <w:szCs w:val="14"/>
                  <w:color w:val="0000FF"/>
                  <w:w w:val="97"/>
                </w:rPr>
                <w:t>26, 2023</w:t>
              </w:r>
            </w:hyperlink>
          </w:p>
        </w:tc>
        <w:tc>
          <w:tcPr>
            <w:tcW w:w="20" w:type="dxa"/>
            <w:vAlign w:val="bottom"/>
            <w:tcBorders>
              <w:bottom w:val="single" w:sz="8" w:color="0000EE"/>
            </w:tcBorders>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29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Specimen stock certificate evidencing the shares of</w:t>
              </w:r>
            </w:hyperlink>
          </w:p>
        </w:tc>
        <w:tc>
          <w:tcPr>
            <w:tcW w:w="360" w:type="dxa"/>
            <w:vAlign w:val="bottom"/>
            <w:gridSpan w:val="9"/>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8/20/21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2"/>
          </w:tcPr>
          <w:p>
            <w:pPr>
              <w:spacing w:after="0" w:line="152"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common stock</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310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Amended and Restated Investors’ Rights Agreement,</w:t>
              </w:r>
            </w:hyperlink>
          </w:p>
        </w:tc>
        <w:tc>
          <w:tcPr>
            <w:tcW w:w="240" w:type="dxa"/>
            <w:vAlign w:val="bottom"/>
            <w:gridSpan w:val="6"/>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9/9/21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80" w:type="dxa"/>
            <w:vAlign w:val="bottom"/>
            <w:tcBorders>
              <w:bottom w:val="single" w:sz="8" w:color="0000FF"/>
            </w:tcBorders>
            <w:gridSpan w:val="18"/>
          </w:tcPr>
          <w:p>
            <w:pPr>
              <w:spacing w:after="0" w:line="152"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dated March 5, 2021, by and among the Registrant and</w:t>
              </w:r>
            </w:hyperlink>
          </w:p>
        </w:tc>
        <w:tc>
          <w:tcPr>
            <w:tcW w:w="1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bottom w:val="single" w:sz="8" w:color="0000FF"/>
            </w:tcBorders>
            <w:gridSpan w:val="4"/>
          </w:tcPr>
          <w:p>
            <w:pPr>
              <w:spacing w:after="0" w:line="152"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certain of its stockholders</w:t>
              </w:r>
            </w:hyperlink>
          </w:p>
        </w:tc>
        <w:tc>
          <w:tcPr>
            <w:tcW w:w="1860" w:type="dxa"/>
            <w:vAlign w:val="bottom"/>
            <w:gridSpan w:val="18"/>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3340" w:type="dxa"/>
            <w:vAlign w:val="bottom"/>
            <w:gridSpan w:val="22"/>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Form of Pre-Funded Warrant</w:t>
              </w:r>
            </w:hyperlink>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2/5/24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6"/>
                <w:szCs w:val="16"/>
                <w:color w:val="auto"/>
              </w:rPr>
            </w:pPr>
          </w:p>
        </w:tc>
        <w:tc>
          <w:tcPr>
            <w:tcW w:w="28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Non-Employee Director Compensation Program,</w:t>
              </w:r>
            </w:hyperlink>
          </w:p>
        </w:tc>
        <w:tc>
          <w:tcPr>
            <w:tcW w:w="480" w:type="dxa"/>
            <w:vAlign w:val="bottom"/>
            <w:gridSpan w:val="12"/>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10-Q</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5/9/24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2"/>
          </w:tcPr>
          <w:p>
            <w:pPr>
              <w:spacing w:after="0" w:line="152"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amended and restated effective May 1, 2024</w:t>
              </w:r>
            </w:hyperlink>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4"/>
                <w:szCs w:val="14"/>
                <w:color w:val="auto"/>
              </w:rPr>
            </w:pPr>
          </w:p>
        </w:tc>
        <w:tc>
          <w:tcPr>
            <w:tcW w:w="3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as required by</w:t>
            </w: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tcBorders>
              <w:bottom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Rule 13a-14(a) or Rule 15d-14(a), as adopted pursuant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4"/>
                <w:szCs w:val="14"/>
                <w:color w:val="auto"/>
              </w:rPr>
            </w:pPr>
          </w:p>
        </w:tc>
        <w:tc>
          <w:tcPr>
            <w:tcW w:w="3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as required by</w:t>
            </w:r>
          </w:p>
        </w:tc>
        <w:tc>
          <w:tcPr>
            <w:tcW w:w="1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20" w:type="dxa"/>
            <w:vAlign w:val="bottom"/>
            <w:tcBorders>
              <w:bottom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Rule 13a-14(a) or Rule 15d-14(a), as adopted pursuant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580" w:type="dxa"/>
            <w:vAlign w:val="bottom"/>
            <w:gridSpan w:val="14"/>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4"/>
                <w:szCs w:val="14"/>
                <w:color w:val="auto"/>
              </w:rPr>
            </w:pPr>
          </w:p>
        </w:tc>
        <w:tc>
          <w:tcPr>
            <w:tcW w:w="3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w:t>
            </w:r>
          </w:p>
        </w:tc>
        <w:tc>
          <w:tcPr>
            <w:tcW w:w="34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4"/>
                <w:szCs w:val="14"/>
                <w:color w:val="auto"/>
              </w:rPr>
            </w:pPr>
          </w:p>
        </w:tc>
        <w:tc>
          <w:tcPr>
            <w:tcW w:w="2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w:t>
            </w:r>
          </w:p>
        </w:tc>
        <w:tc>
          <w:tcPr>
            <w:tcW w:w="38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52"/>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1"/>
        </w:trPr>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5"/>
                <w:szCs w:val="15"/>
                <w:color w:val="auto"/>
              </w:rPr>
            </w:pPr>
          </w:p>
        </w:tc>
        <w:tc>
          <w:tcPr>
            <w:tcW w:w="27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w:t>
            </w:r>
          </w:p>
        </w:tc>
        <w:tc>
          <w:tcPr>
            <w:tcW w:w="600" w:type="dxa"/>
            <w:vAlign w:val="bottom"/>
            <w:gridSpan w:val="15"/>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72"/>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Document does not appear in the interactive data file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2"/>
        </w:trPr>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4"/>
                <w:szCs w:val="14"/>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83"/>
        </w:trPr>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Embedded Linkbase Documents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2"/>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tcPr>
          <w:p>
            <w:pPr>
              <w:spacing w:after="0"/>
              <w:rPr>
                <w:sz w:val="14"/>
                <w:szCs w:val="14"/>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86"/>
        </w:trPr>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document)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ind w:left="1140" w:right="1259" w:firstLine="7"/>
        <w:spacing w:after="0" w:line="272" w:lineRule="auto"/>
        <w:tabs>
          <w:tab w:leader="none" w:pos="149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40" w:right="1419" w:firstLine="516"/>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811"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 August 7, 2024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TYRA BIOSCIENCES, INC.</w:t>
      </w:r>
    </w:p>
    <w:p>
      <w:pPr>
        <w:spacing w:after="0" w:line="228" w:lineRule="exact"/>
        <w:rPr>
          <w:sz w:val="20"/>
          <w:szCs w:val="20"/>
          <w:color w:val="auto"/>
        </w:rPr>
      </w:pPr>
    </w:p>
    <w:p>
      <w:pPr>
        <w:ind w:left="80"/>
        <w:spacing w:after="0"/>
        <w:tabs>
          <w:tab w:leader="none" w:pos="12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Todd Harris,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23495</wp:posOffset>
            </wp:positionV>
            <wp:extent cx="197421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2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Todd Harris, Ph.D.</w:t>
      </w:r>
    </w:p>
    <w:p>
      <w:pPr>
        <w:spacing w:after="0" w:line="3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spacing w:after="0" w:line="3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23495</wp:posOffset>
            </wp:positionV>
            <wp:extent cx="197421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2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Alan Fuhrman</w:t>
      </w:r>
    </w:p>
    <w:p>
      <w:pPr>
        <w:spacing w:after="0" w:line="3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386080</wp:posOffset>
            </wp:positionV>
            <wp:extent cx="4288790"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2">
            <w:col w:w="3720" w:space="720"/>
            <w:col w:w="4579"/>
          </w:cols>
          <w:pgMar w:left="1440" w:top="811" w:right="1440" w:bottom="1440" w:gutter="0" w:footer="0" w:header="0"/>
          <w:type w:val="continuous"/>
        </w:sectPr>
      </w:pPr>
    </w:p>
    <w:bookmarkStart w:id="30" w:name="page31"/>
    <w:bookmarkEnd w:id="3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Todd Harris, certify that:</w:t>
      </w:r>
    </w:p>
    <w:p>
      <w:pPr>
        <w:spacing w:after="0" w:line="183" w:lineRule="exact"/>
        <w:rPr>
          <w:sz w:val="20"/>
          <w:szCs w:val="20"/>
          <w:color w:val="auto"/>
        </w:rPr>
      </w:pPr>
    </w:p>
    <w:p>
      <w:pPr>
        <w:ind w:left="980" w:hanging="349"/>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Tyra Biosciences, Inc.;</w:t>
      </w:r>
    </w:p>
    <w:p>
      <w:pPr>
        <w:spacing w:after="0" w:line="183" w:lineRule="exact"/>
        <w:rPr>
          <w:rFonts w:ascii="Times New Roman" w:cs="Times New Roman" w:eastAsia="Times New Roman" w:hAnsi="Times New Roman"/>
          <w:sz w:val="14"/>
          <w:szCs w:val="14"/>
          <w:color w:val="auto"/>
        </w:rPr>
      </w:pPr>
    </w:p>
    <w:p>
      <w:pPr>
        <w:ind w:left="980" w:right="81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7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9"/>
        <w:spacing w:after="0" w:line="275"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19" w:hanging="359"/>
        <w:spacing w:after="0" w:line="275"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19" w:hanging="359"/>
        <w:spacing w:after="0" w:line="293" w:lineRule="auto"/>
        <w:tabs>
          <w:tab w:leader="none" w:pos="13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Todd Harris, Ph.D.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7,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Todd Harris, Ph.D.</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1132"/>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1" w:name="page32"/>
    <w:bookmarkEnd w:id="3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Alan Fuhrman, certify that:</w:t>
      </w:r>
    </w:p>
    <w:p>
      <w:pPr>
        <w:spacing w:after="0" w:line="183" w:lineRule="exact"/>
        <w:rPr>
          <w:sz w:val="20"/>
          <w:szCs w:val="20"/>
          <w:color w:val="auto"/>
        </w:rPr>
      </w:pPr>
    </w:p>
    <w:p>
      <w:pPr>
        <w:ind w:left="980" w:hanging="349"/>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Tyra Biosciences, Inc.;</w:t>
      </w:r>
    </w:p>
    <w:p>
      <w:pPr>
        <w:spacing w:after="0" w:line="183" w:lineRule="exact"/>
        <w:rPr>
          <w:rFonts w:ascii="Times New Roman" w:cs="Times New Roman" w:eastAsia="Times New Roman" w:hAnsi="Times New Roman"/>
          <w:sz w:val="14"/>
          <w:szCs w:val="14"/>
          <w:color w:val="auto"/>
        </w:rPr>
      </w:pPr>
    </w:p>
    <w:p>
      <w:pPr>
        <w:ind w:left="980" w:right="81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980" w:right="87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980" w:right="67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1340" w:right="89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340" w:right="79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340" w:right="65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980" w:right="959" w:hanging="349"/>
        <w:spacing w:after="0" w:line="275"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340" w:right="719" w:hanging="359"/>
        <w:spacing w:after="0" w:line="275"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340" w:right="1019" w:hanging="359"/>
        <w:spacing w:after="0" w:line="293" w:lineRule="auto"/>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Alan Fuhrman</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7,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Alan Fuhrman</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1132"/>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2" w:name="page33"/>
    <w:bookmarkEnd w:id="3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jc w:val="both"/>
        <w:ind w:left="640" w:right="85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Tyra Biosciences,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40" w:hanging="35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1340" w:right="979" w:hanging="359"/>
        <w:spacing w:after="0" w:line="293"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Todd Harris, Ph.D.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7,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Todd Harris, Ph.D.</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960"/>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3" w:name="page34"/>
    <w:bookmarkEnd w:id="3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jc w:val="both"/>
        <w:ind w:left="640" w:right="859" w:firstLine="351"/>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Tyra Biosciences,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40" w:hanging="359"/>
        <w:spacing w:after="0"/>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1340" w:right="979" w:hanging="359"/>
        <w:spacing w:after="0" w:line="293"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Alan Fuhrman</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7,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Alan Fuhrman</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960"/>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1)"/>
      <w:numFmt w:val="upperLetter"/>
      <w:start w:val="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40" Type="http://schemas.openxmlformats.org/officeDocument/2006/relationships/hyperlink" Target="https://www.sec.gov/Archives/edgar/data/1863127/000119312521276124/d220261dex31.htm" TargetMode="External"/><Relationship Id="rId241" Type="http://schemas.openxmlformats.org/officeDocument/2006/relationships/hyperlink" Target="https://www.sec.gov/Archives/edgar/data/1863127/000119312524151705/d807421dex31.htm" TargetMode="External"/><Relationship Id="rId242" Type="http://schemas.openxmlformats.org/officeDocument/2006/relationships/hyperlink" Target="https://www.sec.gov/Archives/edgar/data/1863127/000119312523264152/d537796dex31.htm" TargetMode="External"/><Relationship Id="rId243" Type="http://schemas.openxmlformats.org/officeDocument/2006/relationships/hyperlink" Target="https://www.sec.gov/Archives/edgar/data/1863127/000119312521252729/d189651dex41.htm" TargetMode="External"/><Relationship Id="rId244" Type="http://schemas.openxmlformats.org/officeDocument/2006/relationships/hyperlink" Target="https://www.sec.gov/Archives/edgar/data/1863127/000119312521268272/d189651dex42.htm" TargetMode="External"/><Relationship Id="rId245" Type="http://schemas.openxmlformats.org/officeDocument/2006/relationships/hyperlink" Target="https://www.sec.gov/Archives/edgar/data/1863127/000119312524023367/d620082dex41.htm" TargetMode="External"/><Relationship Id="rId246" Type="http://schemas.openxmlformats.org/officeDocument/2006/relationships/hyperlink" Target="https://www.sec.gov/Archives/edgar/data/1863127/000095017024056971/tyra-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2024-08-07T15:35:48Z</dcterms:created>
  <dcterms:modified xsi:type="dcterms:W3CDTF">2024-08-07T15:35:48Z</dcterms:modified>
</cp:coreProperties>
</file>