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tyra-20250930.htm"/>
      <w:bookmarkStart w:id="1" w:name="kstyra202509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 to 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001-40800</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TYRA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83-1476348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2656 State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Carlsbad,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(619) 728-4760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60" w:type="dxa"/>
        <w:jc w:val="left"/>
        <w:tblInd w:w="0" w:type="dxa"/>
        <w:tblLayout w:type="fixed"/>
        <w:tblCellMar>
          <w:top w:w="28" w:type="dxa"/>
          <w:left w:w="28" w:type="dxa"/>
          <w:bottom w:w="28" w:type="dxa"/>
          <w:right w:w="28" w:type="dxa"/>
        </w:tblCellMar>
      </w:tblPr>
      <w:tblGrid>
        <w:gridCol w:w="3526"/>
        <w:gridCol w:w="146"/>
        <w:gridCol w:w="826"/>
        <w:gridCol w:w="146"/>
        <w:gridCol w:w="3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October 31, 2025, the registrant had 53,372,098</w:t>
      </w:r>
      <w:r>
        <w:rPr>
          <w:rFonts w:ascii="Times New Roman" w:hAnsi="Times New Roman"/>
          <w:color w:val="000000"/>
          <w:sz w:val="20"/>
        </w:rPr>
        <w:t xml:space="preserve"> </w:t>
      </w:r>
      <w:r>
        <w:rPr>
          <w:rFonts w:ascii="Times New Roman" w:hAnsi="Times New Roman"/>
          <w:color w:val="000000"/>
          <w:sz w:val="18"/>
        </w:rPr>
        <w:t>shares of common stock, $0.0001</w:t>
      </w:r>
      <w:r>
        <w:rPr>
          <w:rFonts w:ascii="Times New Roman" w:hAnsi="Times New Roman"/>
          <w:color w:val="000000"/>
          <w:sz w:val="20"/>
        </w:rPr>
        <w:t xml:space="preserve"> </w:t>
      </w:r>
      <w:r>
        <w:rPr>
          <w:rFonts w:ascii="Times New Roman" w:hAnsi="Times New Roman"/>
          <w:color w:val="000000"/>
          <w:sz w:val="18"/>
        </w:rPr>
        <w:t>par value per share, outstanding.</w:t>
      </w:r>
    </w:p>
    <w:p>
      <w:pPr>
        <w:pStyle w:val="TextBody"/>
        <w:pBdr>
          <w:bottom w:val="double" w:sz="6"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_loss">
              <w:r>
                <w:rPr>
                  <w:rStyle w:val="InternetLink"/>
                  <w:rFonts w:ascii="Times New Roman" w:hAnsi="Times New Roman"/>
                  <w:color w:val="0000FF"/>
                  <w:sz w:val="20"/>
                  <w:u w:val="single"/>
                </w:rPr>
                <w:t>Condensed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equity">
              <w:r>
                <w:rPr>
                  <w:rStyle w:val="InternetLink"/>
                  <w:rFonts w:ascii="Times New Roman" w:hAnsi="Times New Roman"/>
                  <w:color w:val="0000FF"/>
                  <w:sz w:val="20"/>
                  <w:u w:val="single"/>
                </w:rPr>
                <w:t>Condensed Statements of Stockholders'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cash_flows">
              <w:r>
                <w:rPr>
                  <w:rStyle w:val="InternetLink"/>
                  <w:rFonts w:ascii="Times New Roman" w:hAnsi="Times New Roman"/>
                  <w:color w:val="0000FF"/>
                  <w:sz w:val="20"/>
                  <w:u w:val="single"/>
                </w:rPr>
                <w:t>Condensed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the 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2" w:name="i_item1"/>
      <w:bookmarkEnd w:id="2"/>
      <w:r>
        <w:rPr>
          <w:rFonts w:ascii="Times New Roman" w:hAnsi="Times New Roman"/>
          <w:b/>
          <w:color w:val="000000"/>
          <w:sz w:val="20"/>
        </w:rPr>
        <w:t>Item 1. Condensed Financial Statements</w:t>
      </w:r>
    </w:p>
    <w:p>
      <w:pPr>
        <w:pStyle w:val="TextBody"/>
        <w:bidi w:val="0"/>
        <w:spacing w:before="24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Tyra Biosciences, Inc.</w:t>
        <w:br/>
        <w:t>Condensed Balance Sheets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data)</w:t>
      </w:r>
    </w:p>
    <w:tbl>
      <w:tblPr>
        <w:tblW w:w="8635" w:type="dxa"/>
        <w:jc w:val="left"/>
        <w:tblInd w:w="0" w:type="dxa"/>
        <w:tblLayout w:type="fixed"/>
        <w:tblCellMar>
          <w:top w:w="28" w:type="dxa"/>
          <w:left w:w="28" w:type="dxa"/>
          <w:bottom w:w="28" w:type="dxa"/>
          <w:right w:w="28" w:type="dxa"/>
        </w:tblCellMar>
      </w:tblPr>
      <w:tblGrid>
        <w:gridCol w:w="5551"/>
        <w:gridCol w:w="146"/>
        <w:gridCol w:w="228"/>
        <w:gridCol w:w="912"/>
        <w:gridCol w:w="166"/>
        <w:gridCol w:w="146"/>
        <w:gridCol w:w="219"/>
        <w:gridCol w:w="876"/>
        <w:gridCol w:w="391"/>
      </w:tblGrid>
      <w:tr>
        <w:trPr/>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$0.0001 par value; 50,000,000 shares </w:t>
              <w:br/>
              <w:t xml:space="preserve">   authorized at September 30, 2025 and December 31, 2024; </w:t>
              <w:br/>
              <w:t xml:space="preserve">   no shares issued and outstanding at September 30, 2025 and </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$0.0001 par value; 500,000,000 shares authorized </w:t>
              <w:br/>
              <w:t xml:space="preserve">   at September 30, 2025 and December 31, 2024; 53,318,198 and </w:t>
              <w:br/>
              <w:t xml:space="preserve">   50,754,262 shares issued at September 30, 2025 and </w:t>
              <w:br/>
              <w:t xml:space="preserve">   December 31, 2024, respectively, and 53,318,198 and </w:t>
              <w:br/>
              <w:t xml:space="preserve">   50,749,945 shares outstanding at September 30, 2025 and </w:t>
              <w:br/>
              <w: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comp_loss"/>
      <w:bookmarkEnd w:id="4"/>
      <w:r>
        <w:rPr>
          <w:rFonts w:ascii="Times New Roman" w:hAnsi="Times New Roman"/>
          <w:b/>
          <w:color w:val="000000"/>
          <w:sz w:val="20"/>
        </w:rPr>
        <w:t>Tyra Biosciences, Inc.</w:t>
      </w:r>
      <w:r>
        <w:rPr>
          <w:rFonts w:ascii="Times New Roman" w:hAnsi="Times New Roman"/>
          <w:color w:val="000000"/>
          <w:sz w:val="20"/>
        </w:rPr>
        <w:br/>
      </w:r>
      <w:r>
        <w:rPr>
          <w:rFonts w:ascii="Times New Roman" w:hAnsi="Times New Roman"/>
          <w:b/>
          <w:color w:val="000000"/>
          <w:sz w:val="20"/>
        </w:rPr>
        <w:t>Condensed Statements of Operations and Comprehensive Loss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(unaudited)</w:t>
        <w:b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gain (loss) on marketable securities </w:t>
              <w:br/>
              <w:t>   available-for-sale,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to compute net </w:t>
              <w:br/>
              <w: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59,670,757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58,874,497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59,523,977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56,599,050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Tyra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statement_equity"/>
      <w:bookmarkEnd w:id="5"/>
      <w:r>
        <w:rPr>
          <w:rFonts w:ascii="Times New Roman" w:hAnsi="Times New Roman"/>
          <w:b/>
          <w:color w:val="000000"/>
          <w:sz w:val="20"/>
        </w:rPr>
        <w:t>Condensed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1735"/>
        <w:gridCol w:w="146"/>
        <w:gridCol w:w="146"/>
        <w:gridCol w:w="1036"/>
        <w:gridCol w:w="146"/>
        <w:gridCol w:w="146"/>
        <w:gridCol w:w="261"/>
        <w:gridCol w:w="430"/>
        <w:gridCol w:w="146"/>
        <w:gridCol w:w="146"/>
        <w:gridCol w:w="234"/>
        <w:gridCol w:w="869"/>
        <w:gridCol w:w="146"/>
        <w:gridCol w:w="146"/>
        <w:gridCol w:w="400"/>
        <w:gridCol w:w="1085"/>
        <w:gridCol w:w="166"/>
        <w:gridCol w:w="146"/>
        <w:gridCol w:w="211"/>
        <w:gridCol w:w="841"/>
        <w:gridCol w:w="166"/>
        <w:gridCol w:w="146"/>
        <w:gridCol w:w="233"/>
        <w:gridCol w:w="863"/>
        <w:gridCol w:w="215"/>
      </w:tblGrid>
      <w:tr>
        <w:trPr/>
        <w:tc>
          <w:tcPr>
            <w:tcW w:w="1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43,024,634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w:t>
              <w:br/>
              <w:t xml:space="preserve">   Private Placement, net of </w:t>
              <w:br/>
              <w:t>   issuance costs of $0.2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pre-funded warrants, net </w:t>
              <w:br/>
              <w:t>   of issuance costs of $0.2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w:t>
              <w:br/>
              <w:t>   under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available-for-sale,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52,474,533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available-for-sale,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52,736,458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376,043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gain on marketable </w:t>
              <w:br/>
              <w:t>   securities available-for-sale,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52,871,825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362,288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Tyra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2"/>
        <w:gridCol w:w="146"/>
        <w:gridCol w:w="146"/>
        <w:gridCol w:w="1036"/>
        <w:gridCol w:w="146"/>
        <w:gridCol w:w="146"/>
        <w:gridCol w:w="261"/>
        <w:gridCol w:w="430"/>
        <w:gridCol w:w="146"/>
        <w:gridCol w:w="146"/>
        <w:gridCol w:w="238"/>
        <w:gridCol w:w="884"/>
        <w:gridCol w:w="146"/>
        <w:gridCol w:w="146"/>
        <w:gridCol w:w="447"/>
        <w:gridCol w:w="1023"/>
        <w:gridCol w:w="166"/>
        <w:gridCol w:w="146"/>
        <w:gridCol w:w="211"/>
        <w:gridCol w:w="841"/>
        <w:gridCol w:w="166"/>
        <w:gridCol w:w="146"/>
        <w:gridCol w:w="233"/>
        <w:gridCol w:w="863"/>
        <w:gridCol w:w="214"/>
      </w:tblGrid>
      <w:tr>
        <w:trPr/>
        <w:tc>
          <w:tcPr>
            <w:tcW w:w="1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FFFFFF"/>
                <w:sz w:val="20"/>
              </w:rPr>
            </w:pPr>
            <w:r>
              <w:rPr>
                <w:rFonts w:ascii="Times New Roman" w:hAnsi="Times New Roman"/>
                <w:b/>
                <w:color w:val="FFFFFF"/>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343,151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w:t>
              <w:br/>
              <w:t xml:space="preserve">   pursuant to pre-funded </w:t>
              <w:br/>
              <w:t>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w:t>
              <w:br/>
              <w:t>   under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shares of common</w:t>
              <w:br/>
              <w:t>   stock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available-for-sale,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53,089,957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w:t>
              <w:br/>
              <w:t>   under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available-for-sale,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53,233,494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302,147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gain on marketable </w:t>
              <w:br/>
              <w:t>   securities available-for-sale,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53,318,198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280,509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sz w:val="20"/>
        </w:rPr>
      </w:pPr>
      <w:bookmarkStart w:id="6" w:name="statement_cash_flows"/>
      <w:bookmarkEnd w:id="6"/>
      <w:r>
        <w:rPr>
          <w:rFonts w:ascii="Times New Roman" w:hAnsi="Times New Roman"/>
          <w:b/>
          <w:color w:val="000000"/>
          <w:sz w:val="20"/>
        </w:rPr>
        <w:t>Condensed Statements</w:t>
      </w:r>
      <w:r>
        <w:rPr>
          <w:rFonts w:ascii="Times New Roman" w:hAnsi="Times New Roman"/>
          <w:color w:val="000000"/>
          <w:sz w:val="20"/>
        </w:rPr>
        <w:t xml:space="preserve"> </w:t>
      </w:r>
      <w:r>
        <w:rPr>
          <w:rFonts w:ascii="Times New Roman" w:hAnsi="Times New Roman"/>
          <w:b/>
          <w:color w:val="000000"/>
          <w:sz w:val="20"/>
        </w:rPr>
        <w:t>of Cash Flows</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781"/>
        <w:gridCol w:w="166"/>
        <w:gridCol w:w="146"/>
        <w:gridCol w:w="211"/>
        <w:gridCol w:w="84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(225,588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(105,361</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issuances of common stock under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from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issuance costs for common stock and pre-funded warrants from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increase (decrease)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cash, cash equivalents and restricted cash to the </w:t>
              <w:br/>
              <w:t>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Vesting of options early exercised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b/>
          <w:color w:val="000000"/>
          <w:sz w:val="20"/>
        </w:rPr>
      </w:pPr>
      <w:bookmarkStart w:id="7" w:name="notes_consolidated_financial_statements"/>
      <w:bookmarkEnd w:id="7"/>
      <w:r>
        <w:rPr>
          <w:rFonts w:ascii="Times New Roman" w:hAnsi="Times New Roman"/>
          <w:b/>
          <w:color w:val="000000"/>
          <w:sz w:val="20"/>
        </w:rPr>
        <w:t>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240" w:after="283"/>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its accelerated small molecule drug discovery engine to develop therapies in targeted oncology and genetically defined conditions.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and nine months ended September 30, 2025 and 2024 are not necessarily indicative of the results expected for the full fiscal year or any subsequent interim period. The condensed balance sheet at September 30, 2025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2024. </w:t>
      </w:r>
    </w:p>
    <w:p>
      <w:pPr>
        <w:pStyle w:val="TextBody"/>
        <w:bidi w:val="0"/>
        <w:spacing w:before="240" w:after="283"/>
        <w:jc w:val="left"/>
        <w:rPr>
          <w:rFonts w:ascii="Times New Roman" w:hAnsi="Times New Roman"/>
          <w:sz w:val="20"/>
        </w:rPr>
      </w:pPr>
      <w:r>
        <w:rPr>
          <w:rFonts w:ascii="Times New Roman" w:hAnsi="Times New Roman"/>
          <w:b/>
          <w:color w:val="000000"/>
          <w:sz w:val="20"/>
        </w:rPr>
        <w:t>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2025, there have been no changes to the Company's significant accounting policies as described in the Company’s Annual Report on Form 10-K for the year ended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pStyle w:val="TextBody"/>
        <w:bidi w:val="0"/>
        <w:spacing w:before="24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—Unadjusted quoted prices in active markets that are accessible at the measurement date for identical, unrestricted assets or liabilities. </w:t>
      </w:r>
    </w:p>
    <w:p>
      <w:pPr>
        <w:pStyle w:val="TextBody"/>
        <w:bidi w:val="0"/>
        <w:spacing w:before="24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—Quoted prices for similar assets and liabilities in active markets, quoted prices in markets that are not active, or inputs that are observable, either directly or indirectly, for substantially the full term of the asset or liability. </w:t>
      </w:r>
    </w:p>
    <w:p>
      <w:pPr>
        <w:pStyle w:val="TextBody"/>
        <w:bidi w:val="0"/>
        <w:spacing w:before="24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—Prices or valuation techniques that require inputs that are both significant to the fair value measurement and unobservable (i.e. supported by little or no market activity).</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Money market funds are highly liquid investments and are classified as Level 1. The pricing information for these assets is readily available and can be independently validated as of the measurement date. Available-for-sale debt securities, including U.S. Treasury securities and U.S. Agency bonds are classified as Level 2. These securities are valued using fair value from third-party pricing services, which may use observable inputs based on real-time trade data for similar assets, broker/dealer quotes, bids and/or offers and other observable inputs. The Company validates valuations obtained from third-party pricing services by understanding the models used and obtaining market values from independent 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or accreted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sales of these investments to fund current operations, as necessary.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regularly reviews its portfolio for declines in fair value. For investments in an unrealized loss position, the Company assesses whether the decline is based on credit losses or other factor. As part of this assessment, the Company considers the cause of the impairment, the creditworthiness of the security issuers, current market conditions, the number of securities in an unrealized loss position, the severity of the losses, whether it will be required or will intend to sell the investment before recovery of its amortized cost basis. If fair value decline is determined to be due to a credit-related factor, the amortized cost basis is written down to fair value through net loss. If fair value decline is not due to credit-related factors, a loss is recorded in other comprehensive income or loss. The Company recognizes an allowance for credit losses up to the amount of the unrealized loss when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measure an allowance for credit losses for accrued interest receivables. For the purposes of identifying and measuring an impairment, accrued interest is excluded from both the fair value and amortized costs basis of the investment. Uncollectible accrued interest receivables associated with an impaired marketable security are reversed against interest income in a timely manner upon identification of the impairment.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cash is comprised of cash that is restricted as to its withdrawal or use under the terms of certain contractual agreements. Restricted cash as of September 30, 2025 and December 31, 2024 was $1.0 million, which consisted of collateral for letters of credit related to the Company’s operating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unvested common stock upon early exercise of stock options, outstanding stock options under the Company’s equity incentive plan, and estimated shares purchasable under the employee stock purchase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Issued 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ASU 2023-09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to clarify the effective date of ASU 2024-03. 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U.S. President signed into law H.R.1, the legislation commonly known as the One Big Beautiful Bill (OBBB). This legislation extended, modified, or made permanent many of the tax provisions which were initially enacted as part of the Tax Cuts and Jobs Act (TCJA) of 2017. The OBBB contains a number of tax provisions including, but not limited to, immediate expensing of domestic research and experimental expenditures, modifications to the limitation on business interest, bonus depreciation modifications, as well as international tax provision modifications. These tax provisions apply to either tax years beginning after December 31, 2024 or December 31, 2025. The Company is still in the process of analyzing some of the tax elections under the OBBB which could impact the final effective rate for 2025. However, we do not expect these elections to have a material impact on our effective rate for 2025. </w:t>
      </w:r>
    </w:p>
    <w:p>
      <w:pPr>
        <w:pStyle w:val="TextBody"/>
        <w:bidi w:val="0"/>
        <w:spacing w:before="240" w:after="283"/>
        <w:jc w:val="left"/>
        <w:rPr>
          <w:rFonts w:ascii="Times New Roman" w:hAnsi="Times New Roman"/>
          <w:sz w:val="20"/>
        </w:rPr>
      </w:pPr>
      <w:r>
        <w:rPr>
          <w:rFonts w:ascii="Times New Roman" w:hAnsi="Times New Roman"/>
          <w:b/>
          <w:color w:val="000000"/>
          <w:sz w:val="20"/>
        </w:rPr>
        <w:t>2. Fair Value Measurements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show the Company’s cash equivalents and marketable securities measured at fair value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1991"/>
        <w:gridCol w:w="211"/>
        <w:gridCol w:w="781"/>
        <w:gridCol w:w="146"/>
        <w:gridCol w:w="593"/>
        <w:gridCol w:w="1902"/>
        <w:gridCol w:w="146"/>
        <w:gridCol w:w="432"/>
        <w:gridCol w:w="1602"/>
        <w:gridCol w:w="146"/>
        <w:gridCol w:w="741"/>
        <w:gridCol w:w="1219"/>
        <w:gridCol w:w="295"/>
      </w:tblGrid>
      <w:tr>
        <w:trPr/>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1"/>
        <w:gridCol w:w="211"/>
        <w:gridCol w:w="781"/>
        <w:gridCol w:w="146"/>
        <w:gridCol w:w="593"/>
        <w:gridCol w:w="1902"/>
        <w:gridCol w:w="146"/>
        <w:gridCol w:w="432"/>
        <w:gridCol w:w="1602"/>
        <w:gridCol w:w="146"/>
        <w:gridCol w:w="741"/>
        <w:gridCol w:w="1219"/>
        <w:gridCol w:w="295"/>
      </w:tblGrid>
      <w:tr>
        <w:trPr/>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summarize the Company's marketable securities (see below and Note 2) accounted for as available-for-sale securities (in thousands, except years):</w:t>
      </w:r>
    </w:p>
    <w:tbl>
      <w:tblPr>
        <w:tblW w:w="10205" w:type="dxa"/>
        <w:jc w:val="left"/>
        <w:tblInd w:w="0" w:type="dxa"/>
        <w:tblLayout w:type="fixed"/>
        <w:tblCellMar>
          <w:top w:w="28" w:type="dxa"/>
          <w:left w:w="28" w:type="dxa"/>
          <w:bottom w:w="28" w:type="dxa"/>
          <w:right w:w="28" w:type="dxa"/>
        </w:tblCellMar>
      </w:tblPr>
      <w:tblGrid>
        <w:gridCol w:w="2878"/>
        <w:gridCol w:w="1207"/>
        <w:gridCol w:w="254"/>
        <w:gridCol w:w="942"/>
        <w:gridCol w:w="146"/>
        <w:gridCol w:w="431"/>
        <w:gridCol w:w="865"/>
        <w:gridCol w:w="146"/>
        <w:gridCol w:w="471"/>
        <w:gridCol w:w="840"/>
        <w:gridCol w:w="166"/>
        <w:gridCol w:w="332"/>
        <w:gridCol w:w="1231"/>
        <w:gridCol w:w="296"/>
      </w:tblGrid>
      <w:tr>
        <w:trPr/>
        <w:tc>
          <w:tcPr>
            <w:tcW w:w="287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Maturity </w:t>
              <w:br/>
              <w:t>(in years)</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120,514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212,973</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8"/>
        <w:gridCol w:w="1207"/>
        <w:gridCol w:w="254"/>
        <w:gridCol w:w="942"/>
        <w:gridCol w:w="146"/>
        <w:gridCol w:w="431"/>
        <w:gridCol w:w="865"/>
        <w:gridCol w:w="146"/>
        <w:gridCol w:w="471"/>
        <w:gridCol w:w="840"/>
        <w:gridCol w:w="166"/>
        <w:gridCol w:w="332"/>
        <w:gridCol w:w="1231"/>
        <w:gridCol w:w="296"/>
      </w:tblGrid>
      <w:tr>
        <w:trPr/>
        <w:tc>
          <w:tcPr>
            <w:tcW w:w="287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Maturity </w:t>
              <w:br/>
              <w:t>(in years)</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78,197</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249,475</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present fair values and gross unrealized losses for those available-for-sale securities that were in an unrealized loss position, aggregated by category and the length of time that the securities have been in a continuous loss position (in thousands):</w:t>
      </w:r>
    </w:p>
    <w:tbl>
      <w:tblPr>
        <w:tblW w:w="10205" w:type="dxa"/>
        <w:jc w:val="left"/>
        <w:tblInd w:w="0" w:type="dxa"/>
        <w:tblLayout w:type="fixed"/>
        <w:tblCellMar>
          <w:top w:w="28" w:type="dxa"/>
          <w:left w:w="28" w:type="dxa"/>
          <w:bottom w:w="28" w:type="dxa"/>
          <w:right w:w="28" w:type="dxa"/>
        </w:tblCellMar>
      </w:tblPr>
      <w:tblGrid>
        <w:gridCol w:w="2321"/>
        <w:gridCol w:w="211"/>
        <w:gridCol w:w="676"/>
        <w:gridCol w:w="146"/>
        <w:gridCol w:w="146"/>
        <w:gridCol w:w="423"/>
        <w:gridCol w:w="755"/>
        <w:gridCol w:w="166"/>
        <w:gridCol w:w="146"/>
        <w:gridCol w:w="287"/>
        <w:gridCol w:w="470"/>
        <w:gridCol w:w="157"/>
        <w:gridCol w:w="157"/>
        <w:gridCol w:w="445"/>
        <w:gridCol w:w="733"/>
        <w:gridCol w:w="146"/>
        <w:gridCol w:w="146"/>
        <w:gridCol w:w="211"/>
        <w:gridCol w:w="676"/>
        <w:gridCol w:w="146"/>
        <w:gridCol w:w="146"/>
        <w:gridCol w:w="423"/>
        <w:gridCol w:w="755"/>
        <w:gridCol w:w="317"/>
      </w:tblGrid>
      <w:tr>
        <w:trPr/>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1"/>
        <w:gridCol w:w="211"/>
        <w:gridCol w:w="676"/>
        <w:gridCol w:w="146"/>
        <w:gridCol w:w="146"/>
        <w:gridCol w:w="423"/>
        <w:gridCol w:w="755"/>
        <w:gridCol w:w="166"/>
        <w:gridCol w:w="146"/>
        <w:gridCol w:w="287"/>
        <w:gridCol w:w="470"/>
        <w:gridCol w:w="157"/>
        <w:gridCol w:w="157"/>
        <w:gridCol w:w="445"/>
        <w:gridCol w:w="733"/>
        <w:gridCol w:w="146"/>
        <w:gridCol w:w="146"/>
        <w:gridCol w:w="211"/>
        <w:gridCol w:w="676"/>
        <w:gridCol w:w="146"/>
        <w:gridCol w:w="146"/>
        <w:gridCol w:w="423"/>
        <w:gridCol w:w="755"/>
        <w:gridCol w:w="317"/>
      </w:tblGrid>
      <w:tr>
        <w:trPr/>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there were 16 available-for-sale securities with an estimated fair value of $54.9 million in gross unrealized loss positions for less than 12 months. As of September 30, 2025, unrealized losses on available-for-sale securities were not attributed to credit risk. The Company believes that an allowance for credit losses is unnecessary because the unrealized loss is due to market factors and interest rate fluctuations. Additionally, the Company does not intend to sell the securities nor is it more likely than not that the Company will be required to sell the securities before recovery of their amortized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amortized cost and fair value of marketable securities excludes $2.2 million and $2.0 million of accrued interest receivable as of September 30, 2025 and December 31, 2024, respectively. Accrued interest receivable is included in prepaid expenses and other current assets on the Company's condensed balance sheets. The Company has not written off any accrued interest receivables for the periods ended September 30, 2025 and December 31, 2024. </w:t>
      </w:r>
    </w:p>
    <w:p>
      <w:pPr>
        <w:pStyle w:val="TextBody"/>
        <w:bidi w:val="0"/>
        <w:spacing w:before="240" w:after="283"/>
        <w:jc w:val="left"/>
        <w:rPr>
          <w:rFonts w:ascii="Times New Roman" w:hAnsi="Times New Roman"/>
          <w:sz w:val="20"/>
        </w:rPr>
      </w:pPr>
      <w:r>
        <w:rPr>
          <w:rFonts w:ascii="Times New Roman" w:hAnsi="Times New Roman"/>
          <w:b/>
          <w:color w:val="000000"/>
          <w:sz w:val="20"/>
        </w:rPr>
        <w:t>4. Accrued Expenses and Other Current Liabilities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6690" w:type="dxa"/>
        <w:jc w:val="left"/>
        <w:tblInd w:w="0" w:type="dxa"/>
        <w:tblLayout w:type="fixed"/>
        <w:tblCellMar>
          <w:top w:w="28" w:type="dxa"/>
          <w:left w:w="28" w:type="dxa"/>
          <w:bottom w:w="28" w:type="dxa"/>
          <w:right w:w="28" w:type="dxa"/>
        </w:tblCellMar>
      </w:tblPr>
      <w:tblGrid>
        <w:gridCol w:w="3826"/>
        <w:gridCol w:w="146"/>
        <w:gridCol w:w="271"/>
        <w:gridCol w:w="869"/>
        <w:gridCol w:w="146"/>
        <w:gridCol w:w="146"/>
        <w:gridCol w:w="260"/>
        <w:gridCol w:w="83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general and administrative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Stockholders' Equity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Common stock reserved for future issuance consisted of the following:</w:t>
      </w:r>
    </w:p>
    <w:tbl>
      <w:tblPr>
        <w:tblW w:w="7239" w:type="dxa"/>
        <w:jc w:val="left"/>
        <w:tblInd w:w="0" w:type="dxa"/>
        <w:tblLayout w:type="fixed"/>
        <w:tblCellMar>
          <w:top w:w="28" w:type="dxa"/>
          <w:left w:w="28" w:type="dxa"/>
          <w:bottom w:w="28" w:type="dxa"/>
          <w:right w:w="28" w:type="dxa"/>
        </w:tblCellMar>
      </w:tblPr>
      <w:tblGrid>
        <w:gridCol w:w="4246"/>
        <w:gridCol w:w="146"/>
        <w:gridCol w:w="146"/>
        <w:gridCol w:w="1036"/>
        <w:gridCol w:w="146"/>
        <w:gridCol w:w="146"/>
        <w:gridCol w:w="146"/>
        <w:gridCol w:w="103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granted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2021</w:t>
              <w:br/>
              <w:t>   Incentive Award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available for future issuance under the </w:t>
              <w:br/>
              <w:t>   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1,491,195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8,382,187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23,868,251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23,387,099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3, 2022, the Company entered into an ATM Sales Agreement (the 2022 Sales Agreement) with Virtu Americas LLC (the 2022 Agent), under which the Company could have, from time to time, sold shares of its common stock having an aggregate offering price of up to $150.0 million, in “at the market” offerings through the 2022 Sales Agent. The 2022 Agent would have received a commission from the Company of up to 3.0% of the gross proceeds of any shares of common stock sold under the 2022 Sales Agreement. No shares of common stock were issued and sold pursuant to the 2022 Sales Agreement. The Company terminated the 2022 Sales Agreement in May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8, 2025, the Company entered into a Sales Agreement (the 2025 Sales Agreement) with TD Securities (USA) LLC (the 2025 Sales Agent), under which the Company may, from time to time, sell shares of its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common stock having an aggregate offering price of up to $150.0 million, in “at the market” offerings through the 2025 Sales Agent. Sales of the shares of common stock, if any, will be made at prevailing market prices at the time of sale, or as otherwise agreed with the 2025 Sales Agent. The 2025 Sales Agent will receive a commission from the Company of up to 3.0% of the gross proceeds of any shares of common stock sold under the 2025 Sales Agreement. As of September 30, 2025, no shares of common stock had been issued and sold pursuant to the 2025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 2024, the Company entered into a securities purchase agreement for a private placement of 9,286,023 shares of the Company's common stock at a price of $13.01 per share (the 2024 Private Placement). The 2024 Private Placement also included pre-funded warrants (the 2024 Pre-Funded Warrants) to purchase an aggregate of 6,087,230 shares of common stock at a purchase price of $13.009 per pre-funded warrant. Each pre-funded warrant has an exercise price of $0.001 per share of common stock, is immediately exercisable on the date of issuance and will not expire. The 2024 Private Placement closed on February 6, 2024 and the Company received gross proceeds of approximately $200.0 million, before deducting offering expenses of $0.4 million. In connection with the 2024 Private Placement, the Company issued 4,780,846 shares of common stock and pre-funded warrants to purchase 2,243,737 shares of common stock to related parties, resulting in aggregate gross proceeds of approximately $91.4 million. On March 19, 2024, the Company filed a registration statement on Form S-3 with the SEC registering the resale of the shares of common stock issued, or underlying the pre-funded warrants issued, in the 2024 Private Placement. The 2024 Pre-funded Warrants did not meet the characteristics of a liability or a derivative and are classified within stockholders'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18, 2024, the Company entered into an exchange agreement with Boxer Capital and RA Capital, the Company's stockholders and related parties to the Company at the time of the exchange. Pursuant to the exchange agreement (i) Boxer Capital agreed to exchange 2,000,000 shares of the Company’s common stock for one or more pre-funded warrants to acquire an aggregate of 2,000,000 shares of common stock and (ii) RA Capital agreed to exchange 1,000,000 shares of common stock for one or more pre-funded warrants to acquire an aggregate of 1,000,000 shares of common stock (each of such pre-funded warrants an Exchange Warrant and collectively the Exchange Warrants, and such exchanges of common stock for Exchange Warrants collectively the Exchange). Each Exchange Warrant has an exercise price of $0.001 per share of common stock, is immediately exercisable on the date of issuance and will not expire. No cash was exchanged related to the transaction. The Exchange closed on October 22, 2024. The Exchange Warrants did not meet the characteristics of a liability or a derivative and are classified within stockholders'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Boxer Capital exercised 2,000,000 of the Exchange Warrants and 237 of the 2024 Pre-Funded Warrants in cashless transactions, which resulted in an aggregate of 2,000,069 shares of common stock being issued. As of September 30, 2025, a total of 6,381,950 pre-funded warrants remained available for exercise, including 1,000,000 Exchange Warrants and 5,381,950 2024 Pre-Funded Warrants.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Equity Incentive Plans and Stock-Based Compensation</w:t>
      </w:r>
    </w:p>
    <w:p>
      <w:pPr>
        <w:pStyle w:val="TextBody"/>
        <w:bidi w:val="0"/>
        <w:spacing w:before="240" w:after="283"/>
        <w:jc w:val="left"/>
        <w:rPr>
          <w:rFonts w:ascii="Times New Roman" w:hAnsi="Times New Roman"/>
          <w:sz w:val="20"/>
        </w:rPr>
      </w:pPr>
      <w:r>
        <w:rPr>
          <w:rFonts w:ascii="Times New Roman" w:hAnsi="Times New Roman"/>
          <w:b/>
          <w:i/>
          <w:color w:val="000000"/>
          <w:sz w:val="20"/>
        </w:rPr>
        <w:t>2021 Incentive Award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2021, the Company's Board of Directors adopted, and its stockholders approved, the 2021 Incentive Award Plan (the 2021 Plan). Upon the adoption of the 2021 Plan, the Company restricted the grant of future equity awards under the 2020 Equity Incentive Plan (the 2020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2021 Plan provides for the grants of stock options and other equity-based awards to employees, non-employee directors, and consultants of the Company. Shares that expire, terminate or are cancelled under the 2020 Plan are added back to the 2021 Plan share reserve.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The Company issues new shares of common stock upon exercise of options. As of September 30, 2025, 2,316,038 shares were available for future grant under the 2021 Plan.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summary of the Company’s stock option activity for the period ended September 30, 2025 was as follows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3739"/>
        <w:gridCol w:w="146"/>
        <w:gridCol w:w="146"/>
        <w:gridCol w:w="1036"/>
        <w:gridCol w:w="166"/>
        <w:gridCol w:w="146"/>
        <w:gridCol w:w="396"/>
        <w:gridCol w:w="1075"/>
        <w:gridCol w:w="146"/>
        <w:gridCol w:w="146"/>
        <w:gridCol w:w="423"/>
        <w:gridCol w:w="1048"/>
        <w:gridCol w:w="146"/>
        <w:gridCol w:w="146"/>
        <w:gridCol w:w="263"/>
        <w:gridCol w:w="844"/>
        <w:gridCol w:w="193"/>
      </w:tblGrid>
      <w:tr>
        <w:trPr/>
        <w:tc>
          <w:tcPr>
            <w:tcW w:w="3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2021, the Company’s Board of Directors adopted, and its stockholders approved, the 2021 Employee Stock Purchase Plan (ESPP).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As of September 30, 2025, there were 1,951,705 shares available for future purchase under the ESPP.</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estimated the fair value of stock options using the Black-Scholes valuation model. The Company accounts for forfeitures of options when they occur. Previously recognized compensation expense for an unvested award is reversed in the period that the award is forfeited. The fair value of stock options was estimated using the following assumptions: </w:t>
      </w:r>
    </w:p>
    <w:tbl>
      <w:tblPr>
        <w:tblW w:w="5391" w:type="dxa"/>
        <w:jc w:val="left"/>
        <w:tblInd w:w="0" w:type="dxa"/>
        <w:tblLayout w:type="fixed"/>
        <w:tblCellMar>
          <w:top w:w="28" w:type="dxa"/>
          <w:left w:w="28" w:type="dxa"/>
          <w:bottom w:w="28" w:type="dxa"/>
          <w:right w:w="28" w:type="dxa"/>
        </w:tblCellMar>
      </w:tblPr>
      <w:tblGrid>
        <w:gridCol w:w="2626"/>
        <w:gridCol w:w="146"/>
        <w:gridCol w:w="1141"/>
        <w:gridCol w:w="146"/>
        <w:gridCol w:w="11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84.8 - 95.4%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87.8 - 98.7%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Stock-based compensation expense recognized for all equity awards has been reported in the condensed statements of operations and comprehensive loss as follows (in thousands):</w:t>
      </w:r>
    </w:p>
    <w:tbl>
      <w:tblPr>
        <w:tblW w:w="7567" w:type="dxa"/>
        <w:jc w:val="left"/>
        <w:tblInd w:w="0" w:type="dxa"/>
        <w:tblLayout w:type="fixed"/>
        <w:tblCellMar>
          <w:top w:w="28" w:type="dxa"/>
          <w:left w:w="28" w:type="dxa"/>
          <w:bottom w:w="28" w:type="dxa"/>
          <w:right w:w="28" w:type="dxa"/>
        </w:tblCellMar>
      </w:tblPr>
      <w:tblGrid>
        <w:gridCol w:w="3016"/>
        <w:gridCol w:w="146"/>
        <w:gridCol w:w="211"/>
        <w:gridCol w:w="571"/>
        <w:gridCol w:w="146"/>
        <w:gridCol w:w="146"/>
        <w:gridCol w:w="211"/>
        <w:gridCol w:w="571"/>
        <w:gridCol w:w="146"/>
        <w:gridCol w:w="146"/>
        <w:gridCol w:w="211"/>
        <w:gridCol w:w="676"/>
        <w:gridCol w:w="146"/>
        <w:gridCol w:w="146"/>
        <w:gridCol w:w="211"/>
        <w:gridCol w:w="676"/>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(excluding modified options) for the nine months ended September 30, 2025 and 2024 was $8.10 and $15.96 per share,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September 30, 2024, the Company recognized $2.0 million in additional stock-based compensation expense, recorded within research and development expenses, in connection with the modification and acceleration of stock options held by a former executive.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2025 and 2024, forfeitures resulting in the reversal of compensation expenses were immaterial.</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the unrecognized compensation cost related to options was $71.5 million, and is expected to be recognized as expense over a weighted-average period of approximately 2.6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 unrecognized compensation cost related to ESPP was $0.7 million, and is expected to be recognized as expense over a weighted-average period of approximately 1.4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Net Loss Per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59,670,757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58,898,277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59,523,977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56,638,732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weighted-average unvested common stock issued upon early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59,670,757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58,874,497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59,523,977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56,599,050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Shares issuable pursuant to the 2024 Pre-Funded Warrants and the Exchange Warrants are included in the calculation of weighted-average shares of common stock outstanding, both basic and diluted, for the three and nine months ended September 30, 2025. Shares issuable pursuant to the 2024 Pre-Funded Warrants are included in the calculation of weighted-average shares outstanding, both basic and diluted, for the three and nine months ended September 30, 2024. These warrants are exercisable at any time for nominal consideration, and therefore, the shares thereunder are considered outstanding for the purpose of calculating basic and diluted net loss per share.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the outstanding potentially dilutive securities that have been excluded from the calculation of diluted net loss per share because their inclusion would be anti-dilutive. </w:t>
      </w:r>
    </w:p>
    <w:tbl>
      <w:tblPr>
        <w:tblW w:w="8079" w:type="dxa"/>
        <w:jc w:val="left"/>
        <w:tblInd w:w="0" w:type="dxa"/>
        <w:tblLayout w:type="fixed"/>
        <w:tblCellMar>
          <w:top w:w="28" w:type="dxa"/>
          <w:left w:w="28" w:type="dxa"/>
          <w:bottom w:w="28" w:type="dxa"/>
          <w:right w:w="28" w:type="dxa"/>
        </w:tblCellMar>
      </w:tblPr>
      <w:tblGrid>
        <w:gridCol w:w="5086"/>
        <w:gridCol w:w="146"/>
        <w:gridCol w:w="146"/>
        <w:gridCol w:w="1036"/>
        <w:gridCol w:w="146"/>
        <w:gridCol w:w="146"/>
        <w:gridCol w:w="146"/>
        <w:gridCol w:w="1036"/>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10,751,083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upon early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purchasable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13,222,731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10,769,905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two operating leases for its office and laboratory space in Carlsbad, California that expire in November 2033. The Company has an option to renew the leases for two additional three-year periods. The Company did not include the renewal periods in determining the lease term, as the Company was not reasonably certain to exercise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Company's lease agreements, the Company paid security deposits of $0.1 million and is required to maintain a letter of credit of $1.0 million. The letter of credit may be reduced to $0.9 million in 2027 and further reduced to $0.5 million in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paid for amounts included in the measurement of lease liabilities was $0.2 million and $0.7 million for the three and nine months ended September 30, 2025, respectively, and $0.2 million and $0.5 million for the three and nine months ended September 30, 2024, respectively.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components of lease expense include operating, short-term and variable lease costs. Amortization is recorded within research and development and general and administrative expenses in the condensed statements of operations and comprehensive loss. Components of lease cost for the three and nine months ended September 30, 2025 and 2024, respectively, were as follows (in thousands):</w:t>
      </w:r>
    </w:p>
    <w:tbl>
      <w:tblPr>
        <w:tblW w:w="5588" w:type="dxa"/>
        <w:jc w:val="left"/>
        <w:tblInd w:w="0" w:type="dxa"/>
        <w:tblLayout w:type="fixed"/>
        <w:tblCellMar>
          <w:top w:w="28" w:type="dxa"/>
          <w:left w:w="28" w:type="dxa"/>
          <w:bottom w:w="28" w:type="dxa"/>
          <w:right w:w="28" w:type="dxa"/>
        </w:tblCellMar>
      </w:tblPr>
      <w:tblGrid>
        <w:gridCol w:w="1801"/>
        <w:gridCol w:w="146"/>
        <w:gridCol w:w="217"/>
        <w:gridCol w:w="434"/>
        <w:gridCol w:w="150"/>
        <w:gridCol w:w="150"/>
        <w:gridCol w:w="217"/>
        <w:gridCol w:w="434"/>
        <w:gridCol w:w="146"/>
        <w:gridCol w:w="146"/>
        <w:gridCol w:w="211"/>
        <w:gridCol w:w="421"/>
        <w:gridCol w:w="146"/>
        <w:gridCol w:w="146"/>
        <w:gridCol w:w="211"/>
        <w:gridCol w:w="421"/>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Maturities of lease liabilities, weighted-average remaining term and weighted-average discount rate as of September 30, 2025 were as follows (in thousands):</w:t>
      </w:r>
    </w:p>
    <w:tbl>
      <w:tblPr>
        <w:tblW w:w="4665" w:type="dxa"/>
        <w:jc w:val="left"/>
        <w:tblInd w:w="0" w:type="dxa"/>
        <w:tblLayout w:type="fixed"/>
        <w:tblCellMar>
          <w:top w:w="28" w:type="dxa"/>
          <w:left w:w="28" w:type="dxa"/>
          <w:bottom w:w="28" w:type="dxa"/>
          <w:right w:w="28" w:type="dxa"/>
        </w:tblCellMar>
      </w:tblPr>
      <w:tblGrid>
        <w:gridCol w:w="3286"/>
        <w:gridCol w:w="146"/>
        <w:gridCol w:w="211"/>
        <w:gridCol w:w="631"/>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5371"/>
        <w:gridCol w:w="146"/>
        <w:gridCol w:w="271"/>
        <w:gridCol w:w="869"/>
        <w:gridCol w:w="271"/>
        <w:gridCol w:w="146"/>
        <w:gridCol w:w="261"/>
        <w:gridCol w:w="834"/>
        <w:gridCol w:w="31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9.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 Company had ongoing clinical and pre-clinical studies for its various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arising in the ordinary course of business. The Company was not subject to any material legal proceedings as of September 30, 2025, and no material legal proceedings are currently pending or threatened. If the potential loss from any claim, asserted or unasserted, or legal proceeding is considered probable and the amount is reasonably estimable, the Company will accrue a liability for the estimated loss.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reports segment information based on the management approach, which reflects the way in which the internal reporting is used by the chief operating decision maker (CODM) to analyze performance, make decisions and allocate resources. The CODM is the Company’s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manages its operations as a single reportable segment, which includes all activities related to the research, development, and potential future commercialization of its small molecule drug development candidates. The CODM assesses performance and decides how to allocate resources based on net loss (presented in the condensed statements of operations and comprehensive loss). The measure of segment assets is reported on the Balance Sheets as total assets. All long-lived assets are located in the United States.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shows a reconciliation of the Company’s net loss, including the significant expense categories regularly provided to and reviewed by the CODM, to the Company’s total net loss in the condensed statements of operations and comprehensive loss (in thousands): </w:t>
      </w:r>
    </w:p>
    <w:tbl>
      <w:tblPr>
        <w:tblW w:w="8937" w:type="dxa"/>
        <w:jc w:val="left"/>
        <w:tblInd w:w="0" w:type="dxa"/>
        <w:tblLayout w:type="fixed"/>
        <w:tblCellMar>
          <w:top w:w="28" w:type="dxa"/>
          <w:left w:w="28" w:type="dxa"/>
          <w:bottom w:w="28" w:type="dxa"/>
          <w:right w:w="28" w:type="dxa"/>
        </w:tblCellMar>
      </w:tblPr>
      <w:tblGrid>
        <w:gridCol w:w="3676"/>
        <w:gridCol w:w="146"/>
        <w:gridCol w:w="211"/>
        <w:gridCol w:w="736"/>
        <w:gridCol w:w="166"/>
        <w:gridCol w:w="146"/>
        <w:gridCol w:w="211"/>
        <w:gridCol w:w="736"/>
        <w:gridCol w:w="166"/>
        <w:gridCol w:w="146"/>
        <w:gridCol w:w="211"/>
        <w:gridCol w:w="736"/>
        <w:gridCol w:w="166"/>
        <w:gridCol w:w="146"/>
        <w:gridCol w:w="211"/>
        <w:gridCol w:w="736"/>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External research and development </w:t>
              <w:br/>
              <w:t>         expenses by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Dabogratinib (TYRA-300</w:t>
            </w:r>
            <w:r>
              <w:rPr>
                <w:rFonts w:ascii="Times New Roman" w:hAnsi="Times New Roman"/>
                <w:color w:val="000000"/>
                <w:sz w:val="13"/>
              </w:rPr>
              <w:t>ACH</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Dabogratinib (TYRA-300</w:t>
            </w:r>
            <w:r>
              <w:rPr>
                <w:rFonts w:ascii="Times New Roman" w:hAnsi="Times New Roman"/>
                <w:color w:val="000000"/>
                <w:sz w:val="13"/>
              </w:rPr>
              <w:t>NMIBC</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Dabogratinib (TYRA-300</w:t>
            </w:r>
            <w:r>
              <w:rPr>
                <w:rFonts w:ascii="Times New Roman" w:hAnsi="Times New Roman"/>
                <w:color w:val="000000"/>
                <w:sz w:val="13"/>
              </w:rPr>
              <w:t>UTUC</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Dabogratinib (TYRA-300</w:t>
            </w:r>
            <w:r>
              <w:rPr>
                <w:rFonts w:ascii="Times New Roman" w:hAnsi="Times New Roman"/>
                <w:color w:val="000000"/>
                <w:sz w:val="13"/>
              </w:rPr>
              <w:t>mUC</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TYRA-430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TYRA-200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FGFR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Unallocated research and development </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Personnel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Facilities and other costs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 expenses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Personnel costs include $4.1 million and $5.3 million of stock-based compensation for the three months ended September 30, 2025 and 2024, respectively, and $11.5 million and $10.5 million of stock-based compensation for the nine months ended September 30, 2025 and 2024, respectively.</w:t>
      </w:r>
    </w:p>
    <w:p>
      <w:pPr>
        <w:pStyle w:val="TextBody"/>
        <w:bidi w:val="0"/>
        <w:spacing w:before="120" w:after="283"/>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Facilities and other costs consist of research consumables, facility-related costs, depreciation and costs not attributed to a specific program.</w:t>
      </w:r>
    </w:p>
    <w:p>
      <w:pPr>
        <w:pStyle w:val="TextBody"/>
        <w:bidi w:val="0"/>
        <w:spacing w:before="120" w:after="283"/>
        <w:jc w:val="left"/>
        <w:rPr>
          <w:rFonts w:ascii="Times New Roman" w:hAnsi="Times New Roman"/>
          <w:sz w:val="20"/>
        </w:rPr>
      </w:pPr>
      <w:r>
        <w:rPr>
          <w:rFonts w:ascii="Times New Roman" w:hAnsi="Times New Roman"/>
          <w:color w:val="000000"/>
          <w:sz w:val="13"/>
        </w:rPr>
        <w:t xml:space="preserve">(3) </w:t>
      </w:r>
      <w:r>
        <w:rPr>
          <w:rFonts w:ascii="Times New Roman" w:hAnsi="Times New Roman"/>
          <w:color w:val="000000"/>
          <w:sz w:val="20"/>
        </w:rPr>
        <w:t>General and administrative expenses consist of personnel-related expenses, including stock-based compensation, legal fees, facility-related costs, depreciation, professional and consulting fees and insurance costs.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_item2"/>
      <w:bookmarkEnd w:id="8"/>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and the unaudited interim condensed financial statements included in this Quarterly Report on Form 10-Q should be read in conjunction with the financial statements and notes thereto for the year ended December 31, 2024 and the related Management’s Discussion and Analysis of Financial Condition and Results of Operations, both of which are contained in the Annual Report on Form 10-K for the year ended December 31, 2024 (the 2024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biotechnology company focused on developing next-generation precision medicines for large opportunities in targeted oncology and genetically defined conditions, with an initial focus on Fibroblast Growth Factor Receptor (FGFR) biology.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in-house precision medicine platform, SNÅP, enables rapid and precise drug design through iterative molecular SNÅPshots that help us design and predict which product candidates may demonstrate the highest potency, selectivity and tolerability in the clinic. We have initially leveraged our SNÅP approach to develop dabogratinib (formerly TYRA-300), TYRA-430 and TYRA-200: three clinical-stage, novel small molecules designed to overcome the toxicity and resistance liabilities of first generation pan-FGFR inhibitors.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FGFR3 Programs - Dabogratinib for Skeletal Conditions and Bladder Cancer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Mutations in the protein receptor FGFR3 are a key driver in two indications with large market opportunities: skeletal conditions and bladder cancer. In skeletal conditions, increased activity of FGFR3 expressed in growth plate chondrocytes (cartilage cells) results in excessive limitation of long bone growth. In bladder cancer, uncontrolled activation of FGFR3 on the cell surface stimulates cellular proliferation.</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lead program, dabogratinib, was designed to be more selective for FGFR3 over FGFR1, FGFR2, and FGFR4 to minimize off-target side effects, providing potential clinical advantages over less selective first-generation compounds and potentially addressing key unmet needs across both skeletal conditions and bladder cancer.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planned clinical development for dabogratinib includes Phase 2 clinical studies for the treatment of pediatric achondroplasia (BEACH301), treatment of low-grade intermediate risk non-muscle invasive bladder cancer (SURF302), our recent expansion into the treatment of low-grade upper tract urothelial carcinoma (SURF303), and potentially for the treatment of metastatic urothelial carcinoma (SURF301).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BEACH301: This study is an open-label, Phase 2 dose-escalation/dose-expansion trial evaluating dabogratinib at lower doses (0.125, 0.25, 0.375, 0.50 mg/kg) in children ages 3 to 10 with achondroplasia (ACH) with open growth plates. Prior to initiation of the first two cohorts, the study has commenced enrolling a safety sentinel cohort planned for at least 3 participants per dose level in children ages 5 to 10. We dosed the first child in this study in August 2025. We expect to report interim results from the safety sentinel cohort in the second half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SURF302: This study is an open-label Phase 2 clinical trial evaluating the efficacy and safety of dabogratinib in participants with FGFR3-altered, low-grade intermediate risk (IR) non-muscle invasive bladder cancer (NMIBC). The study will enroll up to 90 participants at multiple sites primarily in the United States. Participants will be randomized initially to treatment with dabogratinib at 50 mg once daily (QD) (Cohort 1) or treatment with dabogratinib at 60 mg QD (Cohort 2). Following a review of efficacy and safety, an additional dosing cohort may be evaluated. The primary endpoint is complete response (CR) rate at three months. Secondary endpoints include time to recurrence, the median duration of response, recurrence free survival, progression free survival, safety and tolerability. We dosed the first patient in this study in June 2025. We expect to report initial three-month CR data in the first half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SURF303: We recently expanded our development of dabogratinib into low-grade upper tract urothelial carcinoma (LG-UTUC). This study is a multicenter, open-label Phase 2 clinical trial evaluating the efficacy and safety of dabogratinib in participants with FGFR3-altered LG-UTUC. An investigational new drug application was cleared by the U.S. Food and Drug Administration in October 2025 to enable a Phase 2 study of dabogratinib in LG-UTUC. We expect to initiate this study in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SURF301: This ongoing study is an international, multicenter, open-label Phase 1/2 clinical trial that was designed to determine the optimal and maximum tolerated doses (MTD), and the recommended Phase 2 dose (RP2D) of dabogratinib, as well as to evaluate the preliminary antitumor activity of dabogratinib. In late October 2024, we reported interim data that in patients with FGFR3+ metastatic urothelial carcinoma (mUC) who received doses ≥ 90 mg once daily (QD), 6 out of 11 (54.5%) patients achieved a confirmed partial response. Preliminary data, as of the August 15, 2024 data cutoff, suggested dabogratinib was generally well-tolerated, with infrequent FGFR2- and FGFR1-associated toxicities. Dose optimization is ongoing in this study.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FGF19+ Program - TYRA-430 for Hepatocellular Carcinoma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FGF19 is a post-prandial enterohepatic hormone that signals through FGFR4 and its associated co-receptor Klotho Beta (KLB) to exert its normal cellular functions. In certain cancers, FGF19 is aberrantly expressed due to focal chromosomal amplifications or epigenetic mechanisms, promoting tumor cells to become dependent on the FGFR4/KLB/FGF19 oncogenic axis. Recent insights into FGF/FGFR signaling in HCC have indicated an important bypass mechanism in FGFR3, which shares the Klotho Beta coreceptor.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TYRA-430 was designed to be biased for FGFR4 and FGFR3 over the FGFR1 and FGFR2 isoforms specifically to address the FGF19 signaling pathway, while also potentially limiting side effects due to inhibition of FGFR1 and FGFR2, as well as to address acquired resistance mutations that have limited the efficacy of previous FGFR4-specific inhibitors. TYRA-430 is currently being evaluated in a global Phase 1 multicenter, open-label study, SURF431, that is designed to evaluate the safety, tolerability, pharmacokinetics and pharmacodynamics of TYRA-430 and determine the maximum tolerated dose and recommended Phase 2 dose, as well as evaluate the preliminary antitumor activity of TYRA-430. TYRA-430 is initially being studied in advanced HCC and other solid tumors with activating FGF/FGFR pathway aberrations. In April 2025, we commenced patient dosing in this study.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FGFR2 Program - TYRA-200 for Intrahepatic Cholangiocarcinoma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FGFR2 is a protein receptor present on the cell surface that promotes cellular proliferation and transformation upon binding of fibroblast growth factor. Activating gene alterations of FGFR2 have been implicated in the tumorigenesis of multiple solid tumor types, with pan-FGFR inhibitors approved for intrahepatic cholangiocarcinoma (ICC).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TYRA-200 is an FGFR1/2/3 inhibitor designed to be active against nearly all of the clinically identified acquired resistant mutations that arise during treatment with pan-FGFR inhibitors, which we believe is necessary to address the problem of disease progression due to polyclonal resistance. TYRA-200 is currently being evaluated in a multicenter, open-label Phase 1 clinical study, SURF201, that is designed to evaluate the safety, tolerability, and pharmacokinetics of TYRA-200, determine the optimal dose for further development and the MTD and RP2D, and evaluate preliminary antitumor activity.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Financial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the issuance of Simple Agreements for Future Equity and the issuance of common stock and pre-funded common stock warrants through a private placement. Our net losses for the nine months ended September 30, 2025 and 2024 were $86.1 million and $60.9 million, respectively. As of September 30, 2025, we had an accumulated deficit of $337.4 million. As of September 30, 2025, we had cash, cash equivalents and marketable securities of $274.9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cash, cash equivalents and marketable securities as of September 30, 2025 will be sufficient to fund our operating expenses and capital expenditures through at least 2027. We have never generated any revenue and do not expect to generate any revenue from product sales unless and until we successfully complete the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our research and development expenses consist primarily of external and internal costs related to the development of our SNÅP platform and our product candidates and development programs. Our research and development expenses primarily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costs, including: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the discovery and preclinical development of our product candidates, including under agreements with third parties, such as consultants and CROs;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consultants for chemistry, manufacturing and controls (CMC) development, and other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compounds for use in our preclinical studies, including under agreements with third parties, such as consultants and third-party manufacturers;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drug development regulatory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costs, including: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laboratory supplies and acquiring, developing and manufacturing preclinical study materials;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indirect expenses, which include allocated expenses for rent and maintenance of facilities and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program-specific basis. However, we do not track internal costs, such as personnel-related expenses, stock-based compensation expense, facility-related costs, and supplies, and certain external consultant costs on a program-specific basis because these costs are primarily deployed across multiple programs under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research and development expenses may vary significantly based on a wide variety of factors, such as: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and scope, rate of progress, expense and results of our discovery and preclinical development activities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sites included in each of our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patients that participate in the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identify appropriate patients eligible for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receipt, and terms of any approvals from applicable regulatory authorities including the FDA and non-U.S.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and timing of manufacturing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attract and retain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geopolitical instability, such as the war and other conflicts in Ukraine and the Middle East;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effects on the financial markets, the global economy, the supply chain and our expenses due to tariffs and trade policies, pandemic or epidemic diseases, geopolitical instability, inflation, interest rates and other factors;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we establish additional strategic collaborations or other arrangements.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expenses, including employee salaries, bonuses, benefits, and stock-based compensation charges for personnel in executive, finance and other administrative functions. Other significant general and administrative expenses include legal fees relating to intellectual property and corporate matters, allocated facility-related costs, professional fees for accounting, tax, business development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additional personnel, audit, legal, regulatory and tax-related services associated with maintaining compliance with exchange listing and the Securities and Exchange Commission (SEC) requirements, director and officer insurance costs, and investor and public relations costs.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consists primarily of interest income from cash, cash equivalents and marketable securities and accretion income from marketable securities.</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2025 and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tbl>
      <w:tblPr>
        <w:tblW w:w="7095" w:type="dxa"/>
        <w:jc w:val="left"/>
        <w:tblInd w:w="0" w:type="dxa"/>
        <w:tblLayout w:type="fixed"/>
        <w:tblCellMar>
          <w:top w:w="28" w:type="dxa"/>
          <w:left w:w="28" w:type="dxa"/>
          <w:bottom w:w="28" w:type="dxa"/>
          <w:right w:w="28" w:type="dxa"/>
        </w:tblCellMar>
      </w:tblPr>
      <w:tblGrid>
        <w:gridCol w:w="2721"/>
        <w:gridCol w:w="146"/>
        <w:gridCol w:w="256"/>
        <w:gridCol w:w="896"/>
        <w:gridCol w:w="202"/>
        <w:gridCol w:w="177"/>
        <w:gridCol w:w="256"/>
        <w:gridCol w:w="896"/>
        <w:gridCol w:w="166"/>
        <w:gridCol w:w="146"/>
        <w:gridCol w:w="211"/>
        <w:gridCol w:w="631"/>
        <w:gridCol w:w="3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development program for the periods indicated (in thousands): </w:t>
      </w:r>
    </w:p>
    <w:tbl>
      <w:tblPr>
        <w:tblW w:w="9099" w:type="dxa"/>
        <w:jc w:val="left"/>
        <w:tblInd w:w="0" w:type="dxa"/>
        <w:tblLayout w:type="fixed"/>
        <w:tblCellMar>
          <w:top w:w="28" w:type="dxa"/>
          <w:left w:w="28" w:type="dxa"/>
          <w:bottom w:w="28" w:type="dxa"/>
          <w:right w:w="28" w:type="dxa"/>
        </w:tblCellMar>
      </w:tblPr>
      <w:tblGrid>
        <w:gridCol w:w="4786"/>
        <w:gridCol w:w="146"/>
        <w:gridCol w:w="274"/>
        <w:gridCol w:w="878"/>
        <w:gridCol w:w="189"/>
        <w:gridCol w:w="189"/>
        <w:gridCol w:w="274"/>
        <w:gridCol w:w="878"/>
        <w:gridCol w:w="146"/>
        <w:gridCol w:w="146"/>
        <w:gridCol w:w="211"/>
        <w:gridCol w:w="571"/>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Dabogratinib (TYRA-300</w:t>
            </w:r>
            <w:r>
              <w:rPr>
                <w:rFonts w:ascii="Times New Roman" w:hAnsi="Times New Roman"/>
                <w:color w:val="000000"/>
                <w:sz w:val="13"/>
              </w:rPr>
              <w:t>ACH</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Dabogratinib (TYRA-300</w:t>
            </w:r>
            <w:r>
              <w:rPr>
                <w:rFonts w:ascii="Times New Roman" w:hAnsi="Times New Roman"/>
                <w:color w:val="000000"/>
                <w:sz w:val="13"/>
              </w:rPr>
              <w:t>NMIBC</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Dabogratinib (TYRA-300</w:t>
            </w:r>
            <w:r>
              <w:rPr>
                <w:rFonts w:ascii="Times New Roman" w:hAnsi="Times New Roman"/>
                <w:color w:val="000000"/>
                <w:sz w:val="13"/>
              </w:rPr>
              <w:t>UTUC</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Dabogratinib (TYRA-300</w:t>
            </w:r>
            <w:r>
              <w:rPr>
                <w:rFonts w:ascii="Times New Roman" w:hAnsi="Times New Roman"/>
                <w:color w:val="000000"/>
                <w:sz w:val="13"/>
              </w:rPr>
              <w:t>mUC</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FGFR discovery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25,469</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$25.5 million and $22.7 million for the three months ended September 30, 2025 and 2024, respectively. The overall increase of $2.8 million was related to 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$3.5 million increase in costs primarily driven by clinical start-up and enrollment activities for BEACH301, SURF302 and SURF431;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Offset by a decrease of $0.7 million in compensation and other personnel expenses, primarily driven by a one-time stock-based-compensation charge recorded in 2024 in connection with the modification and acceleration of stock options held by a former executive.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$7.5 million and $5.9 million for the three months ended September 30, 2025 and 2024, respectively. The increase of $1.6 million was primarily related to higher compensation and other personnel expenses, including an increase in non-cash stock-based compensation costs of $1.2 million, driven by headcount growth.</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$3.1 million and $4.6 million for the three months ended September 30, 2025 and 2024, respectively. The decrease of $1.5 million was due to lower interest rates and reduced balances in cash, cash equivalents and marketable securities.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2025 and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tbl>
      <w:tblPr>
        <w:tblW w:w="7111" w:type="dxa"/>
        <w:jc w:val="left"/>
        <w:tblInd w:w="0" w:type="dxa"/>
        <w:tblLayout w:type="fixed"/>
        <w:tblCellMar>
          <w:top w:w="28" w:type="dxa"/>
          <w:left w:w="28" w:type="dxa"/>
          <w:bottom w:w="28" w:type="dxa"/>
          <w:right w:w="28" w:type="dxa"/>
        </w:tblCellMar>
      </w:tblPr>
      <w:tblGrid>
        <w:gridCol w:w="2721"/>
        <w:gridCol w:w="146"/>
        <w:gridCol w:w="248"/>
        <w:gridCol w:w="866"/>
        <w:gridCol w:w="195"/>
        <w:gridCol w:w="171"/>
        <w:gridCol w:w="248"/>
        <w:gridCol w:w="866"/>
        <w:gridCol w:w="166"/>
        <w:gridCol w:w="146"/>
        <w:gridCol w:w="211"/>
        <w:gridCol w:w="736"/>
        <w:gridCol w:w="3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development program for the periods indicated (in thousands): </w:t>
      </w:r>
    </w:p>
    <w:tbl>
      <w:tblPr>
        <w:tblW w:w="9116" w:type="dxa"/>
        <w:jc w:val="left"/>
        <w:tblInd w:w="0" w:type="dxa"/>
        <w:tblLayout w:type="fixed"/>
        <w:tblCellMar>
          <w:top w:w="28" w:type="dxa"/>
          <w:left w:w="28" w:type="dxa"/>
          <w:bottom w:w="28" w:type="dxa"/>
          <w:right w:w="28" w:type="dxa"/>
        </w:tblCellMar>
      </w:tblPr>
      <w:tblGrid>
        <w:gridCol w:w="4786"/>
        <w:gridCol w:w="146"/>
        <w:gridCol w:w="265"/>
        <w:gridCol w:w="849"/>
        <w:gridCol w:w="183"/>
        <w:gridCol w:w="183"/>
        <w:gridCol w:w="265"/>
        <w:gridCol w:w="849"/>
        <w:gridCol w:w="146"/>
        <w:gridCol w:w="146"/>
        <w:gridCol w:w="211"/>
        <w:gridCol w:w="676"/>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Dabogratinib (TYRA-300</w:t>
            </w:r>
            <w:r>
              <w:rPr>
                <w:rFonts w:ascii="Times New Roman" w:hAnsi="Times New Roman"/>
                <w:color w:val="000000"/>
                <w:sz w:val="13"/>
              </w:rPr>
              <w:t>ACH</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Dabogratinib (TYRA-300</w:t>
            </w:r>
            <w:r>
              <w:rPr>
                <w:rFonts w:ascii="Times New Roman" w:hAnsi="Times New Roman"/>
                <w:color w:val="000000"/>
                <w:sz w:val="13"/>
              </w:rPr>
              <w:t>NMIBC</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Dabogratinib (TYRA-300</w:t>
            </w:r>
            <w:r>
              <w:rPr>
                <w:rFonts w:ascii="Times New Roman" w:hAnsi="Times New Roman"/>
                <w:color w:val="000000"/>
                <w:sz w:val="13"/>
              </w:rPr>
              <w:t>UTUC</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Dabogratinib (TYRA-300</w:t>
            </w:r>
            <w:r>
              <w:rPr>
                <w:rFonts w:ascii="Times New Roman" w:hAnsi="Times New Roman"/>
                <w:color w:val="000000"/>
                <w:sz w:val="13"/>
              </w:rPr>
              <w:t>mUC</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FGFR discovery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$74.7 million and $57.9 million for the nine months ended September 30, 2025 and 2024, respectively. The overall increase of $16.8 million was related to 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$13.0 million increase in costs primarily driven by clinical start-up and enrollment activities for BEACH301, SURF302 and SURF431 and ongoing CMC activities;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$3.8 million increase in compensation and other personnel expenses, including an increase in non-cash stock-based compensation costs of $1.0 million, driven by headcount growth, offset by a one-time stock-based-compensation charge recorded in 2024 in connection with the modification and acceleration of stock options held by a former executive.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$21.5 million and $16.5 million for the nine months ended September 30, 2025 and 2024, respectively. The increase of $5.0 million was primarily related to higher compensation and other personnel expenses, including an increase in non-cash stock-based compensation costs of $3.3 million, driven by headcount growth.</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$10.1 million and $13.5 million for the nine months ended September 30, 2025 and 2024, respectively. The decrease of $3.4 million was due to lower interest rates and reduced balances in cash, cash equivalents and marketable securities.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6, 2024, we completed a private placement and issued 9,286,023 shares of our common stock and pre-funded warrants to purchase an aggregate of 6,087,230 shares of our common stock (the 2024 Private Placement) for net proceeds of approximately $199.6 million, excluding issuance costs of $0.4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3, 2022, we entered into an ATM Sales Agreement (the 2022 Sales Agreement) with Virtu Americas LLC (the 2022 Sales Agent), under which we could have, from time to time, sold shares of our common stock having an aggregate offering price of up to $150.0 million in “at the market” offerings through the 2022 Sales Agent. We did not sell any shares under the 2022 Sales Agreement. In connection with the 2025 Sales Agreement (as defined below), effective May 8, 2025, we terminated the 2022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8, 2025, we entered into a Sales Agreement (the 2025 Sales Agreement) with TD Securities (USA) LLC (the Sales Agent), under which we may, from time to time, sell shares of our common stock having an aggregate offering price of up to $150.0 million in “at the market” offerings through the Sales Agent. Sales of the shares of common stock, if any, will be made at prevailing market prices at the time of sale or as otherwise agreed with the Sales Agent. The Sales Agent will receive a commission from us of up to 3.0% of the gross proceeds of any shares of common stock sold under the Sales Agreement. As of September 30, 2025, we had not sold any shares under the 2025 Sales Agreement.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tbl>
      <w:tblPr>
        <w:tblW w:w="8353"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841"/>
        <w:gridCol w:w="166"/>
        <w:gridCol w:w="146"/>
        <w:gridCol w:w="211"/>
        <w:gridCol w:w="84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of $21.3 million in net cash used in operating activities for the nine months ended September 30, 2025, compared to the same period in 2024, was primarily due to an increase of $25.2 million in net loss and a decrease in net changes in operating assets and liabilities of $3.1 million, offset by an increase of $4.3 million in non-cash stock-based compensation expense and a decrease of $2.7 million in non-cash net accretion on marketable securities.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of $143.4 million in net cash provided by investing activities for the nine months ended September 30, 2025, compared to the same period in 2024, was driven by a reduction in purchases of marketable securities of $133.4 million, a $9.4 million increase in maturities of marketable securities, and a $0.6 million decrease in capital expenditures for property and equipment.</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of $198.0 million in net cash provided by financing activities for the nine months ended September 30, 2025, compared to the same period in 2024, was primarily due to the $199.6 million in net proceeds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the 2024 Private Placement received during the nine months ended September 30, 2024. This decrease was partially offset by an increase of $1.6 million in proceeds from issuances of common stock under benefit plans.</w:t>
      </w:r>
    </w:p>
    <w:p>
      <w:pPr>
        <w:pStyle w:val="TextBody"/>
        <w:bidi w:val="0"/>
        <w:spacing w:before="240" w:after="283"/>
        <w:jc w:val="left"/>
        <w:rPr>
          <w:rFonts w:ascii="Times New Roman" w:hAnsi="Times New Roman"/>
          <w:sz w:val="20"/>
        </w:rPr>
      </w:pPr>
      <w:r>
        <w:rPr>
          <w:rFonts w:ascii="Times New Roman" w:hAnsi="Times New Roman"/>
          <w:b/>
          <w:i/>
          <w:color w:val="000000"/>
          <w:sz w:val="20"/>
        </w:rPr>
        <w:t>Material Cash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material cash requirements consist of expected operating expenses to conduct our clinical trials and other research and development activities, personnel-related expenses and operating lease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cash to date have been to fund our research and development activities, including with respect to dabogratinib, TYRA-430, TYRA-200 and other research programs, business planning, establishing and maintaining our intellectual property portfolio, hiring personnel, raising capital, and providing general and administrative support for these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marketable securities as of September 30, 2025 will be sufficient to meet our anticipated operating expenses and capital expenditures through at least 2027.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manufacturing for current or future product candidates, including commercial scale manufacturing if any product candidate is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current or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patents and other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business grows, including additional executive officers and clinical development personnel, as well as retaining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current or future product candidate is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associated with any products or technologies that we may in-license or acquire;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issues with any of the above, including that the risk of each may be exacerbated by tariffs or trade policies, any future pandemics or epidemic diseases, potential geopolitical instability and war, inflation or rising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disclosed below, there were no material changes outside the ordinary course of our business during the nine months ended September 30, 2025 to the information regarding our contractual obligations that was disclosed in “Management’s Discussion and Analysis of Financial Condition and Results of Operations” included in the 2024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total future aggregate operating lease commitments were $8.0 million, with approximately $0.2 million due during 2025, and the remaining due in periods from 2026 through 2033.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nine months ended September 30, 2025, as compared to the critical accounting policies and estimates disclosed in “Management’s Discussion and Analysis of Financial Condition and Results of Operations” included in the 2024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Note 1 to our condensed financial statements included elsewhere in this Quarterly Report on Form 10-Q for recently issued accounting pronouncements that may potentially impact our financial position and results of operations. </w:t>
      </w:r>
    </w:p>
    <w:p>
      <w:pPr>
        <w:pStyle w:val="TextBody"/>
        <w:bidi w:val="0"/>
        <w:spacing w:before="240" w:after="283"/>
        <w:jc w:val="left"/>
        <w:rPr>
          <w:rFonts w:ascii="Times New Roman" w:hAnsi="Times New Roman"/>
          <w:b/>
          <w:color w:val="000000"/>
          <w:sz w:val="20"/>
        </w:rPr>
      </w:pPr>
      <w:bookmarkStart w:id="9" w:name="i_item3"/>
      <w:bookmarkEnd w:id="9"/>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2024 Annual Report.</w:t>
      </w:r>
    </w:p>
    <w:p>
      <w:pPr>
        <w:pStyle w:val="TextBody"/>
        <w:bidi w:val="0"/>
        <w:spacing w:before="240" w:after="283"/>
        <w:jc w:val="left"/>
        <w:rPr>
          <w:rFonts w:ascii="Times New Roman" w:hAnsi="Times New Roman"/>
          <w:b/>
          <w:color w:val="000000"/>
          <w:sz w:val="20"/>
        </w:rPr>
      </w:pPr>
      <w:bookmarkStart w:id="10" w:name="i_item4"/>
      <w:bookmarkEnd w:id="10"/>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(our principal executive officer and principal financial and accounting officer, respectively),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required by SEC Rule 13a-15(b), we carried out an evaluation of our disclosure controls and procedures as of the end of the quarter covered by this report. Based on such evaluation, our chief executive officer and our chief financial officer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concluded that, as of such date, our disclosure controls and procedures were effective at the reasonable assurance level.</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2" w:name="ii_item1"/>
      <w:bookmarkEnd w:id="12"/>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 </w:t>
      </w:r>
    </w:p>
    <w:p>
      <w:pPr>
        <w:pStyle w:val="TextBody"/>
        <w:bidi w:val="0"/>
        <w:spacing w:before="240" w:after="283"/>
        <w:jc w:val="left"/>
        <w:rPr>
          <w:rFonts w:ascii="Times New Roman" w:hAnsi="Times New Roman"/>
          <w:b/>
          <w:color w:val="000000"/>
          <w:sz w:val="20"/>
        </w:rPr>
      </w:pPr>
      <w:bookmarkStart w:id="13" w:name="ii_item1a"/>
      <w:bookmarkEnd w:id="13"/>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to the risk factors disclosed in Item 1A of our 2024 Annual Report. </w:t>
      </w:r>
    </w:p>
    <w:p>
      <w:pPr>
        <w:pStyle w:val="TextBody"/>
        <w:bidi w:val="0"/>
        <w:spacing w:before="240" w:after="283"/>
        <w:jc w:val="left"/>
        <w:rPr>
          <w:rFonts w:ascii="Times New Roman" w:hAnsi="Times New Roman"/>
          <w:b/>
          <w:color w:val="000000"/>
          <w:sz w:val="20"/>
        </w:rPr>
      </w:pPr>
      <w:bookmarkStart w:id="14" w:name="ii_item2"/>
      <w:bookmarkEnd w:id="14"/>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5" w:name="ii_item3"/>
      <w:bookmarkEnd w:id="15"/>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6" w:name="ii_item4"/>
      <w:bookmarkEnd w:id="16"/>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i_item5"/>
      <w:bookmarkEnd w:id="17"/>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and Officer Trading Arrangements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Rule 10b5-1 Trading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September 30, 2025, none of our officers or directors adopted, modified or terminated any such trading arrangements.</w:t>
      </w:r>
    </w:p>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bookmarkStart w:id="18" w:name="ii_item6"/>
      <w:bookmarkEnd w:id="18"/>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023"/>
        <w:gridCol w:w="146"/>
        <w:gridCol w:w="5378"/>
        <w:gridCol w:w="146"/>
        <w:gridCol w:w="586"/>
        <w:gridCol w:w="146"/>
        <w:gridCol w:w="609"/>
        <w:gridCol w:w="146"/>
        <w:gridCol w:w="796"/>
        <w:gridCol w:w="146"/>
        <w:gridCol w:w="1083"/>
      </w:tblGrid>
      <w:tr>
        <w:trPr/>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102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7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w:t>
            </w:r>
          </w:p>
        </w:tc>
      </w:tr>
      <w:tr>
        <w:trPr/>
        <w:tc>
          <w:tcPr>
            <w:tcW w:w="10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Amended and Restated Certificate of Incorporation, dated May 29,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effective as of October 26,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March 5, 2021,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w:t>
              </w:r>
            </w:hyperlink>
            <w:hyperlink r:id="rId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Exchange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1_1.htm">
              <w:r>
                <w:rPr>
                  <w:rStyle w:val="InternetLink"/>
                  <w:rFonts w:ascii="Times New Roman" w:hAnsi="Times New Roman"/>
                  <w:color w:val="0000FF"/>
                  <w:sz w:val="20"/>
                  <w:u w:val="single"/>
                </w:rPr>
                <w:t>Certification of Chief Executive Officer,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1_2.htm">
              <w:r>
                <w:rPr>
                  <w:rStyle w:val="InternetLink"/>
                  <w:rFonts w:ascii="Times New Roman" w:hAnsi="Times New Roman"/>
                  <w:color w:val="0000FF"/>
                  <w:sz w:val="20"/>
                  <w:u w:val="single"/>
                </w:rPr>
                <w:t>Certification of Chief Financial Officer, as required by Rule 13a-14(a) or Rule 15d-14(a), as adopted pursuant to Section 302 of the Sarbanes-Oxley Act of 2002</w:t>
              </w:r>
            </w:hyperlink>
            <w:hyperlink w:anchor="tyra-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2_2.htm">
              <w:r>
                <w:rPr>
                  <w:rStyle w:val="InternetLink"/>
                  <w:rFonts w:ascii="Times New Roman" w:hAnsi="Times New Roman"/>
                  <w:color w:val="0000FF"/>
                  <w:sz w:val="20"/>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deemed not filed for purpose of Section 18 of the Exchange Act or otherwise subject to the liability of that section, nor shall it be deemed incorporated by reference into any filing under the Securities Act or the Exchange Act.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839" w:type="dxa"/>
        <w:jc w:val="left"/>
        <w:tblInd w:w="0" w:type="dxa"/>
        <w:tblLayout w:type="fixed"/>
        <w:tblCellMar>
          <w:top w:w="28" w:type="dxa"/>
          <w:left w:w="28" w:type="dxa"/>
          <w:bottom w:w="28" w:type="dxa"/>
          <w:right w:w="28" w:type="dxa"/>
        </w:tblCellMar>
      </w:tblPr>
      <w:tblGrid>
        <w:gridCol w:w="2101"/>
        <w:gridCol w:w="146"/>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TYRA BIOSCIENCES,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0" w:name="tyra-ex31_1.htm"/>
      <w:bookmarkStart w:id="21" w:name="kstyra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Harris,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Tyra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6802" w:type="dxa"/>
        <w:jc w:val="left"/>
        <w:tblInd w:w="0" w:type="dxa"/>
        <w:tblLayout w:type="fixed"/>
        <w:tblCellMar>
          <w:top w:w="28" w:type="dxa"/>
          <w:left w:w="28" w:type="dxa"/>
          <w:bottom w:w="28" w:type="dxa"/>
          <w:right w:w="28" w:type="dxa"/>
        </w:tblCellMar>
      </w:tblPr>
      <w:tblGrid>
        <w:gridCol w:w="2101"/>
        <w:gridCol w:w="109"/>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tyra-ex31_2.htm"/>
      <w:bookmarkStart w:id="23" w:name="kstyra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Alan Fuhrman,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Tyra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tyra-ex32_1.htm"/>
      <w:bookmarkStart w:id="25" w:name="kstyraex32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Tyra Biosciences, Inc. (the “Company”) on Form 10-Q for the quarter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6802" w:type="dxa"/>
        <w:jc w:val="left"/>
        <w:tblInd w:w="0" w:type="dxa"/>
        <w:tblLayout w:type="fixed"/>
        <w:tblCellMar>
          <w:top w:w="28" w:type="dxa"/>
          <w:left w:w="28" w:type="dxa"/>
          <w:bottom w:w="28" w:type="dxa"/>
          <w:right w:w="28" w:type="dxa"/>
        </w:tblCellMar>
      </w:tblPr>
      <w:tblGrid>
        <w:gridCol w:w="2101"/>
        <w:gridCol w:w="109"/>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tyra-ex32_2.htm"/>
      <w:bookmarkStart w:id="27" w:name="kstyraex32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Tyra Biosciences, Inc. (the “Company”) on Form 10-Q for the quarter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3127/000095017023009181/tyra-ex3_1.htm" TargetMode="External"/><Relationship Id="rId3" Type="http://schemas.openxmlformats.org/officeDocument/2006/relationships/hyperlink" Target="https://www.sec.gov/Archives/edgar/data/1863127/000119312524151705/d807421dex31.htm" TargetMode="External"/><Relationship Id="rId4" Type="http://schemas.openxmlformats.org/officeDocument/2006/relationships/hyperlink" Target="https://www.sec.gov/Archives/edgar/data/1863127/000119312523264152/d537796dex31.htm" TargetMode="External"/><Relationship Id="rId5" Type="http://schemas.openxmlformats.org/officeDocument/2006/relationships/hyperlink" Target="https://www.sec.gov/Archives/edgar/data/1863127/000119312521252729/d189651dex41.htm" TargetMode="External"/><Relationship Id="rId6" Type="http://schemas.openxmlformats.org/officeDocument/2006/relationships/hyperlink" Target="https://www.sec.gov/Archives/edgar/data/1863127/000119312521268272/d189651dex42.htm" TargetMode="External"/><Relationship Id="rId7" Type="http://schemas.openxmlformats.org/officeDocument/2006/relationships/hyperlink" Target="https://www.sec.gov/Archives/edgar/data/1863127/000119312524023367/d620082dex41.htm" TargetMode="External"/><Relationship Id="rId8" Type="http://schemas.openxmlformats.org/officeDocument/2006/relationships/hyperlink" Target="https://www.sec.gov/Archives/edgar/data/1863127/000119312524023367/d620082dex41.htm" TargetMode="External"/><Relationship Id="rId9" Type="http://schemas.openxmlformats.org/officeDocument/2006/relationships/hyperlink" Target="https://www.sec.gov/Archives/edgar/data/1863127/000119312524239650/d814860dex4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14674</Words>
  <Characters>82525</Characters>
  <CharactersWithSpaces>98282</CharactersWithSpaces>
  <Paragraphs>4812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