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3,473,453.00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3,473,453.00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3,473,453.00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3,473,453.00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3,473,453.00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3,473,453.00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3,473,453.00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3,473,453.00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3,473,453.00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3,060,595.00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3,060,595.00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3,060,595.00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 92008</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September 10,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59,676,939 shares of Common Stock outstanding as of July 31, 2026, as reported by the Issuer in its Form 10-Q filed with the SEC on August 4,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right"/>
        <w:rPr>
          <w:caps w:val="false"/>
          <w:smallCaps w:val="false"/>
        </w:rPr>
      </w:pPr>
      <w:bookmarkStart w:id="28" w:name="tm2625388d1_ex99-1.htm"/>
      <w:bookmarkStart w:id="29" w:name="kstm2625388d1_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each of them of a statement on Schedule 13G (including amendments thereto) with respect to the Common Shares, par value $0.0001 per share, of Tyra Biosciences, Inc., and further agree that this Joint Filing Agreement be included as an Exhibit to such joint filing. In evidence thereof, the undersigned hereby execute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Advisors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Advisors GP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International Fund Ltd.</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85"/>
        <w:gridCol w:w="2060"/>
        <w:gridCol w:w="75"/>
      </w:tblGrid>
      <w:tr>
        <w:trPr/>
        <w:tc>
          <w:tcPr>
            <w:tcW w:w="785" w:type="dxa"/>
            <w:tcBorders/>
            <w:vAlign w:val="center"/>
          </w:tcPr>
          <w:p>
            <w:pPr>
              <w:pStyle w:val="TableContents"/>
              <w:bidi w:val="0"/>
              <w:spacing w:before="0" w:after="283"/>
              <w:jc w:val="left"/>
              <w:rPr/>
            </w:pPr>
            <w:r>
              <w:rPr/>
              <w:t>By:  </w:t>
            </w:r>
          </w:p>
        </w:tc>
        <w:tc>
          <w:tcPr>
            <w:tcW w:w="2060" w:type="dxa"/>
            <w:tcBorders>
              <w:bottom w:val="single" w:sz="8" w:space="0" w:color="000000"/>
            </w:tcBorders>
            <w:tcMar>
              <w:bottom w:w="28" w:type="dxa"/>
            </w:tcMar>
            <w:vAlign w:val="center"/>
          </w:tcPr>
          <w:p>
            <w:pPr>
              <w:pStyle w:val="TableContents"/>
              <w:bidi w:val="0"/>
              <w:spacing w:before="0" w:after="283"/>
              <w:jc w:val="left"/>
              <w:rPr/>
            </w:pPr>
            <w:r>
              <w:rPr/>
              <w:t>/s/ David K. Kim</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Name:  </w:t>
            </w:r>
          </w:p>
        </w:tc>
        <w:tc>
          <w:tcPr>
            <w:tcW w:w="2060" w:type="dxa"/>
            <w:tcBorders/>
            <w:vAlign w:val="center"/>
          </w:tcPr>
          <w:p>
            <w:pPr>
              <w:pStyle w:val="TableContents"/>
              <w:bidi w:val="0"/>
              <w:spacing w:before="0" w:after="283"/>
              <w:jc w:val="left"/>
              <w:rPr/>
            </w:pPr>
            <w:r>
              <w:rPr/>
              <w:t>David K. Kim</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Title: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28" w:type="dxa"/>
          <w:right w:w="0" w:type="dxa"/>
        </w:tblCellMar>
      </w:tblPr>
      <w:tblGrid>
        <w:gridCol w:w="2255"/>
        <w:gridCol w:w="75"/>
      </w:tblGrid>
      <w:tr>
        <w:trPr/>
        <w:tc>
          <w:tcPr>
            <w:tcW w:w="2255" w:type="dxa"/>
            <w:tcBorders>
              <w:bottom w:val="single" w:sz="8" w:space="0" w:color="000000"/>
            </w:tcBorders>
            <w:vAlign w:val="center"/>
          </w:tcPr>
          <w:p>
            <w:pPr>
              <w:pStyle w:val="TableContents"/>
              <w:bidi w:val="0"/>
              <w:spacing w:before="0" w:after="283"/>
              <w:jc w:val="left"/>
              <w:rPr/>
            </w:pPr>
            <w:r>
              <w:rPr/>
              <w:t>/s/ Senai Asefaw, M.D.</w:t>
            </w:r>
          </w:p>
        </w:tc>
        <w:tc>
          <w:tcPr>
            <w:tcW w:w="75"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Senai Asefaw, M.D.</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8137</Characters>
  <CharactersWithSpaces>9657</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