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ind w:left="0" w:right="0" w:hanging="0"/>
        <w:jc w:val="center"/>
        <w:rPr>
          <w:rFonts w:ascii="Times New Roman;serif" w:hAnsi="Times New Roman;serif"/>
          <w:b/>
          <w:sz w:val="4"/>
        </w:rPr>
      </w:pPr>
      <w:bookmarkStart w:id="0" w:name="tyra-20230630.htm"/>
      <w:bookmarkStart w:id="1" w:name="kstyra20230630"/>
      <w:bookmarkEnd w:id="0"/>
      <w:bookmarkEnd w:id="1"/>
      <w:r>
        <w:rPr>
          <w:rFonts w:ascii="Times New Roman;serif" w:hAnsi="Times New Roman;serif"/>
          <w:b/>
          <w:sz w:val="4"/>
        </w:rPr>
        <w:t>l</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ind w:left="0" w:right="0" w:hanging="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ind w:left="0" w:right="0" w:hanging="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ind w:left="4320" w:right="4320" w:hanging="0"/>
        <w:jc w:val="center"/>
        <w:rPr/>
      </w:pPr>
      <w:r>
        <w:rPr/>
        <w:t> </w:t>
      </w:r>
    </w:p>
    <w:p>
      <w:pPr>
        <w:pStyle w:val="TextBody"/>
        <w:bidi w:val="0"/>
        <w:spacing w:before="80" w:after="0"/>
        <w:ind w:left="0" w:right="0" w:hanging="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ind w:left="4320" w:right="4320" w:hanging="0"/>
        <w:jc w:val="center"/>
        <w:rPr/>
      </w:pPr>
      <w:r>
        <w:rPr/>
        <w:t> </w:t>
      </w:r>
    </w:p>
    <w:p>
      <w:pPr>
        <w:pStyle w:val="TextBody"/>
        <w:bidi w:val="0"/>
        <w:spacing w:before="80" w:after="0"/>
        <w:ind w:left="0" w:right="0" w:hanging="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ind w:left="0" w:right="0" w:hanging="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ind w:left="0" w:right="0" w:hanging="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ind w:left="0" w:right="0" w:hanging="0"/>
        <w:jc w:val="center"/>
        <w:rPr>
          <w:rFonts w:ascii="Times New Roman;serif" w:hAnsi="Times New Roman;serif"/>
          <w:b/>
          <w:sz w:val="20"/>
        </w:rPr>
      </w:pPr>
      <w:r>
        <w:rPr>
          <w:rFonts w:ascii="Times New Roman;serif" w:hAnsi="Times New Roman;serif"/>
          <w:b/>
          <w:sz w:val="20"/>
        </w:rPr>
        <w:t>For the transition period from _________ to _________.</w:t>
      </w:r>
    </w:p>
    <w:p>
      <w:pPr>
        <w:pStyle w:val="TextBody"/>
        <w:bidi w:val="0"/>
        <w:spacing w:before="80" w:after="0"/>
        <w:ind w:left="0" w:right="0" w:hanging="0"/>
        <w:jc w:val="center"/>
        <w:rPr>
          <w:rFonts w:ascii="Times New Roman;serif" w:hAnsi="Times New Roman;serif"/>
          <w:b/>
          <w:sz w:val="20"/>
        </w:rPr>
      </w:pPr>
      <w:r>
        <w:rPr>
          <w:rFonts w:ascii="Times New Roman;serif" w:hAnsi="Times New Roman;serif"/>
          <w:b/>
          <w:sz w:val="20"/>
        </w:rPr>
        <w:t>Commission File Number: 001-40800</w:t>
      </w:r>
    </w:p>
    <w:p>
      <w:pPr>
        <w:pStyle w:val="TextBody"/>
        <w:pBdr>
          <w:bottom w:val="single" w:sz="4" w:space="1" w:color="000000"/>
        </w:pBdr>
        <w:bidi w:val="0"/>
        <w:spacing w:before="0" w:after="0"/>
        <w:ind w:left="4320" w:right="4320" w:hanging="0"/>
        <w:jc w:val="center"/>
        <w:rPr/>
      </w:pPr>
      <w:r>
        <w:rPr/>
        <w:t> </w:t>
      </w:r>
    </w:p>
    <w:p>
      <w:pPr>
        <w:pStyle w:val="TextBody"/>
        <w:bidi w:val="0"/>
        <w:spacing w:before="80" w:after="0"/>
        <w:ind w:left="0" w:right="0" w:hanging="0"/>
        <w:jc w:val="center"/>
        <w:rPr>
          <w:rFonts w:ascii="Times New Roman;serif" w:hAnsi="Times New Roman;serif"/>
          <w:b/>
          <w:sz w:val="48"/>
        </w:rPr>
      </w:pPr>
      <w:r>
        <w:rPr>
          <w:rFonts w:ascii="Times New Roman;serif" w:hAnsi="Times New Roman;serif"/>
          <w:b/>
          <w:sz w:val="48"/>
        </w:rPr>
        <w:t>TYRA BIOSCIENCES, INC.</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ind w:left="4320" w:right="4320" w:hanging="0"/>
        <w:jc w:val="center"/>
        <w:rPr/>
      </w:pPr>
      <w:r>
        <w:rPr/>
        <w:t> </w:t>
      </w:r>
    </w:p>
    <w:p>
      <w:pPr>
        <w:pStyle w:val="TextBody"/>
        <w:bidi w:val="0"/>
        <w:spacing w:before="0" w:after="0"/>
        <w:ind w:left="0" w:right="0" w:hanging="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83-1476348</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2656 State Street</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Carlsbad, California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92008</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ind w:left="0" w:right="0" w:hanging="0"/>
        <w:jc w:val="center"/>
        <w:rPr>
          <w:rFonts w:ascii="Times New Roman;serif" w:hAnsi="Times New Roman;serif"/>
          <w:b/>
          <w:sz w:val="20"/>
        </w:rPr>
      </w:pPr>
      <w:r>
        <w:rPr>
          <w:rFonts w:ascii="Times New Roman;serif" w:hAnsi="Times New Roman;serif"/>
          <w:b/>
          <w:sz w:val="20"/>
        </w:rPr>
        <w:t>Registrant’s telephone number, including area code: (619) 728-4760</w:t>
      </w:r>
    </w:p>
    <w:p>
      <w:pPr>
        <w:pStyle w:val="TextBody"/>
        <w:pBdr>
          <w:bottom w:val="single" w:sz="4" w:space="1" w:color="000000"/>
        </w:pBdr>
        <w:bidi w:val="0"/>
        <w:spacing w:before="0" w:after="0"/>
        <w:ind w:left="4320" w:right="4320" w:hanging="0"/>
        <w:jc w:val="center"/>
        <w:rPr/>
      </w:pPr>
      <w:r>
        <w:rPr/>
        <w:t> </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ind w:left="0" w:right="0" w:hanging="0"/>
        <w:jc w:val="left"/>
        <w:rPr/>
      </w:pPr>
      <w:r>
        <w:rPr/>
        <w:t> </w:t>
      </w:r>
    </w:p>
    <w:tbl>
      <w:tblPr>
        <w:tblW w:w="7960" w:type="dxa"/>
        <w:jc w:val="left"/>
        <w:tblInd w:w="0" w:type="dxa"/>
        <w:tblLayout w:type="fixed"/>
        <w:tblCellMar>
          <w:top w:w="28" w:type="dxa"/>
          <w:left w:w="28" w:type="dxa"/>
          <w:bottom w:w="28" w:type="dxa"/>
          <w:right w:w="28" w:type="dxa"/>
        </w:tblCellMar>
      </w:tblPr>
      <w:tblGrid>
        <w:gridCol w:w="3526"/>
        <w:gridCol w:w="146"/>
        <w:gridCol w:w="826"/>
        <w:gridCol w:w="146"/>
        <w:gridCol w:w="3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52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 $0.0001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TYRA</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The Nasdaq Global Select Market</w:t>
            </w:r>
          </w:p>
        </w:tc>
      </w:tr>
    </w:tbl>
    <w:p>
      <w:pPr>
        <w:pStyle w:val="TextBody"/>
        <w:bidi w:val="0"/>
        <w:spacing w:before="0" w:after="0"/>
        <w:ind w:left="0" w:right="0" w:hanging="0"/>
        <w:jc w:val="left"/>
        <w:rPr/>
      </w:pPr>
      <w:r>
        <w:rPr/>
        <w:t> </w:t>
      </w:r>
    </w:p>
    <w:p>
      <w:pPr>
        <w:pStyle w:val="TextBody"/>
        <w:bidi w:val="0"/>
        <w:spacing w:before="0" w:after="0"/>
        <w:ind w:left="0" w:right="0" w:firstLine="576"/>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ind w:left="0" w:right="0" w:firstLine="576"/>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76"/>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As of August 7, 2023, the registrant had 43,010,692</w:t>
      </w:r>
      <w:r>
        <w:rPr>
          <w:rFonts w:ascii="Times New Roman" w:hAnsi="Times New Roman"/>
          <w:sz w:val="20"/>
        </w:rPr>
        <w:t xml:space="preserve"> </w:t>
      </w:r>
      <w:r>
        <w:rPr>
          <w:rFonts w:ascii="Times New Roman;serif" w:hAnsi="Times New Roman;serif"/>
          <w:b w:val="false"/>
          <w:sz w:val="18"/>
        </w:rPr>
        <w:t>shares of common stock, $0.0001</w:t>
      </w:r>
      <w:r>
        <w:rPr>
          <w:rFonts w:ascii="Times New Roman" w:hAnsi="Times New Roman"/>
          <w:sz w:val="20"/>
        </w:rPr>
        <w:t xml:space="preserve"> </w:t>
      </w:r>
      <w:r>
        <w:rPr>
          <w:rFonts w:ascii="Times New Roman;serif" w:hAnsi="Times New Roman;serif"/>
          <w:b w:val="false"/>
          <w:sz w:val="18"/>
        </w:rPr>
        <w:t>par value per share, outstanding.</w:t>
      </w:r>
    </w:p>
    <w:p>
      <w:pPr>
        <w:pStyle w:val="TextBody"/>
        <w:pBdr>
          <w:bottom w:val="double" w:sz="6" w:space="1" w:color="000000"/>
        </w:pBdr>
        <w:bidi w:val="0"/>
        <w:spacing w:before="0" w:after="0"/>
        <w:ind w:left="0" w:right="0" w:hanging="0"/>
        <w:jc w:val="center"/>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ind w:left="0" w:right="0" w:hanging="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71"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center"/>
              <w:rPr>
                <w:rFonts w:ascii="Times New Roman;serif" w:hAnsi="Times New Roman;serif"/>
                <w:b/>
                <w:sz w:val="20"/>
              </w:rPr>
            </w:pPr>
            <w:r>
              <w:rPr>
                <w:rFonts w:ascii="Times New Roman;serif" w:hAnsi="Times New Roman;serif"/>
                <w:b/>
                <w:sz w:val="20"/>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FINANCIAL INFORMATION</w:t>
              </w:r>
            </w:hyperlink>
          </w:p>
        </w:tc>
        <w:tc>
          <w:tcPr>
            <w:tcW w:w="5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Condensed Financial Statements</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
              <w:r>
                <w:rPr>
                  <w:rStyle w:val="InternetLink"/>
                  <w:rFonts w:ascii="Times New Roman;serif" w:hAnsi="Times New Roman;serif"/>
                  <w:b w:val="false"/>
                  <w:sz w:val="20"/>
                  <w:u w:val="single"/>
                </w:rPr>
                <w:t>Condensed Balance Sheets</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mp_loss">
              <w:r>
                <w:rPr>
                  <w:rStyle w:val="InternetLink"/>
                  <w:rFonts w:ascii="Times New Roman;serif" w:hAnsi="Times New Roman;serif"/>
                  <w:b w:val="false"/>
                  <w:sz w:val="20"/>
                  <w:u w:val="single"/>
                </w:rPr>
                <w:t>Condensed Statements of Operations and Comprehensive Loss</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_equity">
              <w:r>
                <w:rPr>
                  <w:rStyle w:val="InternetLink"/>
                  <w:rFonts w:ascii="Times New Roman;serif" w:hAnsi="Times New Roman;serif"/>
                  <w:b w:val="false"/>
                  <w:sz w:val="20"/>
                  <w:u w:val="single"/>
                </w:rPr>
                <w:t>Condensed Statements of Stockholders' Equity</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_cash_flows">
              <w:r>
                <w:rPr>
                  <w:rStyle w:val="InternetLink"/>
                  <w:rFonts w:ascii="Times New Roman;serif" w:hAnsi="Times New Roman;serif"/>
                  <w:b w:val="false"/>
                  <w:sz w:val="20"/>
                  <w:u w:val="single"/>
                </w:rPr>
                <w:t>Condensed Statements of Cash Flows</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consolidated_financial_statements">
              <w:r>
                <w:rPr>
                  <w:rStyle w:val="InternetLink"/>
                  <w:rFonts w:ascii="Times New Roman;serif" w:hAnsi="Times New Roman;serif"/>
                  <w:b w:val="false"/>
                  <w:sz w:val="20"/>
                  <w:u w:val="single"/>
                </w:rPr>
                <w:t>Notes to the Condensed Financial Statements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bl>
    <w:p>
      <w:pPr>
        <w:pStyle w:val="TextBody"/>
        <w:bidi w:val="0"/>
        <w:spacing w:before="24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PART I—FINANCIAL INFORMATION</w:t>
      </w:r>
    </w:p>
    <w:p>
      <w:pPr>
        <w:pStyle w:val="TextBody"/>
        <w:bidi w:val="0"/>
        <w:spacing w:before="240" w:after="0"/>
        <w:ind w:left="0" w:right="0" w:hanging="0"/>
        <w:jc w:val="left"/>
        <w:rPr>
          <w:rFonts w:ascii="Times New Roman;serif" w:hAnsi="Times New Roman;serif"/>
          <w:b/>
          <w:sz w:val="20"/>
        </w:rPr>
      </w:pPr>
      <w:bookmarkStart w:id="2" w:name="i_item1"/>
      <w:bookmarkEnd w:id="2"/>
      <w:r>
        <w:rPr>
          <w:rFonts w:ascii="Times New Roman;serif" w:hAnsi="Times New Roman;serif"/>
          <w:b/>
          <w:sz w:val="20"/>
        </w:rPr>
        <w:t>Item 1. Condensed Financial Statements</w:t>
      </w:r>
    </w:p>
    <w:p>
      <w:pPr>
        <w:pStyle w:val="TextBody"/>
        <w:bidi w:val="0"/>
        <w:spacing w:before="0" w:after="0"/>
        <w:ind w:left="0" w:right="0" w:hanging="0"/>
        <w:jc w:val="center"/>
        <w:rPr>
          <w:rFonts w:ascii="Times New Roman" w:hAnsi="Times New Roman"/>
          <w:sz w:val="20"/>
        </w:rPr>
      </w:pPr>
      <w:bookmarkStart w:id="3" w:name="balance_sheet"/>
      <w:bookmarkEnd w:id="3"/>
      <w:r>
        <w:rPr>
          <w:rFonts w:ascii="Times New Roman;serif" w:hAnsi="Times New Roman;serif"/>
          <w:b/>
          <w:sz w:val="20"/>
        </w:rPr>
        <w:t xml:space="preserve">Tyra Biosciences, Inc. </w:t>
        <w:br/>
        <w:t>Condensed Balance Sheets</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except share and par value data)</w:t>
      </w:r>
    </w:p>
    <w:p>
      <w:pPr>
        <w:pStyle w:val="TextBody"/>
        <w:bidi w:val="0"/>
        <w:spacing w:before="0" w:after="0"/>
        <w:ind w:left="0" w:right="0" w:hanging="0"/>
        <w:jc w:val="left"/>
        <w:rPr/>
      </w:pPr>
      <w:r>
        <w:rPr/>
        <w:t> </w:t>
      </w:r>
    </w:p>
    <w:tbl>
      <w:tblPr>
        <w:tblW w:w="8907" w:type="dxa"/>
        <w:jc w:val="left"/>
        <w:tblInd w:w="0" w:type="dxa"/>
        <w:tblLayout w:type="fixed"/>
        <w:tblCellMar>
          <w:top w:w="28" w:type="dxa"/>
          <w:left w:w="28" w:type="dxa"/>
          <w:bottom w:w="28" w:type="dxa"/>
          <w:right w:w="28" w:type="dxa"/>
        </w:tblCellMar>
      </w:tblPr>
      <w:tblGrid>
        <w:gridCol w:w="5911"/>
        <w:gridCol w:w="146"/>
        <w:gridCol w:w="211"/>
        <w:gridCol w:w="841"/>
        <w:gridCol w:w="166"/>
        <w:gridCol w:w="146"/>
        <w:gridCol w:w="233"/>
        <w:gridCol w:w="862"/>
        <w:gridCol w:w="39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251,213</w:t>
            </w:r>
          </w:p>
        </w:tc>
        <w:tc>
          <w:tcPr>
            <w:tcW w:w="391" w:type="dxa"/>
            <w:tcBorders/>
            <w:vAlign w:val="center"/>
          </w:tcPr>
          <w:p>
            <w:pPr>
              <w:pStyle w:val="TableContents"/>
              <w:bidi w:val="0"/>
              <w:spacing w:before="0" w:after="0"/>
              <w:ind w:left="0" w:right="0" w:firstLine="200"/>
              <w:jc w:val="lef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257,288</w:t>
            </w:r>
          </w:p>
        </w:tc>
        <w:tc>
          <w:tcPr>
            <w:tcW w:w="391" w:type="dxa"/>
            <w:tcBorders/>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1,077</w:t>
            </w:r>
          </w:p>
        </w:tc>
        <w:tc>
          <w:tcPr>
            <w:tcW w:w="391" w:type="dxa"/>
            <w:tcBorders/>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391" w:type="dxa"/>
            <w:tcBorders/>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266,181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391" w:type="dxa"/>
            <w:tcBorders/>
            <w:vAlign w:val="center"/>
          </w:tcPr>
          <w:p>
            <w:pPr>
              <w:pStyle w:val="TableContents"/>
              <w:bidi w:val="0"/>
              <w:spacing w:before="0" w:after="0"/>
              <w:ind w:left="0" w:right="0" w:firstLine="200"/>
              <w:jc w:val="lef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91" w:type="dxa"/>
            <w:tcBorders/>
            <w:vAlign w:val="center"/>
          </w:tcPr>
          <w:p>
            <w:pPr>
              <w:pStyle w:val="TableContents"/>
              <w:bidi w:val="0"/>
              <w:spacing w:before="0" w:after="0"/>
              <w:ind w:left="0" w:right="0" w:firstLine="200"/>
              <w:jc w:val="left"/>
              <w:rPr/>
            </w:pPr>
            <w:r>
              <w:rPr/>
              <w:t> </w:t>
            </w:r>
          </w:p>
        </w:tc>
      </w:tr>
      <w:tr>
        <w:trPr/>
        <w:tc>
          <w:tcPr>
            <w:tcW w:w="591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Accrued and other current liabilities (including related party amounts </w:t>
              <w:br/>
              <w:t>   of $0</w:t>
            </w:r>
            <w:r>
              <w:rPr>
                <w:rFonts w:ascii="Times New Roman" w:hAnsi="Times New Roman"/>
                <w:sz w:val="20"/>
              </w:rPr>
              <w:t> </w:t>
            </w:r>
            <w:r>
              <w:rPr>
                <w:rFonts w:ascii="Times New Roman;serif" w:hAnsi="Times New Roman;serif"/>
                <w:b w:val="false"/>
                <w:sz w:val="20"/>
              </w:rPr>
              <w:t>and $59,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5,701</w:t>
            </w:r>
          </w:p>
        </w:tc>
        <w:tc>
          <w:tcPr>
            <w:tcW w:w="391" w:type="dxa"/>
            <w:tcBorders/>
            <w:vAlign w:val="center"/>
          </w:tcPr>
          <w:p>
            <w:pPr>
              <w:pStyle w:val="TableContents"/>
              <w:bidi w:val="0"/>
              <w:spacing w:before="0" w:after="0"/>
              <w:ind w:left="0" w:right="0" w:firstLine="200"/>
              <w:jc w:val="lef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2,482</w:t>
            </w:r>
          </w:p>
        </w:tc>
        <w:tc>
          <w:tcPr>
            <w:tcW w:w="391" w:type="dxa"/>
            <w:tcBorders/>
            <w:vAlign w:val="center"/>
          </w:tcPr>
          <w:p>
            <w:pPr>
              <w:pStyle w:val="TableContents"/>
              <w:bidi w:val="0"/>
              <w:spacing w:before="0" w:after="0"/>
              <w:ind w:left="0" w:right="0" w:firstLine="200"/>
              <w:jc w:val="lef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8,352</w:t>
            </w:r>
          </w:p>
        </w:tc>
        <w:tc>
          <w:tcPr>
            <w:tcW w:w="391" w:type="dxa"/>
            <w:tcBorders/>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10)</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9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50,000,000</w:t>
            </w:r>
            <w:r>
              <w:rPr>
                <w:rFonts w:ascii="Times New Roman" w:hAnsi="Times New Roman"/>
                <w:sz w:val="20"/>
              </w:rPr>
              <w:t> </w:t>
            </w:r>
            <w:r>
              <w:rPr>
                <w:rFonts w:ascii="Times New Roman;serif" w:hAnsi="Times New Roman;serif"/>
                <w:b w:val="false"/>
                <w:sz w:val="20"/>
              </w:rPr>
              <w:t xml:space="preserve">shares </w:t>
              <w:br/>
              <w:t xml:space="preserve">   authorized at June 30, 2023 and December 31, 2022; </w:t>
              <w:br/>
              <w:t>   no</w:t>
            </w:r>
            <w:r>
              <w:rPr>
                <w:rFonts w:ascii="Times New Roman" w:hAnsi="Times New Roman"/>
                <w:sz w:val="20"/>
              </w:rPr>
              <w:t> </w:t>
            </w:r>
            <w:r>
              <w:rPr>
                <w:rFonts w:ascii="Times New Roman;serif" w:hAnsi="Times New Roman;serif"/>
                <w:b w:val="false"/>
                <w:sz w:val="20"/>
              </w:rPr>
              <w:t xml:space="preserve">shares issued and outstanding at June 30, 2023 and </w:t>
              <w:br/>
              <w: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shares authorized</w:t>
              <w:br/>
              <w:t>   at June 30, 2023 and December 31, 2022; 42,994,630</w:t>
            </w:r>
            <w:r>
              <w:rPr>
                <w:rFonts w:ascii="Times New Roman" w:hAnsi="Times New Roman"/>
                <w:sz w:val="20"/>
              </w:rPr>
              <w:t> </w:t>
            </w:r>
            <w:r>
              <w:rPr>
                <w:rFonts w:ascii="Times New Roman;serif" w:hAnsi="Times New Roman;serif"/>
                <w:b w:val="false"/>
                <w:sz w:val="20"/>
              </w:rPr>
              <w:t>and 42,634,459</w:t>
              <w:br/>
              <w:t>   shares issued at June 30, 2023 and December 31, 2022, respectively,</w:t>
              <w:br/>
              <w:t>   and 42,817,233</w:t>
            </w:r>
            <w:r>
              <w:rPr>
                <w:rFonts w:ascii="Times New Roman" w:hAnsi="Times New Roman"/>
                <w:sz w:val="20"/>
              </w:rPr>
              <w:t> </w:t>
            </w:r>
            <w:r>
              <w:rPr>
                <w:rFonts w:ascii="Times New Roman;serif" w:hAnsi="Times New Roman;serif"/>
                <w:b w:val="false"/>
                <w:sz w:val="20"/>
              </w:rPr>
              <w:t>and 42,353,550</w:t>
            </w:r>
            <w:r>
              <w:rPr>
                <w:rFonts w:ascii="Times New Roman" w:hAnsi="Times New Roman"/>
                <w:sz w:val="20"/>
              </w:rPr>
              <w:t> </w:t>
            </w:r>
            <w:r>
              <w:rPr>
                <w:rFonts w:ascii="Times New Roman;serif" w:hAnsi="Times New Roman;serif"/>
                <w:b w:val="false"/>
                <w:sz w:val="20"/>
              </w:rPr>
              <w:t>shares outstanding at June 30, 2023</w:t>
              <w:br/>
              <w:t>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vAlign w:val="center"/>
          </w:tcPr>
          <w:p>
            <w:pPr>
              <w:pStyle w:val="TableContents"/>
              <w:bidi w:val="0"/>
              <w:spacing w:before="0" w:after="0"/>
              <w:ind w:left="0" w:right="0" w:firstLine="200"/>
              <w:jc w:val="lef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359,416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353,521</w:t>
            </w:r>
          </w:p>
        </w:tc>
        <w:tc>
          <w:tcPr>
            <w:tcW w:w="391" w:type="dxa"/>
            <w:tcBorders/>
            <w:vAlign w:val="center"/>
          </w:tcPr>
          <w:p>
            <w:pPr>
              <w:pStyle w:val="TableContents"/>
              <w:bidi w:val="0"/>
              <w:spacing w:before="0" w:after="0"/>
              <w:ind w:left="0" w:right="0" w:firstLine="200"/>
              <w:jc w:val="left"/>
              <w:rPr/>
            </w:pPr>
            <w:r>
              <w:rPr/>
              <w:t> </w:t>
            </w:r>
          </w:p>
        </w:tc>
      </w:tr>
      <w:tr>
        <w:trPr/>
        <w:tc>
          <w:tcPr>
            <w:tcW w:w="5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(95,696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257,829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266,181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See accompanying notes to unaudited condensed financial statements.</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bookmarkStart w:id="4" w:name="comp_loss"/>
      <w:bookmarkEnd w:id="4"/>
      <w:r>
        <w:rPr>
          <w:rFonts w:ascii="Times New Roman;serif" w:hAnsi="Times New Roman;serif"/>
          <w:b/>
          <w:sz w:val="20"/>
        </w:rPr>
        <w:t>Tyra Biosciences, Inc.</w:t>
      </w:r>
      <w:r>
        <w:rPr>
          <w:rFonts w:ascii="Times New Roman" w:hAnsi="Times New Roman"/>
          <w:sz w:val="20"/>
        </w:rPr>
        <w:t xml:space="preserve"> </w:t>
      </w:r>
      <w:r>
        <w:rPr>
          <w:rFonts w:ascii="Times New Roman;serif" w:hAnsi="Times New Roman;serif"/>
          <w:b w:val="false"/>
          <w:sz w:val="20"/>
        </w:rPr>
        <w:br/>
      </w:r>
      <w:r>
        <w:rPr>
          <w:rFonts w:ascii="Times New Roman;serif" w:hAnsi="Times New Roman;serif"/>
          <w:b/>
          <w:sz w:val="20"/>
        </w:rPr>
        <w:t>Condensed Statements of Operations and Comprehensive Loss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val="false"/>
          <w:sz w:val="20"/>
        </w:rPr>
        <w:t>(unaudited)</w:t>
        <w:br/>
        <w:t>(in thousands, except share and per share data)</w:t>
      </w:r>
      <w:r>
        <w:rPr>
          <w:rFonts w:ascii="Times New Roman" w:hAnsi="Times New Roman"/>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21,692</w:t>
            </w:r>
          </w:p>
        </w:tc>
        <w:tc>
          <w:tcPr>
            <w:tcW w:w="391" w:type="dxa"/>
            <w:tcBorders/>
            <w:vAlign w:val="center"/>
          </w:tcPr>
          <w:p>
            <w:pPr>
              <w:pStyle w:val="TableContents"/>
              <w:bidi w:val="0"/>
              <w:spacing w:before="0" w:after="0"/>
              <w:ind w:left="0" w:right="0" w:firstLine="200"/>
              <w:jc w:val="left"/>
              <w:rPr/>
            </w:pPr>
            <w:r>
              <w:rPr/>
              <w:t> </w:t>
            </w:r>
          </w:p>
        </w:tc>
      </w:tr>
      <w:tr>
        <w:trPr/>
        <w:tc>
          <w:tcPr>
            <w:tcW w:w="374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General and administrative (including related party </w:t>
              <w:br/>
              <w:t>   amounts of $0, $186, $0</w:t>
            </w:r>
            <w:r>
              <w:rPr>
                <w:rFonts w:ascii="Times New Roman" w:hAnsi="Times New Roman"/>
                <w:sz w:val="20"/>
              </w:rPr>
              <w:t> </w:t>
            </w:r>
            <w:r>
              <w:rPr>
                <w:rFonts w:ascii="Times New Roman;serif" w:hAnsi="Times New Roman;serif"/>
                <w:b w:val="false"/>
                <w:sz w:val="20"/>
              </w:rPr>
              <w:t>and $396,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30,262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(30,262</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391" w:type="dxa"/>
            <w:tcBorders/>
            <w:vAlign w:val="center"/>
          </w:tcPr>
          <w:p>
            <w:pPr>
              <w:pStyle w:val="TableContents"/>
              <w:bidi w:val="0"/>
              <w:spacing w:before="0" w:after="0"/>
              <w:ind w:left="0" w:right="0" w:firstLine="200"/>
              <w:jc w:val="lef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(29,921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Weighted-average shares used to compute net loss </w:t>
              <w:br/>
              <w:t>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42,589,213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41,777,206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42,492,377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41,665,155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See accompanying notes to unaudited condensed financial statements.</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Tyra Biosciences, Inc.</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sz w:val="20"/>
        </w:rPr>
      </w:pPr>
      <w:bookmarkStart w:id="5" w:name="statement_equity"/>
      <w:bookmarkEnd w:id="5"/>
      <w:r>
        <w:rPr>
          <w:rFonts w:ascii="Times New Roman;serif" w:hAnsi="Times New Roman;serif"/>
          <w:b/>
          <w:sz w:val="20"/>
        </w:rPr>
        <w:t>Condensed Statements of Stockholders’ Equity</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ind w:left="0" w:right="0" w:hanging="0"/>
        <w:jc w:val="center"/>
        <w:rPr>
          <w:rFonts w:ascii="Times New Roman" w:hAnsi="Times New Roman"/>
          <w:sz w:val="20"/>
        </w:rPr>
      </w:pPr>
      <w:r>
        <w:rPr>
          <w:rFonts w:ascii="Times New Roman;serif" w:hAnsi="Times New Roman;serif"/>
          <w:b w:val="false"/>
          <w:sz w:val="20"/>
        </w:rPr>
        <w:t>(in thousands, except share amounts)</w:t>
      </w:r>
      <w:r>
        <w:rPr>
          <w:rFonts w:ascii="Times New Roman" w:hAnsi="Times New Roman"/>
          <w:sz w:val="20"/>
        </w:rPr>
        <w:t xml:space="preserve"> </w:t>
      </w:r>
    </w:p>
    <w:p>
      <w:pPr>
        <w:pStyle w:val="TextBody"/>
        <w:bidi w:val="0"/>
        <w:spacing w:before="0" w:after="0"/>
        <w:ind w:left="0" w:right="0" w:hanging="0"/>
        <w:jc w:val="center"/>
        <w:rPr/>
      </w:pPr>
      <w:r>
        <w:rPr/>
        <w:t> </w:t>
      </w:r>
    </w:p>
    <w:tbl>
      <w:tblPr>
        <w:tblW w:w="9318" w:type="dxa"/>
        <w:jc w:val="left"/>
        <w:tblInd w:w="0" w:type="dxa"/>
        <w:tblLayout w:type="fixed"/>
        <w:tblCellMar>
          <w:top w:w="28" w:type="dxa"/>
          <w:left w:w="28" w:type="dxa"/>
          <w:bottom w:w="28" w:type="dxa"/>
          <w:right w:w="28" w:type="dxa"/>
        </w:tblCellMar>
      </w:tblPr>
      <w:tblGrid>
        <w:gridCol w:w="2761"/>
        <w:gridCol w:w="146"/>
        <w:gridCol w:w="146"/>
        <w:gridCol w:w="1036"/>
        <w:gridCol w:w="146"/>
        <w:gridCol w:w="146"/>
        <w:gridCol w:w="261"/>
        <w:gridCol w:w="430"/>
        <w:gridCol w:w="146"/>
        <w:gridCol w:w="146"/>
        <w:gridCol w:w="211"/>
        <w:gridCol w:w="781"/>
        <w:gridCol w:w="146"/>
        <w:gridCol w:w="146"/>
        <w:gridCol w:w="234"/>
        <w:gridCol w:w="817"/>
        <w:gridCol w:w="166"/>
        <w:gridCol w:w="146"/>
        <w:gridCol w:w="233"/>
        <w:gridCol w:w="86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41,441,135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301,737</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w:t>
              <w:br/>
              <w:t>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shares of common</w:t>
              <w:br/>
              <w:t>   stock subject to repurchase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3,972</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(14,826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41,696,564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346,377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291,184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w:t>
              <w:br/>
              <w:t>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shares of common</w:t>
              <w:br/>
              <w:t>   stock subject to repurchase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2,688</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41,903,110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349,141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278,853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tbl>
      <w:tblPr>
        <w:tblW w:w="9319" w:type="dxa"/>
        <w:jc w:val="left"/>
        <w:tblInd w:w="0" w:type="dxa"/>
        <w:tblLayout w:type="fixed"/>
        <w:tblCellMar>
          <w:top w:w="28" w:type="dxa"/>
          <w:left w:w="28" w:type="dxa"/>
          <w:bottom w:w="28" w:type="dxa"/>
          <w:right w:w="28" w:type="dxa"/>
        </w:tblCellMar>
      </w:tblPr>
      <w:tblGrid>
        <w:gridCol w:w="2761"/>
        <w:gridCol w:w="146"/>
        <w:gridCol w:w="146"/>
        <w:gridCol w:w="1036"/>
        <w:gridCol w:w="146"/>
        <w:gridCol w:w="146"/>
        <w:gridCol w:w="261"/>
        <w:gridCol w:w="430"/>
        <w:gridCol w:w="146"/>
        <w:gridCol w:w="146"/>
        <w:gridCol w:w="211"/>
        <w:gridCol w:w="781"/>
        <w:gridCol w:w="146"/>
        <w:gridCol w:w="146"/>
        <w:gridCol w:w="211"/>
        <w:gridCol w:w="841"/>
        <w:gridCol w:w="166"/>
        <w:gridCol w:w="146"/>
        <w:gridCol w:w="233"/>
        <w:gridCol w:w="86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42,353,550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257,829</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w:t>
              <w:br/>
              <w:t>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shares of common</w:t>
              <w:br/>
              <w:t>   stock subject to repurchase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2,433</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42,535,374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356,362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248,790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w:t>
              <w:br/>
              <w:t>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shares of common</w:t>
              <w:br/>
              <w:t>   stock subject to repurchase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42,817,233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359,416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238,572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hanging="0"/>
        <w:jc w:val="center"/>
        <w:rPr>
          <w:rFonts w:ascii="Times New Roman;serif" w:hAnsi="Times New Roman;serif"/>
          <w:b w:val="false"/>
          <w:i/>
          <w:sz w:val="20"/>
        </w:rPr>
      </w:pPr>
      <w:r>
        <w:rPr>
          <w:rFonts w:ascii="Times New Roman;serif" w:hAnsi="Times New Roman;serif"/>
          <w:b w:val="false"/>
          <w:i/>
          <w:sz w:val="20"/>
        </w:rPr>
        <w:t>See accompanying notes to unaudited condensed financial statements.</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Tyra Biosciences, Inc.</w:t>
      </w:r>
    </w:p>
    <w:p>
      <w:pPr>
        <w:pStyle w:val="TextBody"/>
        <w:bidi w:val="0"/>
        <w:spacing w:before="0" w:after="0"/>
        <w:ind w:left="0" w:right="0" w:hanging="0"/>
        <w:jc w:val="center"/>
        <w:rPr>
          <w:rFonts w:ascii="Times New Roman" w:hAnsi="Times New Roman"/>
          <w:sz w:val="20"/>
        </w:rPr>
      </w:pPr>
      <w:bookmarkStart w:id="6" w:name="statement_cash_flows"/>
      <w:bookmarkEnd w:id="6"/>
      <w:r>
        <w:rPr>
          <w:rFonts w:ascii="Times New Roman;serif" w:hAnsi="Times New Roman;serif"/>
          <w:b/>
          <w:sz w:val="20"/>
        </w:rPr>
        <w:t>Condensed Statements</w:t>
      </w:r>
      <w:r>
        <w:rPr>
          <w:rFonts w:ascii="Times New Roman" w:hAnsi="Times New Roman"/>
          <w:sz w:val="20"/>
        </w:rPr>
        <w:t xml:space="preserve"> </w:t>
      </w:r>
      <w:r>
        <w:rPr>
          <w:rFonts w:ascii="Times New Roman;serif" w:hAnsi="Times New Roman;serif"/>
          <w:b/>
          <w:sz w:val="20"/>
        </w:rPr>
        <w:t>of Cash Flows</w:t>
      </w:r>
    </w:p>
    <w:p>
      <w:pPr>
        <w:pStyle w:val="TextBody"/>
        <w:bidi w:val="0"/>
        <w:spacing w:before="0" w:after="0"/>
        <w:ind w:left="0" w:right="0" w:hanging="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p>
      <w:pPr>
        <w:pStyle w:val="TextBody"/>
        <w:bidi w:val="0"/>
        <w:spacing w:before="0" w:after="0"/>
        <w:ind w:left="0" w:right="0" w:hanging="0"/>
        <w:jc w:val="left"/>
        <w:rPr/>
      </w:pPr>
      <w:r>
        <w:rPr/>
        <w:t> </w:t>
      </w:r>
    </w:p>
    <w:tbl>
      <w:tblPr>
        <w:tblW w:w="10134" w:type="dxa"/>
        <w:jc w:val="left"/>
        <w:tblInd w:w="0" w:type="dxa"/>
        <w:tblLayout w:type="fixed"/>
        <w:tblCellMar>
          <w:top w:w="28" w:type="dxa"/>
          <w:left w:w="28" w:type="dxa"/>
          <w:bottom w:w="28" w:type="dxa"/>
          <w:right w:w="28" w:type="dxa"/>
        </w:tblCellMar>
      </w:tblPr>
      <w:tblGrid>
        <w:gridCol w:w="7081"/>
        <w:gridCol w:w="146"/>
        <w:gridCol w:w="211"/>
        <w:gridCol w:w="781"/>
        <w:gridCol w:w="166"/>
        <w:gridCol w:w="146"/>
        <w:gridCol w:w="211"/>
        <w:gridCol w:w="781"/>
        <w:gridCol w:w="611"/>
      </w:tblGrid>
      <w:tr>
        <w:trPr/>
        <w:tc>
          <w:tcPr>
            <w:tcW w:w="7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(29,921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611"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6,660</w:t>
            </w:r>
          </w:p>
        </w:tc>
        <w:tc>
          <w:tcPr>
            <w:tcW w:w="611"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611"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0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81"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Accounts payable, accrued expenses and other liabilities (including</w:t>
              <w:br/>
              <w:t>   related party amounts of $0</w:t>
            </w:r>
            <w:r>
              <w:rPr>
                <w:rFonts w:ascii="Times New Roman" w:hAnsi="Times New Roman"/>
                <w:sz w:val="20"/>
              </w:rPr>
              <w:t> </w:t>
            </w:r>
            <w:r>
              <w:rPr>
                <w:rFonts w:ascii="Times New Roman;serif" w:hAnsi="Times New Roman;serif"/>
                <w:b w:val="false"/>
                <w:sz w:val="20"/>
              </w:rPr>
              <w:t>and $20,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2,102</w:t>
            </w:r>
          </w:p>
        </w:tc>
        <w:tc>
          <w:tcPr>
            <w:tcW w:w="611" w:type="dxa"/>
            <w:tcBorders/>
            <w:vAlign w:val="center"/>
          </w:tcPr>
          <w:p>
            <w:pPr>
              <w:pStyle w:val="TableContents"/>
              <w:bidi w:val="0"/>
              <w:spacing w:before="0" w:after="0"/>
              <w:ind w:left="0" w:right="0" w:firstLine="400"/>
              <w:jc w:val="left"/>
              <w:rPr/>
            </w:pPr>
            <w:r>
              <w:rPr/>
              <w:t> </w:t>
            </w:r>
          </w:p>
        </w:tc>
      </w:tr>
      <w:tr>
        <w:trPr/>
        <w:tc>
          <w:tcPr>
            <w:tcW w:w="70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Right-of-use assets and lease liabilities,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6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issuances of common stock under benefit plans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decrease for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(26,318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302,425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276,107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Reconciliation of cash, cash equivalents and restricted cash to the </w:t>
              <w:br/>
              <w:t>   balance sheet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275,107</w:t>
            </w:r>
          </w:p>
        </w:tc>
        <w:tc>
          <w:tcPr>
            <w:tcW w:w="611"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276,107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 obtained in exchange for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611"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0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Purchases of equipment included in 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611" w:type="dxa"/>
            <w:tcBorders/>
            <w:vAlign w:val="center"/>
          </w:tcPr>
          <w:p>
            <w:pPr>
              <w:pStyle w:val="TableContents"/>
              <w:bidi w:val="0"/>
              <w:spacing w:before="0" w:after="0"/>
              <w:ind w:left="0" w:right="0" w:firstLine="400"/>
              <w:jc w:val="left"/>
              <w:rPr/>
            </w:pPr>
            <w:r>
              <w:rPr/>
              <w:t> </w:t>
            </w:r>
          </w:p>
        </w:tc>
      </w:tr>
      <w:tr>
        <w:trPr/>
        <w:tc>
          <w:tcPr>
            <w:tcW w:w="70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Vesting of options early exercised subject to repurchase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611" w:type="dxa"/>
            <w:tcBorders/>
            <w:vAlign w:val="center"/>
          </w:tcPr>
          <w:p>
            <w:pPr>
              <w:pStyle w:val="TableContents"/>
              <w:bidi w:val="0"/>
              <w:spacing w:before="0" w:after="0"/>
              <w:ind w:left="0" w:right="0" w:firstLine="400"/>
              <w:jc w:val="left"/>
              <w:rPr/>
            </w:pPr>
            <w:r>
              <w:rPr/>
              <w:t> </w:t>
            </w:r>
          </w:p>
        </w:tc>
      </w:tr>
      <w:tr>
        <w:trPr/>
        <w:tc>
          <w:tcPr>
            <w:tcW w:w="70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Receivable from exercise of stock options included in prepaid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See accompanying notes to unaudited condensed financial statements.</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Tyra Biosciences, Inc.</w:t>
      </w:r>
    </w:p>
    <w:p>
      <w:pPr>
        <w:pStyle w:val="TextBody"/>
        <w:bidi w:val="0"/>
        <w:spacing w:before="0" w:after="0"/>
        <w:ind w:left="0" w:right="0" w:hanging="0"/>
        <w:jc w:val="center"/>
        <w:rPr>
          <w:rFonts w:ascii="Times New Roman;serif" w:hAnsi="Times New Roman;serif"/>
          <w:b/>
          <w:sz w:val="20"/>
        </w:rPr>
      </w:pPr>
      <w:bookmarkStart w:id="7" w:name="notes_consolidated_financial_statements"/>
      <w:bookmarkEnd w:id="7"/>
      <w:r>
        <w:rPr>
          <w:rFonts w:ascii="Times New Roman;serif" w:hAnsi="Times New Roman;serif"/>
          <w:b/>
          <w:sz w:val="20"/>
        </w:rPr>
        <w:t>Notes to the Condensed Financial Statements</w:t>
      </w:r>
    </w:p>
    <w:p>
      <w:pPr>
        <w:pStyle w:val="TextBody"/>
        <w:bidi w:val="0"/>
        <w:spacing w:before="0" w:after="0"/>
        <w:ind w:left="0" w:right="0" w:hanging="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1. Organization and Basis of Presentation</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Organization</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accelerated small molecule drug discovery engine to develop therapies in targeted oncology and genetically defined conditions.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and six months ended June 30, 2023 and 2022 are not necessarily indicative of the results expected for the full fiscal year or any subsequent interim period. The condensed balance sheet at June 30, 2023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2022.</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During the three and six months ended June 30, 2023, there have been no changes to the Company's significant accounting policies as described in the Company’s Annual Report on Form 10-K for the year ended December 31, 2022.</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Restricted Cash</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Restricted cash is comprised of cash that is restricted as to its withdrawal or use under the terms of certain contractual agreements. Restricted cash as of both June 30, 2023 and December 31, 2022 was $1.0</w:t>
      </w:r>
      <w:r>
        <w:rPr>
          <w:rFonts w:ascii="Times New Roman" w:hAnsi="Times New Roman"/>
          <w:sz w:val="20"/>
        </w:rPr>
        <w:t xml:space="preserve"> </w:t>
      </w:r>
      <w:r>
        <w:rPr>
          <w:rFonts w:ascii="Times New Roman;serif" w:hAnsi="Times New Roman;serif"/>
          <w:b w:val="false"/>
          <w:sz w:val="20"/>
        </w:rPr>
        <w:t>million, which consisted of collateral for letters of credit related to the Company’s operating leases which are considered a non-current asset on the condensed balance sheets.</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Commitments and Contingencies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Related Parties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Transactions between related parties are considered to be related party transactions even though they may not be given accounting recognition. FASB ASC 850, Related Party Disclosures (FASB ASC 850) requires that transactions with related parties that would make a difference in decision making shall be disclosed so that users of the financial statements can evaluate their significance. Related party transactions typically occur within the context of the following relationships:</w:t>
      </w:r>
      <w:r>
        <w:rPr>
          <w:rFonts w:ascii="Times New Roman" w:hAnsi="Times New Roman"/>
          <w:sz w:val="20"/>
        </w:rPr>
        <w:t xml:space="preserv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Affiliates of the entity;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Entities for which investments in their equity securities is typically accounted for under the equity method by the investing entity;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Trusts for the benefit of employees;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Principal owners of the entity and members of their immediate families;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Management of the entity and members of their immediate families; or</w:t>
      </w:r>
    </w:p>
    <w:p>
      <w:pPr>
        <w:pStyle w:val="TextBody"/>
        <w:bidi w:val="0"/>
        <w:spacing w:before="240" w:after="0"/>
        <w:ind w:left="720" w:right="0" w:hanging="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Other parties that can significantly influence the management or operating policies of the transacting parties and can significantly influence the other to an extent that one or more of the transacting parties might be prevented from fully pursuing its own separate interests.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On October 28, 2022, Ms. van den Boom informed the Company of her intent to resign as the Chief Financial Officer, effective December 31, 2022.</w:t>
      </w:r>
      <w:r>
        <w:rPr>
          <w:rFonts w:ascii="Times New Roman" w:hAnsi="Times New Roman"/>
          <w:sz w:val="20"/>
        </w:rPr>
        <w:t xml:space="preserve"> </w:t>
      </w:r>
      <w:r>
        <w:rPr>
          <w:rFonts w:ascii="Times New Roman;serif" w:hAnsi="Times New Roman;serif"/>
          <w:b w:val="false"/>
          <w:sz w:val="20"/>
        </w:rPr>
        <w:t>Effective January 1, 2023, van den Boom &amp; Associates is no longer considered a related party.</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Recently Issued Accounting Pronouncements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 xml:space="preserve">In June 2016, the FASB issued ASU 2016-13, </w:t>
      </w:r>
      <w:r>
        <w:rPr>
          <w:rFonts w:ascii="Times New Roman;serif" w:hAnsi="Times New Roman;serif"/>
          <w:b w:val="false"/>
          <w:i/>
          <w:sz w:val="20"/>
        </w:rPr>
        <w:t>Financial Instruments-Credit Losses (Topic 326): Measurement of Credit Losses on Financial Instruments</w:t>
      </w:r>
      <w:r>
        <w:rPr>
          <w:rFonts w:ascii="Times New Roman" w:hAnsi="Times New Roman"/>
          <w:sz w:val="20"/>
        </w:rPr>
        <w:t xml:space="preserve"> </w:t>
      </w:r>
      <w:r>
        <w:rPr>
          <w:rFonts w:ascii="Times New Roman;serif" w:hAnsi="Times New Roman;serif"/>
          <w:b w:val="false"/>
          <w:sz w:val="20"/>
        </w:rPr>
        <w:t>("ASU 2016-13"). ASU 2016-13 changes the impairment model for most financial assets and certain other instruments. Under the new guidance, credit losses for certain types of financial instruments will be estimated based on expected losses. The new guidance also modifies the impairment models for available-for-sale debt securities and for purchased financial assets with credit deterioration since their origination. In November 2019, the FASB issued ASU No. 2019-10, which changed the effective date of ASU 2016-13 for smaller reporting companies to fiscal years beginning after December 15, 2022, including interim periods. This update was effective for the Company beginning January 1, 2023. The adoption of this new standard did not have a material impact on the Company's financial statements.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There were no other significant updates not already disclosed in the Company’s audited financial statements for the years ended December 31, 2022 and 2021 to the recently issued accounting standards for the three and six months ended June 30, 2023. Although there were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3. Fair Value Measurements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Times New Roman" w:hAnsi="Times New Roman"/>
          <w:sz w:val="20"/>
        </w:rPr>
        <w:t xml:space="preserve"> </w:t>
      </w:r>
    </w:p>
    <w:p>
      <w:pPr>
        <w:pStyle w:val="TextBody"/>
        <w:bidi w:val="0"/>
        <w:spacing w:before="240" w:after="0"/>
        <w:ind w:left="720" w:right="0" w:hanging="0"/>
        <w:jc w:val="left"/>
        <w:rPr>
          <w:rFonts w:ascii="Times New Roman" w:hAnsi="Times New Roman"/>
          <w:sz w:val="20"/>
        </w:rPr>
      </w:pPr>
      <w:r>
        <w:rPr>
          <w:rFonts w:ascii="Times New Roman;serif" w:hAnsi="Times New Roman;serif"/>
          <w:b/>
          <w:sz w:val="20"/>
        </w:rPr>
        <w:t>Level 1</w:t>
      </w:r>
      <w:r>
        <w:rPr>
          <w:rFonts w:ascii="Times New Roman" w:hAnsi="Times New Roman"/>
          <w:sz w:val="20"/>
        </w:rPr>
        <w:t>—</w:t>
      </w:r>
      <w:r>
        <w:rPr>
          <w:rFonts w:ascii="Times New Roman;serif" w:hAnsi="Times New Roman;serif"/>
          <w:b w:val="false"/>
          <w:sz w:val="20"/>
        </w:rPr>
        <w:t>Unadjusted quoted prices in active markets that are accessible at the measurement date for identical, unrestricted assets or liabilities;</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720" w:right="0" w:hanging="0"/>
        <w:jc w:val="left"/>
        <w:rPr>
          <w:rFonts w:ascii="Times New Roman" w:hAnsi="Times New Roman"/>
          <w:sz w:val="20"/>
        </w:rPr>
      </w:pPr>
      <w:r>
        <w:rPr>
          <w:rFonts w:ascii="Times New Roman;serif" w:hAnsi="Times New Roman;serif"/>
          <w:b/>
          <w:sz w:val="20"/>
        </w:rPr>
        <w:t>Level 2</w:t>
      </w:r>
      <w:r>
        <w:rPr>
          <w:rFonts w:ascii="Times New Roman" w:hAnsi="Times New Roman"/>
          <w:sz w:val="20"/>
        </w:rPr>
        <w:t>—</w:t>
      </w:r>
      <w:r>
        <w:rPr>
          <w:rFonts w:ascii="Times New Roman;serif" w:hAnsi="Times New Roman;serif"/>
          <w:b w:val="false"/>
          <w:sz w:val="20"/>
        </w:rPr>
        <w:t>Quoted prices for similar assets and liabilities in active markets, quoted prices in markets that are not active, or inputs which are observable, either directly or indirectly, for substantially the full term of the asset or liability; and</w:t>
      </w:r>
      <w:r>
        <w:rPr>
          <w:rFonts w:ascii="Times New Roman" w:hAnsi="Times New Roman"/>
          <w:sz w:val="20"/>
        </w:rPr>
        <w:t xml:space="preserve"> </w:t>
      </w:r>
    </w:p>
    <w:p>
      <w:pPr>
        <w:pStyle w:val="TextBody"/>
        <w:bidi w:val="0"/>
        <w:spacing w:before="240" w:after="0"/>
        <w:ind w:left="720" w:right="0" w:hanging="0"/>
        <w:jc w:val="left"/>
        <w:rPr>
          <w:rFonts w:ascii="Times New Roman" w:hAnsi="Times New Roman"/>
          <w:sz w:val="20"/>
        </w:rPr>
      </w:pPr>
      <w:r>
        <w:rPr>
          <w:rFonts w:ascii="Times New Roman;serif" w:hAnsi="Times New Roman;serif"/>
          <w:b/>
          <w:sz w:val="20"/>
        </w:rPr>
        <w:t>Level 3</w:t>
      </w:r>
      <w:r>
        <w:rPr>
          <w:rFonts w:ascii="Times New Roman" w:hAnsi="Times New Roman"/>
          <w:sz w:val="20"/>
        </w:rPr>
        <w:t>—</w:t>
      </w:r>
      <w:r>
        <w:rPr>
          <w:rFonts w:ascii="Times New Roman;serif" w:hAnsi="Times New Roman;serif"/>
          <w:b w:val="false"/>
          <w:sz w:val="20"/>
        </w:rPr>
        <w:t>Prices or valuation techniques that require inputs that are both significant to the fair value measurement and unobservable (i.e. supported by little or no market activity).</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 carrying amounts of the Company’s financial instruments, including cash and cash equivalents, prepaid and other current assets, restricted cash, accounts payable, and accrued and other current liabilities, approximate fair value due to their short maturities.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Assets measured at fair value on a recurring basis are as follows (in millions):</w:t>
      </w:r>
    </w:p>
    <w:p>
      <w:pPr>
        <w:pStyle w:val="TextBody"/>
        <w:bidi w:val="0"/>
        <w:spacing w:before="0" w:after="0"/>
        <w:ind w:left="0" w:right="0" w:hanging="0"/>
        <w:jc w:val="center"/>
        <w:rPr/>
      </w:pPr>
      <w:r>
        <w:rPr/>
        <w:t> </w:t>
      </w:r>
    </w:p>
    <w:tbl>
      <w:tblPr>
        <w:tblW w:w="10205" w:type="dxa"/>
        <w:jc w:val="left"/>
        <w:tblInd w:w="0" w:type="dxa"/>
        <w:tblLayout w:type="fixed"/>
        <w:tblCellMar>
          <w:top w:w="28" w:type="dxa"/>
          <w:left w:w="28" w:type="dxa"/>
          <w:bottom w:w="28" w:type="dxa"/>
          <w:right w:w="28" w:type="dxa"/>
        </w:tblCellMar>
      </w:tblPr>
      <w:tblGrid>
        <w:gridCol w:w="1691"/>
        <w:gridCol w:w="146"/>
        <w:gridCol w:w="380"/>
        <w:gridCol w:w="968"/>
        <w:gridCol w:w="146"/>
        <w:gridCol w:w="146"/>
        <w:gridCol w:w="617"/>
        <w:gridCol w:w="1671"/>
        <w:gridCol w:w="146"/>
        <w:gridCol w:w="146"/>
        <w:gridCol w:w="685"/>
        <w:gridCol w:w="1127"/>
        <w:gridCol w:w="146"/>
        <w:gridCol w:w="146"/>
        <w:gridCol w:w="661"/>
        <w:gridCol w:w="1086"/>
        <w:gridCol w:w="297"/>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3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Using</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Quoted Prices in Active Markets for Identical Assets </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Significant Other Observable Inputs </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Significant Unobservable Inputs </w:t>
              <w:br/>
              <w:t>(Level 3)</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134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7" w:type="dxa"/>
            <w:gridSpan w:val="2"/>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center"/>
              <w:rPr/>
            </w:pPr>
            <w:r>
              <w:rPr/>
              <w:t> </w:t>
            </w:r>
          </w:p>
        </w:tc>
      </w:tr>
      <w:tr>
        <w:trPr/>
        <w:tc>
          <w:tcPr>
            <w:tcW w:w="1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left"/>
              <w:rPr/>
            </w:pPr>
            <w:r>
              <w:rPr/>
              <w:t> </w:t>
            </w:r>
          </w:p>
        </w:tc>
      </w:tr>
      <w:tr>
        <w:trPr/>
        <w:tc>
          <w:tcPr>
            <w:tcW w:w="1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6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7" w:type="dxa"/>
            <w:gridSpan w:val="2"/>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r>
      <w:tr>
        <w:trPr/>
        <w:tc>
          <w:tcPr>
            <w:tcW w:w="1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3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Using</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Quoted Prices in Active Markets for Identical Assets </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Significant Other Observable Inputs </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Significant Unobservable Inputs </w:t>
              <w:br/>
              <w:t>(Level 3)</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134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7" w:type="dxa"/>
            <w:gridSpan w:val="2"/>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center"/>
              <w:rPr/>
            </w:pPr>
            <w:r>
              <w:rPr/>
              <w:t> </w:t>
            </w:r>
          </w:p>
        </w:tc>
      </w:tr>
      <w:tr>
        <w:trPr/>
        <w:tc>
          <w:tcPr>
            <w:tcW w:w="1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left"/>
              <w:rPr/>
            </w:pPr>
            <w:r>
              <w:rPr/>
              <w:t> </w:t>
            </w:r>
          </w:p>
        </w:tc>
      </w:tr>
      <w:tr>
        <w:trPr/>
        <w:tc>
          <w:tcPr>
            <w:tcW w:w="1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6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None of the Company’s non-financial assets or liabilities are recorded at fair value on a non-recurring basis.</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4. Property and Equipment</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Property and equipment consisted of the following (in thousands):</w:t>
      </w:r>
    </w:p>
    <w:p>
      <w:pPr>
        <w:pStyle w:val="TextBody"/>
        <w:bidi w:val="0"/>
        <w:spacing w:before="0" w:after="0"/>
        <w:ind w:left="0" w:right="0" w:hanging="0"/>
        <w:jc w:val="left"/>
        <w:rPr/>
      </w:pPr>
      <w:r>
        <w:rPr/>
        <w:t> </w:t>
      </w:r>
    </w:p>
    <w:tbl>
      <w:tblPr>
        <w:tblW w:w="5442" w:type="dxa"/>
        <w:jc w:val="left"/>
        <w:tblInd w:w="0" w:type="dxa"/>
        <w:tblLayout w:type="fixed"/>
        <w:tblCellMar>
          <w:top w:w="28" w:type="dxa"/>
          <w:left w:w="28" w:type="dxa"/>
          <w:bottom w:w="28" w:type="dxa"/>
          <w:right w:w="28" w:type="dxa"/>
        </w:tblCellMar>
      </w:tblPr>
      <w:tblGrid>
        <w:gridCol w:w="2896"/>
        <w:gridCol w:w="146"/>
        <w:gridCol w:w="211"/>
        <w:gridCol w:w="571"/>
        <w:gridCol w:w="166"/>
        <w:gridCol w:w="146"/>
        <w:gridCol w:w="294"/>
        <w:gridCol w:w="80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Computers and software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Company recognized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depreciation expense for the three and six months ended June 30, 2023, respectively, 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depreciation expense for the three and six months ended June 30, 2022, respectively.</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5. Accrued and Other Current Liabilities</w:t>
      </w:r>
      <w:r>
        <w:rPr>
          <w:rFonts w:ascii="Times New Roman" w:hAnsi="Times New Roman"/>
          <w:sz w:val="20"/>
        </w:rPr>
        <w:t xml:space="preserve"> </w:t>
      </w:r>
    </w:p>
    <w:p>
      <w:pPr>
        <w:pStyle w:val="TextBody"/>
        <w:bidi w:val="0"/>
        <w:spacing w:before="240" w:after="240"/>
        <w:ind w:left="0" w:right="0" w:firstLine="720"/>
        <w:jc w:val="left"/>
        <w:rPr>
          <w:rFonts w:ascii="Times New Roman" w:hAnsi="Times New Roman"/>
          <w:sz w:val="20"/>
        </w:rPr>
      </w:pPr>
      <w:r>
        <w:rPr>
          <w:rFonts w:ascii="Times New Roman;serif" w:hAnsi="Times New Roman;serif"/>
          <w:b w:val="false"/>
          <w:sz w:val="20"/>
        </w:rPr>
        <w:t>Accrued and other current liabilities consisted of the following (in thousands):</w:t>
      </w:r>
      <w:r>
        <w:rPr>
          <w:rFonts w:ascii="Times New Roman" w:hAnsi="Times New Roman"/>
          <w:sz w:val="20"/>
        </w:rPr>
        <w:t xml:space="preserve"> </w:t>
      </w:r>
    </w:p>
    <w:tbl>
      <w:tblPr>
        <w:tblW w:w="6332" w:type="dxa"/>
        <w:jc w:val="left"/>
        <w:tblInd w:w="0" w:type="dxa"/>
        <w:tblLayout w:type="fixed"/>
        <w:tblCellMar>
          <w:top w:w="28" w:type="dxa"/>
          <w:left w:w="28" w:type="dxa"/>
          <w:bottom w:w="28" w:type="dxa"/>
          <w:right w:w="28" w:type="dxa"/>
        </w:tblCellMar>
      </w:tblPr>
      <w:tblGrid>
        <w:gridCol w:w="3826"/>
        <w:gridCol w:w="146"/>
        <w:gridCol w:w="211"/>
        <w:gridCol w:w="571"/>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other employee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1,028</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legal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 general and administrative fees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6. Stockholders' Equity</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Common Stock</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Common stock reserved for future issuance consisted of the following:</w:t>
      </w:r>
    </w:p>
    <w:p>
      <w:pPr>
        <w:pStyle w:val="TextBody"/>
        <w:bidi w:val="0"/>
        <w:spacing w:before="0" w:after="0"/>
        <w:ind w:left="0" w:right="0" w:firstLine="720"/>
        <w:jc w:val="left"/>
        <w:rPr/>
      </w:pPr>
      <w:r>
        <w:rPr/>
        <w:t> </w:t>
      </w:r>
    </w:p>
    <w:tbl>
      <w:tblPr>
        <w:tblW w:w="7239" w:type="dxa"/>
        <w:jc w:val="left"/>
        <w:tblInd w:w="0" w:type="dxa"/>
        <w:tblLayout w:type="fixed"/>
        <w:tblCellMar>
          <w:top w:w="28" w:type="dxa"/>
          <w:left w:w="28" w:type="dxa"/>
          <w:bottom w:w="28" w:type="dxa"/>
          <w:right w:w="28" w:type="dxa"/>
        </w:tblCellMar>
      </w:tblPr>
      <w:tblGrid>
        <w:gridCol w:w="4246"/>
        <w:gridCol w:w="146"/>
        <w:gridCol w:w="146"/>
        <w:gridCol w:w="1036"/>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options granted and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5,890,869</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issuance under the 2021</w:t>
              <w:br/>
              <w:t>   Incentive Award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5,993,588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4,339,373</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Shares available for future issuance under the </w:t>
              <w:br/>
              <w:t>   2021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1,153,344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759,442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common stock reserved for future issuance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13,187,579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10,989,684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On October 3, 2022, the Company entered into an ATM Sales Agreement (the Sales Agreement) with Virtu Americas LLC (the Agent), under which the Company may, from time to time, sell shares of its common stock having an aggregate offering price of up to $150.0</w:t>
      </w:r>
      <w:r>
        <w:rPr>
          <w:rFonts w:ascii="Times New Roman" w:hAnsi="Times New Roman"/>
          <w:sz w:val="20"/>
        </w:rPr>
        <w:t xml:space="preserve"> </w:t>
      </w:r>
      <w:r>
        <w:rPr>
          <w:rFonts w:ascii="Times New Roman;serif" w:hAnsi="Times New Roman;serif"/>
          <w:b w:val="false"/>
          <w:sz w:val="20"/>
        </w:rPr>
        <w:t>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June 30, 2023, no</w:t>
      </w:r>
      <w:r>
        <w:rPr>
          <w:rFonts w:ascii="Times New Roman" w:hAnsi="Times New Roman"/>
          <w:sz w:val="20"/>
        </w:rPr>
        <w:t xml:space="preserve"> </w:t>
      </w:r>
      <w:r>
        <w:rPr>
          <w:rFonts w:ascii="Times New Roman;serif" w:hAnsi="Times New Roman;serif"/>
          <w:b w:val="false"/>
          <w:sz w:val="20"/>
        </w:rPr>
        <w:t>shares of common stock were issued and sold pursuant to the Sales Agreement.</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Restricted Stock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Since inception, the Company has issued 2,820,560</w:t>
      </w:r>
      <w:r>
        <w:rPr>
          <w:rFonts w:ascii="Times New Roman" w:hAnsi="Times New Roman"/>
          <w:sz w:val="20"/>
        </w:rPr>
        <w:t xml:space="preserve"> </w:t>
      </w:r>
      <w:r>
        <w:rPr>
          <w:rFonts w:ascii="Times New Roman;serif" w:hAnsi="Times New Roman;serif"/>
          <w:b w:val="false"/>
          <w:sz w:val="20"/>
        </w:rPr>
        <w:t>shares of restricted common stock at a price of $0.0001</w:t>
      </w:r>
      <w:r>
        <w:rPr>
          <w:rFonts w:ascii="Times New Roman" w:hAnsi="Times New Roman"/>
          <w:sz w:val="20"/>
        </w:rPr>
        <w:t xml:space="preserve"> </w:t>
      </w:r>
      <w:r>
        <w:rPr>
          <w:rFonts w:ascii="Times New Roman;serif" w:hAnsi="Times New Roman;serif"/>
          <w:b w:val="false"/>
          <w:sz w:val="20"/>
        </w:rPr>
        <w:t>per share to certain founders of the Company (Founders Stock). The Company maintains a repurchase right whereby the shares of Founders Stock are released from such repurchase right over a period of time of continued service by the recipient. Any shares subject to repurchase by the Company are not deemed to be outstanding, for accounting purposes, until those shares vest. Unvested outstanding Founders Stock as of June 30, 2023 and December 31, 2022 were 2,530</w:t>
      </w:r>
      <w:r>
        <w:rPr>
          <w:rFonts w:ascii="Times New Roman" w:hAnsi="Times New Roman"/>
          <w:sz w:val="20"/>
        </w:rPr>
        <w:t xml:space="preserve"> </w:t>
      </w:r>
      <w:r>
        <w:rPr>
          <w:rFonts w:ascii="Times New Roman;serif" w:hAnsi="Times New Roman;serif"/>
          <w:b w:val="false"/>
          <w:sz w:val="20"/>
        </w:rPr>
        <w:t>and 3,828</w:t>
      </w:r>
      <w:r>
        <w:rPr>
          <w:rFonts w:ascii="Times New Roman" w:hAnsi="Times New Roman"/>
          <w:sz w:val="20"/>
        </w:rPr>
        <w:t xml:space="preserve"> </w:t>
      </w:r>
      <w:r>
        <w:rPr>
          <w:rFonts w:ascii="Times New Roman;serif" w:hAnsi="Times New Roman;serif"/>
          <w:b w:val="false"/>
          <w:sz w:val="20"/>
        </w:rPr>
        <w:t>shares, respectively. The amount recorded as liabilities associated with shares issued with repurchase rights were immaterial as of June 30, 2023 and December 31, 2022.</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For the six months ended June 30, 2023 and 2022, 1,297</w:t>
      </w:r>
      <w:r>
        <w:rPr>
          <w:rFonts w:ascii="Times New Roman" w:hAnsi="Times New Roman"/>
          <w:sz w:val="20"/>
        </w:rPr>
        <w:t xml:space="preserve"> </w:t>
      </w:r>
      <w:r>
        <w:rPr>
          <w:rFonts w:ascii="Times New Roman;serif" w:hAnsi="Times New Roman;serif"/>
          <w:b w:val="false"/>
          <w:sz w:val="20"/>
        </w:rPr>
        <w:t>and 244,940</w:t>
      </w:r>
      <w:r>
        <w:rPr>
          <w:rFonts w:ascii="Times New Roman" w:hAnsi="Times New Roman"/>
          <w:sz w:val="20"/>
        </w:rPr>
        <w:t xml:space="preserve"> </w:t>
      </w:r>
      <w:r>
        <w:rPr>
          <w:rFonts w:ascii="Times New Roman;serif" w:hAnsi="Times New Roman;serif"/>
          <w:b w:val="false"/>
          <w:sz w:val="20"/>
        </w:rPr>
        <w:t>shares vested in each period and the Company recognized $5</w:t>
      </w:r>
      <w:r>
        <w:rPr>
          <w:rFonts w:ascii="Times New Roman" w:hAnsi="Times New Roman"/>
          <w:sz w:val="20"/>
        </w:rPr>
        <w:t xml:space="preserve"> </w:t>
      </w:r>
      <w:r>
        <w:rPr>
          <w:rFonts w:ascii="Times New Roman;serif" w:hAnsi="Times New Roman;serif"/>
          <w:b w:val="false"/>
          <w:sz w:val="20"/>
        </w:rPr>
        <w:t>thousand</w:t>
      </w:r>
      <w:r>
        <w:rPr>
          <w:rFonts w:ascii="Times New Roman" w:hAnsi="Times New Roman"/>
          <w:sz w:val="20"/>
        </w:rPr>
        <w:t xml:space="preserve"> </w:t>
      </w:r>
      <w:r>
        <w:rPr>
          <w:rFonts w:ascii="Times New Roman;serif" w:hAnsi="Times New Roman;serif"/>
          <w:b w:val="false"/>
          <w:sz w:val="20"/>
        </w:rPr>
        <w:t>and $147</w:t>
      </w:r>
      <w:r>
        <w:rPr>
          <w:rFonts w:ascii="Times New Roman" w:hAnsi="Times New Roman"/>
          <w:sz w:val="20"/>
        </w:rPr>
        <w:t xml:space="preserve"> </w:t>
      </w:r>
      <w:r>
        <w:rPr>
          <w:rFonts w:ascii="Times New Roman;serif" w:hAnsi="Times New Roman;serif"/>
          <w:b w:val="false"/>
          <w:sz w:val="20"/>
        </w:rPr>
        <w:t>thousand</w:t>
      </w:r>
      <w:r>
        <w:rPr>
          <w:rFonts w:ascii="Times New Roman" w:hAnsi="Times New Roman"/>
          <w:sz w:val="20"/>
        </w:rPr>
        <w:t xml:space="preserve"> </w:t>
      </w:r>
      <w:r>
        <w:rPr>
          <w:rFonts w:ascii="Times New Roman;serif" w:hAnsi="Times New Roman;serif"/>
          <w:b w:val="false"/>
          <w:sz w:val="20"/>
        </w:rPr>
        <w:t>of stock-based compensation expense for each period related to the Founders Stock, respectively. As of June 30, 2023, the total unrecognized compensation expense related to unvested Founders Stock was immaterial.</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7. Equity Incentive Plans and Stock-Based Compensation</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Equity Incentive Plans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In September 2021, the Company's Board of Directors adopted, and its stockholders approved, the 2021 Incentive Award Plan (the 2021 Plan). Upon the adoption of the 2021 Plan, the Company restricted the grant of future equity awards under the 2020 Equity Incentive Plan (the 2020 Plan).</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2021 Plan provides for the grants of stock options and other equity-based awards to employees, non-employee directors, and consultants of the Company. A total of 5,570,000</w:t>
      </w:r>
      <w:r>
        <w:rPr>
          <w:rFonts w:ascii="Times New Roman" w:hAnsi="Times New Roman"/>
          <w:sz w:val="20"/>
        </w:rPr>
        <w:t xml:space="preserve"> </w:t>
      </w:r>
      <w:r>
        <w:rPr>
          <w:rFonts w:ascii="Times New Roman;serif" w:hAnsi="Times New Roman;serif"/>
          <w:b w:val="false"/>
          <w:sz w:val="20"/>
        </w:rPr>
        <w:t>shares of the Company’s common stock were initially reserved for issuance pursuant to the 2021 Plan, consisting of 4,537,850</w:t>
      </w:r>
      <w:r>
        <w:rPr>
          <w:rFonts w:ascii="Times New Roman" w:hAnsi="Times New Roman"/>
          <w:sz w:val="20"/>
        </w:rPr>
        <w:t xml:space="preserve"> </w:t>
      </w:r>
      <w:r>
        <w:rPr>
          <w:rFonts w:ascii="Times New Roman;serif" w:hAnsi="Times New Roman;serif"/>
          <w:b w:val="false"/>
          <w:sz w:val="20"/>
        </w:rPr>
        <w:t>shares reserved under the 2021 Plan and 1,032,150</w:t>
      </w:r>
      <w:r>
        <w:rPr>
          <w:rFonts w:ascii="Times New Roman" w:hAnsi="Times New Roman"/>
          <w:sz w:val="20"/>
        </w:rPr>
        <w:t xml:space="preserve"> </w:t>
      </w:r>
      <w:r>
        <w:rPr>
          <w:rFonts w:ascii="Times New Roman;serif" w:hAnsi="Times New Roman;serif"/>
          <w:b w:val="false"/>
          <w:sz w:val="20"/>
        </w:rPr>
        <w:t>shares of the Company’s common stock that remained available for issuance under the 2020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As of June 30, 2023, 5,993,588</w:t>
      </w:r>
      <w:r>
        <w:rPr>
          <w:rFonts w:ascii="Times New Roman" w:hAnsi="Times New Roman"/>
          <w:sz w:val="20"/>
        </w:rPr>
        <w:t xml:space="preserve"> </w:t>
      </w:r>
      <w:r>
        <w:rPr>
          <w:rFonts w:ascii="Times New Roman;serif" w:hAnsi="Times New Roman;serif"/>
          <w:b w:val="false"/>
          <w:sz w:val="20"/>
        </w:rPr>
        <w:t>shares were available for future grant under the 2021 Plan.</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A summary of the Company’s stock option activity for the period ended June 30, 2023 is as follows (in thousands, expect share and per share data and years):</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801"/>
        <w:gridCol w:w="146"/>
        <w:gridCol w:w="146"/>
        <w:gridCol w:w="931"/>
        <w:gridCol w:w="166"/>
        <w:gridCol w:w="146"/>
        <w:gridCol w:w="396"/>
        <w:gridCol w:w="1075"/>
        <w:gridCol w:w="146"/>
        <w:gridCol w:w="146"/>
        <w:gridCol w:w="423"/>
        <w:gridCol w:w="1048"/>
        <w:gridCol w:w="146"/>
        <w:gridCol w:w="146"/>
        <w:gridCol w:w="273"/>
        <w:gridCol w:w="877"/>
        <w:gridCol w:w="193"/>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br/>
              <w:t>Exercise</w:t>
              <w:br/>
              <w:t>Price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br/>
              <w:t>Remaining</w:t>
              <w:br/>
              <w:t>Contractual Term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 Value</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5,890,869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3"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13,492</w:t>
            </w:r>
          </w:p>
        </w:tc>
        <w:tc>
          <w:tcPr>
            <w:tcW w:w="193" w:type="dxa"/>
            <w:tcBorders/>
            <w:vAlign w:val="center"/>
          </w:tcPr>
          <w:p>
            <w:pPr>
              <w:pStyle w:val="TableContents"/>
              <w:bidi w:val="0"/>
              <w:spacing w:before="0" w:after="0"/>
              <w:ind w:left="0" w:right="0" w:hanging="0"/>
              <w:jc w:val="left"/>
              <w:rPr/>
            </w:pPr>
            <w:r>
              <w:rPr/>
              <w:t> </w:t>
            </w:r>
          </w:p>
        </w:tc>
      </w:tr>
      <w:tr>
        <w:trPr/>
        <w:tc>
          <w:tcPr>
            <w:tcW w:w="3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776,948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3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(327,729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3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(299,441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3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6,040,647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3"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57,335</w:t>
            </w:r>
          </w:p>
        </w:tc>
        <w:tc>
          <w:tcPr>
            <w:tcW w:w="193" w:type="dxa"/>
            <w:tcBorders/>
            <w:vAlign w:val="center"/>
          </w:tcPr>
          <w:p>
            <w:pPr>
              <w:pStyle w:val="TableContents"/>
              <w:bidi w:val="0"/>
              <w:spacing w:before="0" w:after="0"/>
              <w:ind w:left="0" w:right="0" w:hanging="0"/>
              <w:jc w:val="left"/>
              <w:rPr/>
            </w:pPr>
            <w:r>
              <w:rPr/>
              <w:t> </w:t>
            </w:r>
          </w:p>
        </w:tc>
      </w:tr>
      <w:tr>
        <w:trPr/>
        <w:tc>
          <w:tcPr>
            <w:tcW w:w="3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2,205,555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3"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23,158</w:t>
            </w:r>
          </w:p>
        </w:tc>
        <w:tc>
          <w:tcPr>
            <w:tcW w:w="193" w:type="dxa"/>
            <w:tcBorders/>
            <w:vAlign w:val="center"/>
          </w:tcPr>
          <w:p>
            <w:pPr>
              <w:pStyle w:val="TableContents"/>
              <w:bidi w:val="0"/>
              <w:spacing w:before="0" w:after="0"/>
              <w:ind w:left="0" w:right="0" w:hanging="0"/>
              <w:jc w:val="left"/>
              <w:rPr/>
            </w:pPr>
            <w:r>
              <w:rPr/>
              <w:t> </w:t>
            </w:r>
          </w:p>
        </w:tc>
      </w:tr>
      <w:tr>
        <w:trPr/>
        <w:tc>
          <w:tcPr>
            <w:tcW w:w="3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6,040,647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3"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57,335</w:t>
            </w:r>
          </w:p>
        </w:tc>
        <w:tc>
          <w:tcPr>
            <w:tcW w:w="193" w:type="dxa"/>
            <w:tcBorders/>
            <w:vAlign w:val="center"/>
          </w:tcPr>
          <w:p>
            <w:pPr>
              <w:pStyle w:val="TableContents"/>
              <w:bidi w:val="0"/>
              <w:spacing w:before="0" w:after="0"/>
              <w:ind w:left="0" w:right="0" w:hanging="0"/>
              <w:jc w:val="left"/>
              <w:rPr/>
            </w:pPr>
            <w:r>
              <w:rPr/>
              <w:t> </w:t>
            </w:r>
          </w:p>
        </w:tc>
      </w:tr>
    </w:tbl>
    <w:p>
      <w:pPr>
        <w:pStyle w:val="TextBody"/>
        <w:bidi w:val="0"/>
        <w:spacing w:before="240" w:after="0"/>
        <w:ind w:left="0" w:right="0" w:hanging="0"/>
        <w:jc w:val="left"/>
        <w:rPr>
          <w:rFonts w:ascii="Times New Roman" w:hAnsi="Times New Roman"/>
          <w:sz w:val="20"/>
        </w:rPr>
      </w:pPr>
      <w:r>
        <w:rPr>
          <w:rFonts w:ascii="Times New Roman;serif" w:hAnsi="Times New Roman;serif"/>
          <w:b w:val="false"/>
          <w:sz w:val="20"/>
        </w:rPr>
        <w:t>As of June 30, 2023, 134,148</w:t>
      </w:r>
      <w:r>
        <w:rPr>
          <w:rFonts w:ascii="Times New Roman" w:hAnsi="Times New Roman"/>
          <w:sz w:val="20"/>
        </w:rPr>
        <w:t xml:space="preserve"> </w:t>
      </w:r>
      <w:r>
        <w:rPr>
          <w:rFonts w:ascii="Times New Roman;serif" w:hAnsi="Times New Roman;serif"/>
          <w:b w:val="false"/>
          <w:sz w:val="20"/>
        </w:rPr>
        <w:t>performance-based stock options were both outstanding and unvested. During the three and six months ended June 30, 2023, the Company recognized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expense related to these options as the achievement of certain performance conditions was deemed probable to occur. As of June 30, 2023, the unrecognized stock-based compensation expense related to the performance-based options was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Stock-Based Compensation Expense</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 xml:space="preserve">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 (excluding option modifications): </w:t>
      </w:r>
    </w:p>
    <w:p>
      <w:pPr>
        <w:pStyle w:val="TextBody"/>
        <w:bidi w:val="0"/>
        <w:spacing w:before="0" w:after="0"/>
        <w:ind w:left="0" w:right="0" w:firstLine="720"/>
        <w:jc w:val="left"/>
        <w:rPr/>
      </w:pPr>
      <w:r>
        <w:rPr/>
        <w:t> </w:t>
      </w:r>
    </w:p>
    <w:tbl>
      <w:tblPr>
        <w:tblW w:w="5391" w:type="dxa"/>
        <w:jc w:val="left"/>
        <w:tblInd w:w="0" w:type="dxa"/>
        <w:tblLayout w:type="fixed"/>
        <w:tblCellMar>
          <w:top w:w="28" w:type="dxa"/>
          <w:left w:w="28" w:type="dxa"/>
          <w:bottom w:w="28" w:type="dxa"/>
          <w:right w:w="28" w:type="dxa"/>
        </w:tblCellMar>
      </w:tblPr>
      <w:tblGrid>
        <w:gridCol w:w="2626"/>
        <w:gridCol w:w="146"/>
        <w:gridCol w:w="1141"/>
        <w:gridCol w:w="146"/>
        <w:gridCol w:w="11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 Options:</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rate of interest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3.5</w:t>
            </w:r>
            <w:r>
              <w:rPr>
                <w:rFonts w:ascii="Times New Roman" w:hAnsi="Times New Roman"/>
                <w:sz w:val="20"/>
              </w:rPr>
              <w:t> </w:t>
            </w:r>
            <w:r>
              <w:rPr>
                <w:rFonts w:ascii="Times New Roman;serif" w:hAnsi="Times New Roman;serif"/>
                <w:b w:val="false"/>
                <w:sz w:val="20"/>
              </w:rPr>
              <w:t>- 4.2%</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1.6</w:t>
            </w:r>
            <w:r>
              <w:rPr>
                <w:rFonts w:ascii="Times New Roman" w:hAnsi="Times New Roman"/>
                <w:sz w:val="20"/>
              </w:rPr>
              <w:t> </w:t>
            </w:r>
            <w:r>
              <w:rPr>
                <w:rFonts w:ascii="Times New Roman;serif" w:hAnsi="Times New Roman;serif"/>
                <w:b w:val="false"/>
                <w:sz w:val="20"/>
              </w:rPr>
              <w:t>- 3.6%</w:t>
            </w:r>
          </w:p>
        </w:tc>
        <w:tc>
          <w:tcPr>
            <w:tcW w:w="191"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5.2 - 6.1</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5.1</w:t>
            </w:r>
            <w:r>
              <w:rPr>
                <w:rFonts w:ascii="Times New Roman" w:hAnsi="Times New Roman"/>
                <w:sz w:val="20"/>
              </w:rPr>
              <w:t> </w:t>
            </w:r>
            <w:r>
              <w:rPr>
                <w:rFonts w:ascii="Times New Roman;serif" w:hAnsi="Times New Roman;serif"/>
                <w:b w:val="false"/>
                <w:sz w:val="20"/>
              </w:rPr>
              <w:t>- 6.1</w:t>
            </w:r>
          </w:p>
        </w:tc>
        <w:tc>
          <w:tcPr>
            <w:tcW w:w="191"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88.6</w:t>
            </w:r>
            <w:r>
              <w:rPr>
                <w:rFonts w:ascii="Times New Roman" w:hAnsi="Times New Roman"/>
                <w:sz w:val="20"/>
              </w:rPr>
              <w:t> </w:t>
            </w:r>
            <w:r>
              <w:rPr>
                <w:rFonts w:ascii="Times New Roman;serif" w:hAnsi="Times New Roman;serif"/>
                <w:b w:val="false"/>
                <w:sz w:val="20"/>
              </w:rPr>
              <w:t>- 89.7%</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86.4</w:t>
            </w:r>
            <w:r>
              <w:rPr>
                <w:rFonts w:ascii="Times New Roman" w:hAnsi="Times New Roman"/>
                <w:sz w:val="20"/>
              </w:rPr>
              <w:t> </w:t>
            </w:r>
            <w:r>
              <w:rPr>
                <w:rFonts w:ascii="Times New Roman;serif" w:hAnsi="Times New Roman;serif"/>
                <w:b w:val="false"/>
                <w:sz w:val="20"/>
              </w:rPr>
              <w:t>- 90.4%</w:t>
            </w:r>
          </w:p>
        </w:tc>
        <w:tc>
          <w:tcPr>
            <w:tcW w:w="191"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bl>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Stock-based compensation expense recognized for all equity awards has been reported in the condensed statements of operations and comprehensive loss as follows (in thousands):</w:t>
      </w:r>
    </w:p>
    <w:p>
      <w:pPr>
        <w:pStyle w:val="TextBody"/>
        <w:bidi w:val="0"/>
        <w:spacing w:before="0" w:after="0"/>
        <w:ind w:left="0" w:right="0" w:firstLine="720"/>
        <w:jc w:val="left"/>
        <w:rPr/>
      </w:pPr>
      <w:r>
        <w:rPr/>
        <w:t> </w:t>
      </w:r>
    </w:p>
    <w:tbl>
      <w:tblPr>
        <w:tblW w:w="7357" w:type="dxa"/>
        <w:jc w:val="left"/>
        <w:tblInd w:w="0" w:type="dxa"/>
        <w:tblLayout w:type="fixed"/>
        <w:tblCellMar>
          <w:top w:w="28" w:type="dxa"/>
          <w:left w:w="28" w:type="dxa"/>
          <w:bottom w:w="28" w:type="dxa"/>
          <w:right w:w="28" w:type="dxa"/>
        </w:tblCellMar>
      </w:tblPr>
      <w:tblGrid>
        <w:gridCol w:w="3016"/>
        <w:gridCol w:w="146"/>
        <w:gridCol w:w="211"/>
        <w:gridCol w:w="571"/>
        <w:gridCol w:w="146"/>
        <w:gridCol w:w="146"/>
        <w:gridCol w:w="211"/>
        <w:gridCol w:w="571"/>
        <w:gridCol w:w="146"/>
        <w:gridCol w:w="146"/>
        <w:gridCol w:w="211"/>
        <w:gridCol w:w="571"/>
        <w:gridCol w:w="146"/>
        <w:gridCol w:w="146"/>
        <w:gridCol w:w="211"/>
        <w:gridCol w:w="57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3,080</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The weighted-average grant date fair value of options granted for the six months ended June 30, 2023 and 2022 was $7.65</w:t>
      </w:r>
      <w:r>
        <w:rPr>
          <w:rFonts w:ascii="Times New Roman" w:hAnsi="Times New Roman"/>
          <w:sz w:val="20"/>
        </w:rPr>
        <w:t xml:space="preserve"> </w:t>
      </w:r>
      <w:r>
        <w:rPr>
          <w:rFonts w:ascii="Times New Roman;serif" w:hAnsi="Times New Roman;serif"/>
          <w:b w:val="false"/>
          <w:sz w:val="20"/>
        </w:rPr>
        <w:t>and $6.40</w:t>
      </w:r>
      <w:r>
        <w:rPr>
          <w:rFonts w:ascii="Times New Roman" w:hAnsi="Times New Roman"/>
          <w:sz w:val="20"/>
        </w:rPr>
        <w:t xml:space="preserve"> </w:t>
      </w:r>
      <w:r>
        <w:rPr>
          <w:rFonts w:ascii="Times New Roman;serif" w:hAnsi="Times New Roman;serif"/>
          <w:b w:val="false"/>
          <w:sz w:val="20"/>
        </w:rPr>
        <w:t>per share, respectively.</w:t>
      </w:r>
      <w:r>
        <w:rPr>
          <w:rFonts w:ascii="Times New Roman" w:hAnsi="Times New Roman"/>
          <w:sz w:val="20"/>
        </w:rPr>
        <w:t xml:space="preserve">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Forfeitures resulting in the reversal of compensation expense were immaterial for the six months ended June 30, 2023 and 2022.</w:t>
      </w:r>
      <w:r>
        <w:rPr>
          <w:rFonts w:ascii="Times New Roman" w:hAnsi="Times New Roman"/>
          <w:sz w:val="20"/>
        </w:rPr>
        <w:t xml:space="preserv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As of June 30, 2023, the unrecognized compensation cost related to outstanding employee and nonemployee options was $24.1</w:t>
      </w:r>
      <w:r>
        <w:rPr>
          <w:rFonts w:ascii="Times New Roman" w:hAnsi="Times New Roman"/>
          <w:sz w:val="20"/>
        </w:rPr>
        <w:t xml:space="preserve"> </w:t>
      </w:r>
      <w:r>
        <w:rPr>
          <w:rFonts w:ascii="Times New Roman;serif" w:hAnsi="Times New Roman;serif"/>
          <w:b w:val="false"/>
          <w:sz w:val="20"/>
        </w:rPr>
        <w:t>million, and is expected to be recognized as expense over a weighted-average period of approximately 2.1</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In September 2021, the Company’s Board of Directors and stockholders approved and adopted the 2021 Employee Stock Purchase Plan (ESPP). The ESPP became effective on the business day immediately prior to the effective date of the Company’s first registration statement. A total of 380,000</w:t>
      </w:r>
      <w:r>
        <w:rPr>
          <w:rFonts w:ascii="Times New Roman" w:hAnsi="Times New Roman"/>
          <w:sz w:val="20"/>
        </w:rPr>
        <w:t xml:space="preserve"> </w:t>
      </w:r>
      <w:r>
        <w:rPr>
          <w:rFonts w:ascii="Times New Roman;serif" w:hAnsi="Times New Roman;serif"/>
          <w:b w:val="false"/>
          <w:sz w:val="20"/>
        </w:rPr>
        <w:t>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 (2) such smaller amount as determined by the Company’s Board of Directors. On January 1, 2022, the number of shares reserved for issuance under the ESPP was increased to 805,361</w:t>
      </w:r>
      <w:r>
        <w:rPr>
          <w:rFonts w:ascii="Times New Roman" w:hAnsi="Times New Roman"/>
          <w:sz w:val="20"/>
        </w:rPr>
        <w:t xml:space="preserve"> </w:t>
      </w:r>
      <w:r>
        <w:rPr>
          <w:rFonts w:ascii="Times New Roman;serif" w:hAnsi="Times New Roman;serif"/>
          <w:b w:val="false"/>
          <w:sz w:val="20"/>
        </w:rPr>
        <w:t>shares and on January 1, 2023, the number of shares reserved for issuance under the ESPP was increased to 1,231,705</w:t>
      </w:r>
      <w:r>
        <w:rPr>
          <w:rFonts w:ascii="Times New Roman" w:hAnsi="Times New Roman"/>
          <w:sz w:val="20"/>
        </w:rPr>
        <w:t xml:space="preserve"> </w:t>
      </w:r>
      <w:r>
        <w:rPr>
          <w:rFonts w:ascii="Times New Roman;serif" w:hAnsi="Times New Roman;serif"/>
          <w:b w:val="false"/>
          <w:sz w:val="20"/>
        </w:rPr>
        <w:t>shares.</w:t>
      </w:r>
      <w:r>
        <w:rPr>
          <w:rFonts w:ascii="Times New Roman" w:hAnsi="Times New Roman"/>
          <w:sz w:val="20"/>
        </w:rPr>
        <w:t xml:space="preserv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24 months, with new offering periods commencing every six months on or about the dates of March 15 and September 15 of each year.</w:t>
      </w:r>
      <w:r>
        <w:rPr>
          <w:rFonts w:ascii="Times New Roman" w:hAnsi="Times New Roman"/>
          <w:sz w:val="20"/>
        </w:rPr>
        <w:t xml:space="preserve"> </w:t>
      </w:r>
      <w:r>
        <w:rPr>
          <w:rFonts w:ascii="Times New Roman;serif" w:hAnsi="Times New Roman;serif"/>
          <w:b w:val="false"/>
          <w:sz w:val="20"/>
        </w:rPr>
        <w:t>During the six months ended June 30, 2023 and 2022, the Company issued 32,442</w:t>
      </w:r>
      <w:r>
        <w:rPr>
          <w:rFonts w:ascii="Times New Roman" w:hAnsi="Times New Roman"/>
          <w:sz w:val="20"/>
        </w:rPr>
        <w:t xml:space="preserve"> </w:t>
      </w:r>
      <w:r>
        <w:rPr>
          <w:rFonts w:ascii="Times New Roman;serif" w:hAnsi="Times New Roman;serif"/>
          <w:b w:val="false"/>
          <w:sz w:val="20"/>
        </w:rPr>
        <w:t>and 27,518</w:t>
      </w:r>
      <w:r>
        <w:rPr>
          <w:rFonts w:ascii="Times New Roman" w:hAnsi="Times New Roman"/>
          <w:sz w:val="20"/>
        </w:rPr>
        <w:t xml:space="preserve"> </w:t>
      </w:r>
      <w:r>
        <w:rPr>
          <w:rFonts w:ascii="Times New Roman;serif" w:hAnsi="Times New Roman;serif"/>
          <w:b w:val="false"/>
          <w:sz w:val="20"/>
        </w:rPr>
        <w:t>shares, respectively, of common stock in connection with the ESPP. As of June 30, 2023, there were 1,153,344</w:t>
      </w:r>
      <w:r>
        <w:rPr>
          <w:rFonts w:ascii="Times New Roman" w:hAnsi="Times New Roman"/>
          <w:sz w:val="20"/>
        </w:rPr>
        <w:t xml:space="preserve"> </w:t>
      </w:r>
      <w:r>
        <w:rPr>
          <w:rFonts w:ascii="Times New Roman;serif" w:hAnsi="Times New Roman;serif"/>
          <w:b w:val="false"/>
          <w:sz w:val="20"/>
        </w:rPr>
        <w:t>shares available for future purchase under the ESPP.</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serif" w:hAnsi="Times New Roman;serif"/>
          <w:b w:val="false"/>
          <w:sz w:val="20"/>
        </w:rPr>
      </w:pPr>
      <w:r>
        <w:rPr>
          <w:rFonts w:ascii="Times New Roman;serif" w:hAnsi="Times New Roman;serif"/>
          <w:b w:val="false"/>
          <w:sz w:val="20"/>
        </w:rPr>
        <w:t>The Company estimated the fair value of shares purchased under the ESPP, using the Black-Scholes valuation model. The fair value of shares purchased under the ESPP was estimated using the following assumptions:</w:t>
      </w:r>
    </w:p>
    <w:p>
      <w:pPr>
        <w:pStyle w:val="TextBody"/>
        <w:bidi w:val="0"/>
        <w:spacing w:before="0" w:after="0"/>
        <w:ind w:left="0" w:right="0" w:firstLine="720"/>
        <w:jc w:val="left"/>
        <w:rPr/>
      </w:pPr>
      <w:r>
        <w:rPr/>
        <w:t> </w:t>
      </w:r>
    </w:p>
    <w:tbl>
      <w:tblPr>
        <w:tblW w:w="5350" w:type="dxa"/>
        <w:jc w:val="left"/>
        <w:tblInd w:w="0" w:type="dxa"/>
        <w:tblLayout w:type="fixed"/>
        <w:tblCellMar>
          <w:top w:w="28" w:type="dxa"/>
          <w:left w:w="28" w:type="dxa"/>
          <w:bottom w:w="28" w:type="dxa"/>
          <w:right w:w="28" w:type="dxa"/>
        </w:tblCellMar>
      </w:tblPr>
      <w:tblGrid>
        <w:gridCol w:w="2626"/>
        <w:gridCol w:w="146"/>
        <w:gridCol w:w="1246"/>
        <w:gridCol w:w="146"/>
        <w:gridCol w:w="118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7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 Options:</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rate of interest</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4.1</w:t>
            </w:r>
            <w:r>
              <w:rPr>
                <w:rFonts w:ascii="Times New Roman" w:hAnsi="Times New Roman"/>
                <w:sz w:val="20"/>
              </w:rPr>
              <w:t> </w:t>
            </w:r>
            <w:r>
              <w:rPr>
                <w:rFonts w:ascii="Times New Roman;serif" w:hAnsi="Times New Roman;serif"/>
                <w:b w:val="false"/>
                <w:sz w:val="20"/>
              </w:rPr>
              <w:t>- 4.9%</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0.9</w:t>
            </w:r>
            <w:r>
              <w:rPr>
                <w:rFonts w:ascii="Times New Roman" w:hAnsi="Times New Roman"/>
                <w:sz w:val="20"/>
              </w:rPr>
              <w:t> </w:t>
            </w:r>
            <w:r>
              <w:rPr>
                <w:rFonts w:ascii="Times New Roman;serif" w:hAnsi="Times New Roman;serif"/>
                <w:b w:val="false"/>
                <w:sz w:val="20"/>
              </w:rPr>
              <w:t>- 2.0%</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0.5 - 2.0</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0.5 - 2.0</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99.2</w:t>
            </w:r>
            <w:r>
              <w:rPr>
                <w:rFonts w:ascii="Times New Roman" w:hAnsi="Times New Roman"/>
                <w:sz w:val="20"/>
              </w:rPr>
              <w:t> </w:t>
            </w:r>
            <w:r>
              <w:rPr>
                <w:rFonts w:ascii="Times New Roman;serif" w:hAnsi="Times New Roman;serif"/>
                <w:b w:val="false"/>
                <w:sz w:val="20"/>
              </w:rPr>
              <w:t>- 122.5%</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80.7</w:t>
            </w:r>
            <w:r>
              <w:rPr>
                <w:rFonts w:ascii="Times New Roman" w:hAnsi="Times New Roman"/>
                <w:sz w:val="20"/>
              </w:rPr>
              <w:t> </w:t>
            </w:r>
            <w:r>
              <w:rPr>
                <w:rFonts w:ascii="Times New Roman;serif" w:hAnsi="Times New Roman;serif"/>
                <w:b w:val="false"/>
                <w:sz w:val="20"/>
              </w:rPr>
              <w:t>- 89.8%</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The Company recognized compensation expense of $0.2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$0.3</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for the six months ended June 30, 2023 and 2022, respectively, related to the ESPP. As of June 30, 2023, the remaining unrecognized compensation expense related to the ESPP was $0.5</w:t>
      </w:r>
      <w:r>
        <w:rPr>
          <w:rFonts w:ascii="Times New Roman" w:hAnsi="Times New Roman"/>
          <w:sz w:val="20"/>
        </w:rPr>
        <w:t xml:space="preserve"> </w:t>
      </w:r>
      <w:r>
        <w:rPr>
          <w:rFonts w:ascii="Times New Roman;serif" w:hAnsi="Times New Roman;serif"/>
          <w:b w:val="false"/>
          <w:sz w:val="20"/>
        </w:rPr>
        <w:t>million, and is expected to be recognized as expense over a weighted-average period of approximately 1.2</w:t>
      </w:r>
      <w:r>
        <w:rPr>
          <w:rFonts w:ascii="Times New Roman;serif" w:hAnsi="Times New Roman;serif"/>
          <w:sz w:val="20"/>
        </w:rPr>
        <w:t xml:space="preserve"> </w:t>
      </w:r>
      <w:r>
        <w:rPr>
          <w:rFonts w:ascii="Times New Roman;serif" w:hAnsi="Times New Roman;serif"/>
          <w:b w:val="false"/>
          <w:sz w:val="20"/>
        </w:rPr>
        <w:t>years.</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Liability for Early Exercise of Stock Options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Certain individuals were granted the ability to early exercise their stock options prior to the IPO.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condensed balance sheets and will be transferred into common stock and additional paid-in capital as the shares vest. As of June 30, 2023 and December 31, 2022, 174,867</w:t>
      </w:r>
      <w:r>
        <w:rPr>
          <w:rFonts w:ascii="Times New Roman" w:hAnsi="Times New Roman"/>
          <w:sz w:val="20"/>
        </w:rPr>
        <w:t xml:space="preserve"> </w:t>
      </w:r>
      <w:r>
        <w:rPr>
          <w:rFonts w:ascii="Times New Roman;serif" w:hAnsi="Times New Roman;serif"/>
          <w:b w:val="false"/>
          <w:sz w:val="20"/>
        </w:rPr>
        <w:t>and 277,081</w:t>
      </w:r>
      <w:r>
        <w:rPr>
          <w:rFonts w:ascii="Times New Roman" w:hAnsi="Times New Roman"/>
          <w:sz w:val="20"/>
        </w:rPr>
        <w:t xml:space="preserve"> </w:t>
      </w:r>
      <w:r>
        <w:rPr>
          <w:rFonts w:ascii="Times New Roman;serif" w:hAnsi="Times New Roman;serif"/>
          <w:b w:val="false"/>
          <w:sz w:val="20"/>
        </w:rPr>
        <w:t>unvested shares issued under early exercise provisions were subject to repurchase by the Company, respectively. As of June 30, 2023 and December 31, 2022, the Company recorded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associated with early exercised stock options in other long-term liabilities.</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8. Net Loss Per Share</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 following table sets forth the computation of the basic and diluted net loss per share (in thousands, except share and per share amounts):</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(29,921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42,792,812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42,570,792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42,721,891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42,558,051</w:t>
            </w:r>
          </w:p>
        </w:tc>
        <w:tc>
          <w:tcPr>
            <w:tcW w:w="611" w:type="dxa"/>
            <w:tcBorders/>
            <w:vAlign w:val="center"/>
          </w:tcPr>
          <w:p>
            <w:pPr>
              <w:pStyle w:val="TableContents"/>
              <w:bidi w:val="0"/>
              <w:spacing w:before="0" w:after="0"/>
              <w:ind w:left="0" w:right="0" w:firstLine="400"/>
              <w:jc w:val="left"/>
              <w:rPr/>
            </w:pPr>
            <w:r>
              <w:rPr/>
              <w:t> </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Less: weighted-average unvested restricted common stock subject to repurchase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(331,876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(392,675</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Less: weighted-average unvested common stock issued upon early exercise of common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(461,710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(226,419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(500,221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to compute net loss per common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42,589,213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41,777,206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42,492,377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41,665,155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serif" w:hAnsi="Times New Roman;serif"/>
          <w:b w:val="false"/>
          <w:sz w:val="20"/>
        </w:rPr>
        <w:t>The following table sets forth the outstanding potentially dilutive securities that have been excluded from the calculation of diluted net loss per share because their inclusion would be anti-dilutive.</w:t>
      </w:r>
      <w:r>
        <w:rPr>
          <w:rFonts w:ascii="Times New Roman" w:hAnsi="Times New Roman"/>
          <w:sz w:val="20"/>
        </w:rPr>
        <w:t xml:space="preserve"> </w:t>
      </w:r>
    </w:p>
    <w:p>
      <w:pPr>
        <w:pStyle w:val="TextBody"/>
        <w:bidi w:val="0"/>
        <w:spacing w:before="0" w:after="0"/>
        <w:ind w:left="0" w:right="0" w:hanging="0"/>
        <w:jc w:val="left"/>
        <w:rPr/>
      </w:pPr>
      <w:r>
        <w:rPr/>
        <w:t> </w:t>
      </w:r>
    </w:p>
    <w:tbl>
      <w:tblPr>
        <w:tblW w:w="7449" w:type="dxa"/>
        <w:jc w:val="left"/>
        <w:tblInd w:w="0" w:type="dxa"/>
        <w:tblLayout w:type="fixed"/>
        <w:tblCellMar>
          <w:top w:w="28" w:type="dxa"/>
          <w:left w:w="28" w:type="dxa"/>
          <w:bottom w:w="28" w:type="dxa"/>
          <w:right w:w="28" w:type="dxa"/>
        </w:tblCellMar>
      </w:tblPr>
      <w:tblGrid>
        <w:gridCol w:w="4666"/>
        <w:gridCol w:w="146"/>
        <w:gridCol w:w="146"/>
        <w:gridCol w:w="931"/>
        <w:gridCol w:w="146"/>
        <w:gridCol w:w="146"/>
        <w:gridCol w:w="146"/>
        <w:gridCol w:w="931"/>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common stock subject to repurchase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250,230</w:t>
            </w:r>
          </w:p>
        </w:tc>
        <w:tc>
          <w:tcPr>
            <w:tcW w:w="1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common stock upon early exercise of stock</w:t>
              <w:br/>
              <w:t>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174,867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427,041</w:t>
            </w:r>
          </w:p>
        </w:tc>
        <w:tc>
          <w:tcPr>
            <w:tcW w:w="1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6,040,647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4,505,258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6,218,044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5,182,529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9. Leases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 Company has operating leases for its office and laboratory space, including its corporate headquarters.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In August 2020, the Company entered into a lease agreement for approximately 4,734</w:t>
      </w:r>
      <w:r>
        <w:rPr>
          <w:rFonts w:ascii="Times New Roman" w:hAnsi="Times New Roman"/>
          <w:sz w:val="20"/>
        </w:rPr>
        <w:t xml:space="preserve"> </w:t>
      </w:r>
      <w:r>
        <w:rPr>
          <w:rFonts w:ascii="Times New Roman;serif" w:hAnsi="Times New Roman;serif"/>
          <w:b w:val="false"/>
          <w:sz w:val="20"/>
        </w:rPr>
        <w:t>square feet of office and lab space at 2656 State Street in Carlsbad, California, for the Company’s headquarters (the Original Lease). The Original Lease commenced in May 2021, and had an original term of 60</w:t>
      </w:r>
      <w:r>
        <w:rPr>
          <w:rFonts w:ascii="Times New Roman" w:hAnsi="Times New Roman"/>
          <w:sz w:val="20"/>
        </w:rPr>
        <w:t xml:space="preserve"> </w:t>
      </w:r>
      <w:r>
        <w:rPr>
          <w:rFonts w:ascii="Times New Roman;serif" w:hAnsi="Times New Roman;serif"/>
          <w:b w:val="false"/>
          <w:sz w:val="20"/>
        </w:rPr>
        <w:t>months, with an option to extend for two</w:t>
      </w:r>
      <w:r>
        <w:rPr>
          <w:rFonts w:ascii="Times New Roman" w:hAnsi="Times New Roman"/>
          <w:sz w:val="20"/>
        </w:rPr>
        <w:t xml:space="preserve"> </w:t>
      </w:r>
      <w:r>
        <w:rPr>
          <w:rFonts w:ascii="Times New Roman;serif" w:hAnsi="Times New Roman;serif"/>
          <w:b w:val="false"/>
          <w:sz w:val="20"/>
        </w:rPr>
        <w:t>additional 36</w:t>
      </w:r>
      <w:r>
        <w:rPr>
          <w:rFonts w:ascii="Times New Roman" w:hAnsi="Times New Roman"/>
          <w:sz w:val="20"/>
        </w:rPr>
        <w:t xml:space="preserve"> </w:t>
      </w:r>
      <w:r>
        <w:rPr>
          <w:rFonts w:ascii="Times New Roman;serif" w:hAnsi="Times New Roman;serif"/>
          <w:b w:val="false"/>
          <w:sz w:val="20"/>
        </w:rPr>
        <w:t>month periods.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In March 2022, the Company entered into a lease agreement for approximately 7,377</w:t>
      </w:r>
      <w:r>
        <w:rPr>
          <w:rFonts w:ascii="Times New Roman" w:hAnsi="Times New Roman"/>
          <w:sz w:val="20"/>
        </w:rPr>
        <w:t xml:space="preserve"> </w:t>
      </w:r>
      <w:r>
        <w:rPr>
          <w:rFonts w:ascii="Times New Roman;serif" w:hAnsi="Times New Roman;serif"/>
          <w:b w:val="false"/>
          <w:sz w:val="20"/>
        </w:rPr>
        <w:t>square feet of additional office and laboratory space at 2676 State Street in Carlsbad, California (the Expansion Lease). The Expansion Lease commenced for accounting purposes when the Company gained access to the premises in May 2023. The Company's obligation for payment of base rent begins on the date the landlord delivers possession of the Expansion Lease premises, estimated to occur in November 2023. The landlord is completing improvements on the Expansion Lease premises, and the Company paid $0.5</w:t>
      </w:r>
      <w:r>
        <w:rPr>
          <w:rFonts w:ascii="Times New Roman" w:hAnsi="Times New Roman"/>
          <w:sz w:val="20"/>
        </w:rPr>
        <w:t xml:space="preserve"> </w:t>
      </w:r>
      <w:r>
        <w:rPr>
          <w:rFonts w:ascii="Times New Roman;serif" w:hAnsi="Times New Roman;serif"/>
          <w:b w:val="false"/>
          <w:sz w:val="20"/>
        </w:rPr>
        <w:t>million of these costs prior to the Expansion Lease commencement. The Company has concluded that the landlord is the accounting owner of these improvements, and therefore this payment has been included in the calculation of the right-of-use asset and lease liability. The Company is entitled to certain rent abatement for delays related to the landlord's delivery of the Expansion Lease premises to the Company. The Expansion Lease has a lease term of 120 months, starting on the day the landlord delivers possession of the Expansion Lease premises. The Company has an option to renew the Expansion Lease for two additional 36 month periods. The Original Lease was also amended to have the same lease expiration as the Expansion Lease.</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 Company did not include the renewal periods in determining the lease term, as the Company was not reasonably certain to exercise either the amended Original Lease or the Expansion Lease renewal options.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In connection with the Company's lease agreements, the Company paid security deposits of $0.1</w:t>
      </w:r>
      <w:r>
        <w:rPr>
          <w:rFonts w:ascii="Times New Roman" w:hAnsi="Times New Roman"/>
          <w:sz w:val="20"/>
        </w:rPr>
        <w:t xml:space="preserve"> </w:t>
      </w:r>
      <w:r>
        <w:rPr>
          <w:rFonts w:ascii="Times New Roman;serif" w:hAnsi="Times New Roman;serif"/>
          <w:b w:val="false"/>
          <w:sz w:val="20"/>
        </w:rPr>
        <w:t>million and is required to maintain a letter of credit of $1.0</w:t>
      </w:r>
      <w:r>
        <w:rPr>
          <w:rFonts w:ascii="Times New Roman" w:hAnsi="Times New Roman"/>
          <w:sz w:val="20"/>
        </w:rPr>
        <w:t xml:space="preserve"> </w:t>
      </w:r>
      <w:r>
        <w:rPr>
          <w:rFonts w:ascii="Times New Roman;serif" w:hAnsi="Times New Roman;serif"/>
          <w:b w:val="false"/>
          <w:sz w:val="20"/>
        </w:rPr>
        <w:t>million until 2027 at which time it can be reduced to $0.5</w:t>
      </w:r>
      <w:r>
        <w:rPr>
          <w:rFonts w:ascii="Times New Roman" w:hAnsi="Times New Roman"/>
          <w:sz w:val="20"/>
        </w:rPr>
        <w:t xml:space="preserve"> </w:t>
      </w:r>
      <w:r>
        <w:rPr>
          <w:rFonts w:ascii="Times New Roman;serif" w:hAnsi="Times New Roman;serif"/>
          <w:b w:val="false"/>
          <w:sz w:val="20"/>
        </w:rPr>
        <w:t>million throughout the end of the lease term.</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Cash paid for amounts included in the measurement of lease liabilities was $0.6</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$0.7</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 components of lease expense include operating, short-term, and variable lease costs. Amortization is recorded within research and development and general and administrative expenses in the condensed statements of operations and comprehensive loss. Components of lease cost for the three and six months ended June 30, 2023 and 2022, respectively, were as follows (in thousands):</w:t>
      </w:r>
    </w:p>
    <w:p>
      <w:pPr>
        <w:pStyle w:val="TextBody"/>
        <w:bidi w:val="0"/>
        <w:spacing w:before="0" w:after="0"/>
        <w:ind w:left="0" w:right="0" w:firstLine="720"/>
        <w:jc w:val="left"/>
        <w:rPr/>
      </w:pPr>
      <w:r>
        <w:rPr/>
        <w:t> </w:t>
      </w:r>
    </w:p>
    <w:tbl>
      <w:tblPr>
        <w:tblW w:w="5588" w:type="dxa"/>
        <w:jc w:val="left"/>
        <w:tblInd w:w="0" w:type="dxa"/>
        <w:tblLayout w:type="fixed"/>
        <w:tblCellMar>
          <w:top w:w="28" w:type="dxa"/>
          <w:left w:w="28" w:type="dxa"/>
          <w:bottom w:w="28" w:type="dxa"/>
          <w:right w:w="28" w:type="dxa"/>
        </w:tblCellMar>
      </w:tblPr>
      <w:tblGrid>
        <w:gridCol w:w="1801"/>
        <w:gridCol w:w="146"/>
        <w:gridCol w:w="217"/>
        <w:gridCol w:w="434"/>
        <w:gridCol w:w="150"/>
        <w:gridCol w:w="150"/>
        <w:gridCol w:w="217"/>
        <w:gridCol w:w="434"/>
        <w:gridCol w:w="146"/>
        <w:gridCol w:w="146"/>
        <w:gridCol w:w="211"/>
        <w:gridCol w:w="421"/>
        <w:gridCol w:w="146"/>
        <w:gridCol w:w="146"/>
        <w:gridCol w:w="211"/>
        <w:gridCol w:w="42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left"/>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Maturities of lease liabilities, weighted-average remaining term and weighted-average discount rate were as follows (in thousands):</w:t>
      </w:r>
    </w:p>
    <w:p>
      <w:pPr>
        <w:pStyle w:val="TextBody"/>
        <w:bidi w:val="0"/>
        <w:spacing w:before="0" w:after="0"/>
        <w:ind w:left="0" w:right="0" w:hanging="0"/>
        <w:jc w:val="left"/>
        <w:rPr/>
      </w:pPr>
      <w:r>
        <w:rPr/>
        <w:t> </w:t>
      </w:r>
    </w:p>
    <w:tbl>
      <w:tblPr>
        <w:tblW w:w="4963" w:type="dxa"/>
        <w:jc w:val="left"/>
        <w:tblInd w:w="0" w:type="dxa"/>
        <w:tblLayout w:type="fixed"/>
        <w:tblCellMar>
          <w:top w:w="28" w:type="dxa"/>
          <w:left w:w="28" w:type="dxa"/>
          <w:bottom w:w="28" w:type="dxa"/>
          <w:right w:w="28" w:type="dxa"/>
        </w:tblCellMar>
      </w:tblPr>
      <w:tblGrid>
        <w:gridCol w:w="3286"/>
        <w:gridCol w:w="146"/>
        <w:gridCol w:w="285"/>
        <w:gridCol w:w="855"/>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ending December 31,</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2023 (remaining six months)</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391" w:type="dxa"/>
            <w:tcBorders/>
            <w:vAlign w:val="center"/>
          </w:tcPr>
          <w:p>
            <w:pPr>
              <w:pStyle w:val="TableContents"/>
              <w:bidi w:val="0"/>
              <w:spacing w:before="0" w:after="0"/>
              <w:ind w:left="0" w:right="0" w:firstLine="200"/>
              <w:jc w:val="left"/>
              <w:rPr/>
            </w:pPr>
            <w:r>
              <w:rPr/>
              <w:t> </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391" w:type="dxa"/>
            <w:tcBorders/>
            <w:vAlign w:val="center"/>
          </w:tcPr>
          <w:p>
            <w:pPr>
              <w:pStyle w:val="TableContents"/>
              <w:bidi w:val="0"/>
              <w:spacing w:before="0" w:after="0"/>
              <w:ind w:left="0" w:right="0" w:firstLine="200"/>
              <w:jc w:val="left"/>
              <w:rPr/>
            </w:pPr>
            <w:r>
              <w:rPr/>
              <w:t> </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391" w:type="dxa"/>
            <w:tcBorders/>
            <w:vAlign w:val="center"/>
          </w:tcPr>
          <w:p>
            <w:pPr>
              <w:pStyle w:val="TableContents"/>
              <w:bidi w:val="0"/>
              <w:spacing w:before="0" w:after="0"/>
              <w:ind w:left="0" w:right="0" w:firstLine="200"/>
              <w:jc w:val="left"/>
              <w:rPr/>
            </w:pPr>
            <w:r>
              <w:rPr/>
              <w:t> </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852</w:t>
            </w:r>
          </w:p>
        </w:tc>
        <w:tc>
          <w:tcPr>
            <w:tcW w:w="391" w:type="dxa"/>
            <w:tcBorders/>
            <w:vAlign w:val="center"/>
          </w:tcPr>
          <w:p>
            <w:pPr>
              <w:pStyle w:val="TableContents"/>
              <w:bidi w:val="0"/>
              <w:spacing w:before="0" w:after="0"/>
              <w:ind w:left="0" w:right="0" w:firstLine="200"/>
              <w:jc w:val="left"/>
              <w:rPr/>
            </w:pPr>
            <w:r>
              <w:rPr/>
              <w:t> </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w:t>
            </w:r>
          </w:p>
        </w:tc>
        <w:tc>
          <w:tcPr>
            <w:tcW w:w="391" w:type="dxa"/>
            <w:tcBorders/>
            <w:vAlign w:val="center"/>
          </w:tcPr>
          <w:p>
            <w:pPr>
              <w:pStyle w:val="TableContents"/>
              <w:bidi w:val="0"/>
              <w:spacing w:before="0" w:after="0"/>
              <w:ind w:left="0" w:right="0" w:firstLine="200"/>
              <w:jc w:val="left"/>
              <w:rPr/>
            </w:pPr>
            <w:r>
              <w:rPr/>
              <w:t> </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9,092</w:t>
            </w:r>
          </w:p>
        </w:tc>
        <w:tc>
          <w:tcPr>
            <w:tcW w:w="3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representing interest</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6,071</w:t>
            </w:r>
          </w:p>
        </w:tc>
        <w:tc>
          <w:tcPr>
            <w:tcW w:w="3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lease liabilities</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noncurrent</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8065" w:type="dxa"/>
        <w:jc w:val="left"/>
        <w:tblInd w:w="0" w:type="dxa"/>
        <w:tblLayout w:type="fixed"/>
        <w:tblCellMar>
          <w:top w:w="28" w:type="dxa"/>
          <w:left w:w="28" w:type="dxa"/>
          <w:bottom w:w="28" w:type="dxa"/>
          <w:right w:w="28" w:type="dxa"/>
        </w:tblCellMar>
      </w:tblPr>
      <w:tblGrid>
        <w:gridCol w:w="5371"/>
        <w:gridCol w:w="146"/>
        <w:gridCol w:w="172"/>
        <w:gridCol w:w="548"/>
        <w:gridCol w:w="271"/>
        <w:gridCol w:w="146"/>
        <w:gridCol w:w="261"/>
        <w:gridCol w:w="834"/>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16" w:type="dxa"/>
            <w:tcBorders/>
            <w:vAlign w:val="center"/>
          </w:tcPr>
          <w:p>
            <w:pPr>
              <w:pStyle w:val="TableContents"/>
              <w:bidi w:val="0"/>
              <w:spacing w:before="0" w:after="0"/>
              <w:ind w:left="0" w:right="0" w:hanging="0"/>
              <w:jc w:val="center"/>
              <w:rPr/>
            </w:pPr>
            <w:r>
              <w:rPr/>
              <w:t> </w:t>
            </w:r>
          </w:p>
        </w:tc>
      </w:tr>
      <w:tr>
        <w:trPr/>
        <w:tc>
          <w:tcPr>
            <w:tcW w:w="5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(years) - operating leases</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316" w:type="dxa"/>
            <w:tcBorders/>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incremental borrowing rate - operating leases</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sz w:val="20"/>
        </w:rPr>
        <w:t>10. Commitments and Contingencies</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Other Funding Commitments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As of June 30, 2023, the Company had ongoing clinical and pre-clinical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Litigation</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Company, from time to time, may be party to litigation arising in the ordinary course of business. The Company was not subject to any material legal proceedings as of June 30, 2023, and no material legal proceedings are currently pending or threatened. If the potential loss from any claim, asserted or unasserted, or legal proceeding is considered probable and the amount is reasonably estimable, the Company will accrue a liability for the estimated loss.</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20"/>
        </w:rPr>
      </w:pPr>
      <w:bookmarkStart w:id="8" w:name="i_item2"/>
      <w:bookmarkEnd w:id="8"/>
      <w:r>
        <w:rPr>
          <w:rFonts w:ascii="Times New Roman;serif" w:hAnsi="Times New Roman;serif"/>
          <w:b/>
          <w:sz w:val="20"/>
        </w:rPr>
        <w:t>Item 2. Management’s Discussion and Analysis of Financial Condition and Results of Operations</w:t>
      </w:r>
    </w:p>
    <w:p>
      <w:pPr>
        <w:pStyle w:val="TextBody"/>
        <w:bidi w:val="0"/>
        <w:spacing w:before="240" w:after="0"/>
        <w:ind w:left="0" w:right="0" w:firstLine="720"/>
        <w:jc w:val="left"/>
        <w:rPr>
          <w:rFonts w:ascii="Times New Roman;serif" w:hAnsi="Times New Roman;serif"/>
          <w:b w:val="false"/>
          <w:i/>
          <w:sz w:val="20"/>
        </w:rPr>
      </w:pPr>
      <w:r>
        <w:rPr>
          <w:rFonts w:ascii="Times New Roman;serif" w:hAnsi="Times New Roman;serif"/>
          <w:b w:val="false"/>
          <w:i/>
          <w:sz w:val="20"/>
        </w:rPr>
        <w:t>The following discussion and analysis and the unaudited interim condensed financial statements included in this Quarterly Report on Form 10-Q should be read in conjunction with the financial statements and notes thereto for the year ended December 31, 2022 and the related Management’s Discussion and Analysis of Financial Condition and Results of Operations, both of which are contained in the Annual Report on Form 10-K for the year ended December 31, 2022 (the 2022 Annual Report).</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Forward-Looking Statements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which is optimized to enable rapid and precise refinement of structural design through iterative molecular SNÅPshots, in order to generate novel product candidates that are specifically designed to limit off-target toxicities and address acquired drug resistance to provide next-generation treatment options. Genomic alterations in FGFR family members occur in approximately 7% of all human cancers, representing about 126,000 new cases per year.</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We are advancing multiple oncology product candidates toward the clinic, including our lead product candidate TYRA-300, an FGFR3 selective inhibitor with an initial focus on patients with metastatic urothelial carcinoma of the bladder and urinary tract (mUC). We submitted an Investigational New Drug application (IND) to the U.S. Food and Drug Administration (FDA) for TYRA-300 in June 2022 and received clearance in July 2022 to proceed with our Phase 1/2 clinical trial of TYRA-300, SURF301 (Study in Untreated and Resistant FGFR3+ Advanced Solid Tumors), a multi-center, open label study designed to determine the optimal and maximum tolerated doses and the recommended Phase 2 dose of TYRA-300, as well as to evaluate the preliminary antitumor activity of TYRA-300. In November 2022, the first patient was dosed with TYRA-300 in our Phase 1/2 study SURF301.</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Beyond oncology, FGFR3 is implicated in many developmental conditions, such as achondroplasia (ACH) and other skeletal dysplasias, due to its role in regulating bone and cartilage formation. In March 2023, we announced we were expanding development of TYRA-300 into achondroplasia based on positive preclinical results demonstrated in a study performed in collaboration with the Imagine Institute in Paris, France. Data from the study showed that TYRA-300 increased body length in mice by 17.9% compared to the vehicle (p&lt;0.0001) and increased the length of the femur (+22.6%), tibia (+33.0%) and L4-L6 (+23.5%) in mice (p&lt;0.0001) (with n=8 for TYRA-300, after excluding two mice from dataset when molecular analysis showed chimeric incorporation of mutation, and n=10 for vehicle, after excluding one vehicle mouse). Achondroplasia, the most common form of dwarfism, is a skeletal dysplasia in which growth plate cartilage is affected, resulting in decreased growth of the long bones, vertebral bodies and skull base. These growth differences can result in health complications such as cranial and spinal stenosis, hydrocephalus, genu varum (bowed legs), and sleep apnea. A specific mutation in FGFR3 causes an estimated 97% of achondroplasia. We believe that the design of TYRA-300 may have a meaningful impact on achondroplasia and other skeletal dysplasias. We are planning additional IND-enabling studies and anticipate submitting an IND to the FDA to enable a Phase 2 study in pediatric achondroplasia in 2024. In July 2023, the FDA granted TYRA-300 Orphan Drug Designation (ODD) for the treatment of achondroplasia.</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We are also advancing our second oncology product candidate, TYRA-200, an FGFR1/2/3 inhibitor with potency against activating FGFR2 gene alterations, as well as clinically important molecular brake and gatekeeper resistance mutations. In December 2022, we submitted an IND to the FDA for TYRA-200 and received clearance in January 2023 to proceed with a Phase 1 clinical trial of TYRA-200, which will be focused on intrahepatic cholangiocarcinoma resistant to other FGFR inhibitors. We anticipate dosing the first patient in this trial in the second half of 2023.</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six months ended June 30, 2023 and 2022 were $25.2 million and $29.9 million, respectively. As of June 30, 2023, we had an accumulated deficit of $120.8 million. As of June 30, 2023, we had cash and cash equivalents of $232.4 million.</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240" w:after="0"/>
        <w:ind w:left="720" w:right="0" w:hanging="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To date, our research and development expenses consist primarily of external and internal costs related to the development of our SNÅP platform and our product candidates and development programs. Our research and development expenses primarily include:</w:t>
      </w:r>
      <w:r>
        <w:rPr>
          <w:rFonts w:ascii="Times New Roman" w:hAnsi="Times New Roman"/>
          <w:sz w:val="20"/>
        </w:rPr>
        <w:t xml:space="preserv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external costs, including: </w:t>
      </w:r>
    </w:p>
    <w:p>
      <w:pPr>
        <w:pStyle w:val="TextBody"/>
        <w:bidi w:val="0"/>
        <w:spacing w:before="240" w:after="0"/>
        <w:ind w:left="1023"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pStyle w:val="TextBody"/>
        <w:bidi w:val="0"/>
        <w:spacing w:before="240" w:after="0"/>
        <w:ind w:left="1023"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expenses incurred in connection with the discovery and preclinical development of our product candidates, including under agreements with third parties, such as consultants and CROs; </w:t>
      </w:r>
    </w:p>
    <w:p>
      <w:pPr>
        <w:pStyle w:val="TextBody"/>
        <w:bidi w:val="0"/>
        <w:spacing w:before="240" w:after="0"/>
        <w:ind w:left="1023"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costs associated with consultants for chemistry, manufacturing and controls (CMC) development, and other services;</w:t>
      </w:r>
    </w:p>
    <w:p>
      <w:pPr>
        <w:pStyle w:val="TextBody"/>
        <w:bidi w:val="0"/>
        <w:spacing w:before="240" w:after="0"/>
        <w:ind w:left="1023"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cost of manufacturing compounds for use in our preclinical studies, including under agreements with third parties, such as consultants and third-party manufacturers; and</w:t>
      </w:r>
    </w:p>
    <w:p>
      <w:pPr>
        <w:pStyle w:val="TextBody"/>
        <w:bidi w:val="0"/>
        <w:spacing w:before="240" w:after="0"/>
        <w:ind w:left="1023"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costs related to compliance with drug development regulatory requirements; and</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internal costs, including: </w:t>
      </w:r>
    </w:p>
    <w:p>
      <w:pPr>
        <w:pStyle w:val="TextBody"/>
        <w:bidi w:val="0"/>
        <w:spacing w:before="240" w:after="0"/>
        <w:ind w:left="1023"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related benefits, travel and share-based compensation expenses for employees engaged in research and development functions; </w:t>
      </w:r>
    </w:p>
    <w:p>
      <w:pPr>
        <w:pStyle w:val="TextBody"/>
        <w:bidi w:val="0"/>
        <w:spacing w:before="240" w:after="0"/>
        <w:ind w:left="1023"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costs of laboratory supplies and acquiring, developing and manufacturing preclinical study materials; and </w:t>
      </w:r>
    </w:p>
    <w:p>
      <w:pPr>
        <w:pStyle w:val="TextBody"/>
        <w:bidi w:val="0"/>
        <w:spacing w:before="240" w:after="0"/>
        <w:ind w:left="1023" w:right="0" w:hanging="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facilities, depreciation and other expenses, which include allocated expenses for rent and maintenance of facilities, and supplies.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Our future research and development expenses may vary significantly based on a wide variety of factors such as:</w:t>
      </w:r>
      <w:r>
        <w:rPr>
          <w:rFonts w:ascii="Times New Roman" w:hAnsi="Times New Roman"/>
          <w:sz w:val="20"/>
        </w:rPr>
        <w:t xml:space="preserv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number and scope, rate of progress, expense and results of our discovery and preclinical development activities and clinical trials; </w:t>
      </w:r>
    </w:p>
    <w:p>
      <w:pPr>
        <w:pStyle w:val="TextBody"/>
        <w:bidi w:val="0"/>
        <w:spacing w:before="240" w:after="0"/>
        <w:ind w:left="720" w:right="0" w:hanging="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the number of trials required for approval;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number of sites included in each of our trials;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countries in which the trials are conducted;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length of time required to enroll eligible patients;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number of patients that participate in the trials;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ability to identify appropriate patients eligible for our clinical trials;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number of doses that patients receive;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drop-out or discontinuation rates of patients;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potential additional safety monitoring requested by regulatory agencies;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duration of patient participation in the trials and follow-up;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phase of development of the product candidate;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efficacy and safety profile of the product candidate;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timing, receipt, and terms of any approvals from applicable regulatory authorities including the FDA and non-U.S. regulators;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maintaining a continued acceptable safety profile of our product candidates following approval, if any;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cost and timing of manufacturing our product candidates;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significant and changing government regulation and regulatory guidance;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impact of any business interruptions to our operations or to those of the third parties with whom we work,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geopolitical instability, such as the war in Ukraine;</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adverse effects on the financial markets, the global economy, the supply chain and our expenses due to pandemics or other epidemic diseases, geopolitical instability, inflation, rising interest rates and other factors; and</w:t>
      </w:r>
    </w:p>
    <w:p>
      <w:pPr>
        <w:pStyle w:val="TextBody"/>
        <w:bidi w:val="0"/>
        <w:spacing w:before="240" w:after="0"/>
        <w:ind w:left="720" w:right="0" w:hanging="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the extent to which we establish additional strategic collaborations or other arrangements.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A change in the outcome of any of these variables with respect to the development of any of our product candidates could significantly change the costs and timing associated with the development of that product candidate.</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r>
        <w:rPr>
          <w:rFonts w:ascii="Times New Roman" w:hAnsi="Times New Roman"/>
          <w:sz w:val="20"/>
        </w:rPr>
        <w:t xml:space="preserve"> </w:t>
      </w:r>
    </w:p>
    <w:p>
      <w:pPr>
        <w:pStyle w:val="TextBody"/>
        <w:bidi w:val="0"/>
        <w:spacing w:before="240" w:after="0"/>
        <w:ind w:left="720" w:right="0" w:hanging="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the Securities and Exchange Commission (SEC) requirements, director and officer insurance costs, and investor and public relations costs.</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720" w:right="0" w:hanging="0"/>
        <w:jc w:val="left"/>
        <w:rPr>
          <w:rFonts w:ascii="Times New Roman;serif" w:hAnsi="Times New Roman;serif"/>
          <w:b w:val="false"/>
          <w:i/>
          <w:sz w:val="20"/>
        </w:rPr>
      </w:pPr>
      <w:r>
        <w:rPr>
          <w:rFonts w:ascii="Times New Roman;serif" w:hAnsi="Times New Roman;serif"/>
          <w:b w:val="false"/>
          <w:i/>
          <w:sz w:val="20"/>
        </w:rPr>
        <w:t>Other Income and Expenses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Other income (expense) consists primarily of interest income from our cash and cash equivalents.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following table summarizes our results of operations for the periods indicated (in thousands):</w:t>
      </w:r>
      <w:r>
        <w:rPr>
          <w:rFonts w:ascii="Times New Roman" w:hAnsi="Times New Roman"/>
          <w:sz w:val="20"/>
        </w:rPr>
        <w:t xml:space="preserve"> </w:t>
      </w:r>
    </w:p>
    <w:p>
      <w:pPr>
        <w:pStyle w:val="TextBody"/>
        <w:bidi w:val="0"/>
        <w:spacing w:before="0" w:after="0"/>
        <w:ind w:left="0" w:right="0" w:hanging="0"/>
        <w:jc w:val="left"/>
        <w:rPr/>
      </w:pPr>
      <w:r>
        <w:rPr/>
        <w:t> </w:t>
      </w:r>
    </w:p>
    <w:tbl>
      <w:tblPr>
        <w:tblW w:w="6640" w:type="dxa"/>
        <w:jc w:val="left"/>
        <w:tblInd w:w="0" w:type="dxa"/>
        <w:tblLayout w:type="fixed"/>
        <w:tblCellMar>
          <w:top w:w="28" w:type="dxa"/>
          <w:left w:w="28" w:type="dxa"/>
          <w:bottom w:w="28" w:type="dxa"/>
          <w:right w:w="28" w:type="dxa"/>
        </w:tblCellMar>
      </w:tblPr>
      <w:tblGrid>
        <w:gridCol w:w="2746"/>
        <w:gridCol w:w="146"/>
        <w:gridCol w:w="216"/>
        <w:gridCol w:w="756"/>
        <w:gridCol w:w="170"/>
        <w:gridCol w:w="149"/>
        <w:gridCol w:w="216"/>
        <w:gridCol w:w="756"/>
        <w:gridCol w:w="166"/>
        <w:gridCol w:w="146"/>
        <w:gridCol w:w="211"/>
        <w:gridCol w:w="571"/>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12,162</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391" w:type="dxa"/>
            <w:tcBorders/>
            <w:vAlign w:val="center"/>
          </w:tcPr>
          <w:p>
            <w:pPr>
              <w:pStyle w:val="TableContents"/>
              <w:bidi w:val="0"/>
              <w:spacing w:before="0" w:after="0"/>
              <w:ind w:left="0" w:right="0" w:firstLine="200"/>
              <w:jc w:val="lef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16,014</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391"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(16,014</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2,763</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w:t>
            </w:r>
          </w:p>
        </w:tc>
        <w:tc>
          <w:tcPr>
            <w:tcW w:w="391" w:type="dxa"/>
            <w:tcBorders/>
            <w:vAlign w:val="center"/>
          </w:tcPr>
          <w:p>
            <w:pPr>
              <w:pStyle w:val="TableContents"/>
              <w:bidi w:val="0"/>
              <w:spacing w:before="0" w:after="0"/>
              <w:ind w:left="0" w:right="0" w:firstLine="200"/>
              <w:jc w:val="lef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(13,272</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Research and development expenses were $12.2 million and $12.0 million for the three months ended June 30, 2023 and 2022, respectively. The overall increase of $0.2 million was primarily due to increased costs to support our ongoing and upcoming clinical trials, including CRO and drug manufacturing costs of $1.4 million, increase in facilities and other operating costs of $0.3 million and increase in personnel-related costs of $0.2 million. The increase was partially offset by decreased preclinical expenses of $1.7 million.</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following table summarizes our research and development expenses by development program for the three months ended June 30, 2023 and 2022 (in thousands):</w:t>
      </w:r>
      <w:r>
        <w:rPr>
          <w:rFonts w:ascii="Times New Roman" w:hAnsi="Times New Roman"/>
          <w:sz w:val="20"/>
        </w:rPr>
        <w:t xml:space="preserve"> </w:t>
      </w:r>
    </w:p>
    <w:p>
      <w:pPr>
        <w:pStyle w:val="TextBody"/>
        <w:bidi w:val="0"/>
        <w:spacing w:before="0" w:after="0"/>
        <w:ind w:left="0" w:right="0" w:hanging="0"/>
        <w:jc w:val="left"/>
        <w:rPr/>
      </w:pPr>
      <w:r>
        <w:rPr/>
        <w:t> </w:t>
      </w:r>
    </w:p>
    <w:tbl>
      <w:tblPr>
        <w:tblW w:w="6777" w:type="dxa"/>
        <w:jc w:val="left"/>
        <w:tblInd w:w="0" w:type="dxa"/>
        <w:tblLayout w:type="fixed"/>
        <w:tblCellMar>
          <w:top w:w="28" w:type="dxa"/>
          <w:left w:w="28" w:type="dxa"/>
          <w:bottom w:w="28" w:type="dxa"/>
          <w:right w:w="28" w:type="dxa"/>
        </w:tblCellMar>
      </w:tblPr>
      <w:tblGrid>
        <w:gridCol w:w="3976"/>
        <w:gridCol w:w="146"/>
        <w:gridCol w:w="231"/>
        <w:gridCol w:w="741"/>
        <w:gridCol w:w="160"/>
        <w:gridCol w:w="160"/>
        <w:gridCol w:w="231"/>
        <w:gridCol w:w="741"/>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research and development expense by</w:t>
              <w:br/>
              <w:t>   program</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TYRA-300 ONC</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3,060</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TYRA-200</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1,857</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TYRA-300 ACH</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FGFR4</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development programs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 research and development expense</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research and development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Compensation and stock-based compensation</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12,162</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General and administrative expenses were $3.9 million and $3.4 million for the three months ended June 30, 2023 and 2022, respectively. The increase of $0.5 million was primarily due to increases of $0.4 million in compensation and stock-based compensation costs and $0.1 million in other operating expenses.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i/>
          <w:sz w:val="20"/>
        </w:rPr>
        <w:t>Other Income</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Other income was $2.7 million and $0.3 million for the three months ended June 30, 2023 and 2022, respectively. The increase of $2.4 million was primarily related to an increase in interest rate return on our cash and cash equivalents.</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following table summarizes our results of operations for the periods indicated (in thousands):</w:t>
      </w:r>
      <w:r>
        <w:rPr>
          <w:rFonts w:ascii="Times New Roman" w:hAnsi="Times New Roman"/>
          <w:sz w:val="20"/>
        </w:rPr>
        <w:t xml:space="preserve"> </w:t>
      </w:r>
    </w:p>
    <w:p>
      <w:pPr>
        <w:pStyle w:val="TextBody"/>
        <w:bidi w:val="0"/>
        <w:spacing w:before="0" w:after="0"/>
        <w:ind w:left="0" w:right="0" w:hanging="0"/>
        <w:jc w:val="left"/>
        <w:rPr/>
      </w:pPr>
      <w:r>
        <w:rPr/>
        <w:t> </w:t>
      </w:r>
    </w:p>
    <w:tbl>
      <w:tblPr>
        <w:tblW w:w="6583" w:type="dxa"/>
        <w:jc w:val="left"/>
        <w:tblInd w:w="0" w:type="dxa"/>
        <w:tblLayout w:type="fixed"/>
        <w:tblCellMar>
          <w:top w:w="28" w:type="dxa"/>
          <w:left w:w="28" w:type="dxa"/>
          <w:bottom w:w="28" w:type="dxa"/>
          <w:right w:w="28" w:type="dxa"/>
        </w:tblCellMar>
      </w:tblPr>
      <w:tblGrid>
        <w:gridCol w:w="2746"/>
        <w:gridCol w:w="146"/>
        <w:gridCol w:w="211"/>
        <w:gridCol w:w="736"/>
        <w:gridCol w:w="166"/>
        <w:gridCol w:w="146"/>
        <w:gridCol w:w="211"/>
        <w:gridCol w:w="736"/>
        <w:gridCol w:w="166"/>
        <w:gridCol w:w="146"/>
        <w:gridCol w:w="211"/>
        <w:gridCol w:w="571"/>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w:t>
            </w:r>
          </w:p>
        </w:tc>
        <w:tc>
          <w:tcPr>
            <w:tcW w:w="391" w:type="dxa"/>
            <w:tcBorders/>
            <w:vAlign w:val="center"/>
          </w:tcPr>
          <w:p>
            <w:pPr>
              <w:pStyle w:val="TableContents"/>
              <w:bidi w:val="0"/>
              <w:spacing w:before="0" w:after="0"/>
              <w:ind w:left="0" w:right="0" w:firstLine="200"/>
              <w:jc w:val="lef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4,854</w:t>
            </w:r>
          </w:p>
        </w:tc>
        <w:tc>
          <w:tcPr>
            <w:tcW w:w="391" w:type="dxa"/>
            <w:tcBorders/>
            <w:vAlign w:val="center"/>
          </w:tcPr>
          <w:p>
            <w:pPr>
              <w:pStyle w:val="TableContents"/>
              <w:bidi w:val="0"/>
              <w:spacing w:before="0" w:after="0"/>
              <w:ind w:left="0" w:right="0" w:firstLine="200"/>
              <w:jc w:val="left"/>
              <w:rPr/>
            </w:pPr>
            <w:r>
              <w:rPr/>
              <w:t> </w:t>
            </w:r>
          </w:p>
        </w:tc>
      </w:tr>
      <w:tr>
        <w:trPr/>
        <w:tc>
          <w:tcPr>
            <w:tcW w:w="27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Research and development expenses were $22.6 million and $21.7 million for the six months ended June 30, 2023 and 2022, respectively. The overall increase of $0.9 million was primarily due to increased costs to support our ongoing and upcoming clinical trials, including CRO and drug manufacturing costs of $2.5 million, increase of personnel - related costs of $0.9 million and increase in facilities and other operating costs of $0.4 million. The increase was partially offset by decreased preclinical expenses of $2.9 million.</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following table summarizes our research and development expenses by development program for the six months ended June 30, 2023 and 2022 (in thousands):</w:t>
      </w:r>
      <w:r>
        <w:rPr>
          <w:rFonts w:ascii="Times New Roman" w:hAnsi="Times New Roman"/>
          <w:sz w:val="20"/>
        </w:rPr>
        <w:t xml:space="preserve"> </w:t>
      </w:r>
    </w:p>
    <w:p>
      <w:pPr>
        <w:pStyle w:val="TextBody"/>
        <w:bidi w:val="0"/>
        <w:spacing w:before="0" w:after="0"/>
        <w:ind w:left="0" w:right="0" w:hanging="0"/>
        <w:jc w:val="left"/>
        <w:rPr/>
      </w:pPr>
      <w:r>
        <w:rPr/>
        <w:t> </w:t>
      </w:r>
    </w:p>
    <w:tbl>
      <w:tblPr>
        <w:tblW w:w="6581" w:type="dxa"/>
        <w:jc w:val="left"/>
        <w:tblInd w:w="0" w:type="dxa"/>
        <w:tblLayout w:type="fixed"/>
        <w:tblCellMar>
          <w:top w:w="28" w:type="dxa"/>
          <w:left w:w="28" w:type="dxa"/>
          <w:bottom w:w="28" w:type="dxa"/>
          <w:right w:w="28" w:type="dxa"/>
        </w:tblCellMar>
      </w:tblPr>
      <w:tblGrid>
        <w:gridCol w:w="3976"/>
        <w:gridCol w:w="146"/>
        <w:gridCol w:w="211"/>
        <w:gridCol w:w="677"/>
        <w:gridCol w:w="146"/>
        <w:gridCol w:w="146"/>
        <w:gridCol w:w="211"/>
        <w:gridCol w:w="677"/>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research and development expense by</w:t>
              <w:br/>
              <w:t>   program</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TYRA-300 ONC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5,352</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TYRA-200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2,864</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FGFR3 ACH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2,589</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FGFR4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development programs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 research and development expense</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1,296</w:t>
            </w:r>
          </w:p>
        </w:tc>
        <w:tc>
          <w:tcPr>
            <w:tcW w:w="39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Compensation and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21,692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General and administrative expenses were $7.8 million and $8.6 million for the six months ended June 30, 2023 and 2022, respectively. The decrease of $0.8 million was primarily due to decreases of $1.1 million in compensation and stock-based compensation costs, $0.1 million of professional services, and $0.1 million of insurance costs, partially offset by an increase of $0.5 million in other operating expenses.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i/>
          <w:sz w:val="20"/>
        </w:rPr>
        <w:t>Other Income</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Other income was $5.2 million and $0.3 million for the six months ended June 30, 2023 and 2022, respectively. The increase of $4.9 million was primarily related to an increase in interest rate return on our cash and cash equivalents.</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On September 17, 2021, we completed our IPO and issued 12,420,000 shares of common stock for net proceeds of approximately $181.2 million. Prior to our IPO, we funded our operations primarily through private placements of our convertible preferred stock with net proceeds of $157.2 million excluding issuance costs of $0.4 million.</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Our primary uses of cash to date have been to fund our research and development activities, including with respect to TYRA-300 and TYRA-200 and other research programs, business planning, establishing and maintaining our intellectual property portfolio, hiring personnel, raising capital, and providing general and administrative support for these operations.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We are not obligated to sell, and the Agent is not obligated to buy or sell, any shares of common stock under the Sales Agreement. No assurance can be given that we will sell any shares of common stock under the Sales Agreement, or, if we do, as to the price or amount of shares of common stock that we may sell or the dates when such sales will take place. As of June 30, 2023, we have not sold any shares under the Sales Agreement.</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 following table sets forth a summary of our cash flows for the periods indicated (in thousands):</w:t>
      </w:r>
      <w:r>
        <w:rPr>
          <w:rFonts w:ascii="Times New Roman" w:hAnsi="Times New Roman"/>
          <w:sz w:val="20"/>
        </w:rPr>
        <w:t xml:space="preserve"> </w:t>
      </w:r>
    </w:p>
    <w:p>
      <w:pPr>
        <w:pStyle w:val="TextBody"/>
        <w:bidi w:val="0"/>
        <w:spacing w:before="0" w:after="0"/>
        <w:ind w:left="0" w:right="0" w:firstLine="720"/>
        <w:jc w:val="left"/>
        <w:rPr/>
      </w:pPr>
      <w:r>
        <w:rPr/>
        <w:t> </w:t>
      </w:r>
    </w:p>
    <w:tbl>
      <w:tblPr>
        <w:tblW w:w="6029"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decrease for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ind w:left="72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Net cash used in operating activities for the six months ended June 30, 2023 was $19.5 million, consisting primarily of our net loss of $25.2 million, adjusted for $5.1 million of non-cash charges primarily related to stock-based compensation expense and $0.6 million for net changes in operating assets and liabilities.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Net cash used in operating activities for the six months ended June 30, 2022 was $26.1 million, consisting primarily of our net loss of $29.9 million and $3.0 million for net changes in operating assets and liabilities, adjusted for $6.8 million of non-cash charges primarily related to stock-based compensation expense and depreciation and amortization.</w:t>
      </w:r>
    </w:p>
    <w:p>
      <w:pPr>
        <w:pStyle w:val="TextBody"/>
        <w:bidi w:val="0"/>
        <w:spacing w:before="240" w:after="0"/>
        <w:ind w:left="0" w:right="0" w:hanging="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Net cash used in investing activities for the six months ended June 30, 2023 and 2022 was $0.1 million and $0.5 million, respectively, consisting of purchases of property and equipment.</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Net cash provided by financing activities for the six months ended June 30, 2023 and 2022 was $0.7 million and $0.3 million, respectively, primarily related to proceeds from issuances of common stock under benefit plans.</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Future Funding Requirements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Our future capital requirements will depend on many factors, including:</w:t>
      </w:r>
      <w:r>
        <w:rPr>
          <w:rFonts w:ascii="Times New Roman" w:hAnsi="Times New Roman"/>
          <w:sz w:val="20"/>
        </w:rPr>
        <w:t xml:space="preserve">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costs and timing of manufacturing for current or future product candidates, including commercial scale manufacturing if any product candidate is approved;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costs, timing and outcome of regulatory review of current or future product candidates;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costs of obtaining, maintaining and enforcing our patents and other intellectual property rights;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costs associated with hiring additional personnel and consultants as our business grows, including additional executive officers and clinical development personnel;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costs and timing of establishing or securing sales and marketing capabilities if any current or future product candidate is approved;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our ability to achieve sufficient market acceptance, coverage and adequate reimbursement from third-party payors and adequate market share and revenue for any approved products; </w:t>
      </w:r>
    </w:p>
    <w:p>
      <w:pPr>
        <w:pStyle w:val="TextBody"/>
        <w:bidi w:val="0"/>
        <w:spacing w:before="240" w:after="0"/>
        <w:ind w:left="720" w:right="0" w:hanging="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costs associated with any products or technologies that we may in-license or acquire; and </w:t>
      </w:r>
    </w:p>
    <w:p>
      <w:pPr>
        <w:pStyle w:val="TextBody"/>
        <w:bidi w:val="0"/>
        <w:spacing w:before="240" w:after="0"/>
        <w:ind w:left="720" w:right="0" w:hanging="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delays or issues with any of the above, including that the risk of each may be exacerbated by any future pandemics or epidemic diseases, potential geopolitical instability, inflation or rising interest rates.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Other than disclosed below, there were no material changes outside the ordinary course of our business during the six months ended June 30, 2023 to the information regarding our contractual obligations that was disclosed in “Management’s Discussion and Analysis of Financial Condition and Results of Operations” included in the 2022 Annual Report.</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As of June 30, 2023, total future aggregate operating lease commitments were $9.1 million, with approximately $0.2 million due in 2023, and the remaining due in periods from 2024 through 2033.</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There have been no material changes to our critical accounting policies and estimates during the three and six months ended June 30, 2023, as compared to the critical accounting policies and estimates disclosed in “Management’s Discussion and Analysis of Financial Condition and Results of Operations” included in the 2022 Annual Report.</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See Note 2 to our condensed financial statements included elsewhere in this Quarterly Report on Form 10-Q for recently issued accounting pronouncements that may potentially impact our financial position and results of operations.</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sz w:val="20"/>
        </w:rPr>
      </w:pPr>
      <w:bookmarkStart w:id="9" w:name="i_item3"/>
      <w:bookmarkEnd w:id="9"/>
      <w:r>
        <w:rPr>
          <w:rFonts w:ascii="Times New Roman;serif" w:hAnsi="Times New Roman;serif"/>
          <w:b/>
          <w:sz w:val="20"/>
        </w:rPr>
        <w:t>Item 3. Quantitative and Qualitative Disclosures About Market Risk</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As of June 30, 2023,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2022 Annual Report.</w:t>
      </w:r>
    </w:p>
    <w:p>
      <w:pPr>
        <w:pStyle w:val="TextBody"/>
        <w:bidi w:val="0"/>
        <w:spacing w:before="240" w:after="0"/>
        <w:ind w:left="0" w:right="0" w:hanging="0"/>
        <w:jc w:val="left"/>
        <w:rPr>
          <w:rFonts w:ascii="Times New Roman;serif" w:hAnsi="Times New Roman;serif"/>
          <w:b/>
          <w:sz w:val="20"/>
        </w:rPr>
      </w:pPr>
      <w:bookmarkStart w:id="10" w:name="i_item4"/>
      <w:bookmarkEnd w:id="10"/>
      <w:r>
        <w:rPr>
          <w:rFonts w:ascii="Times New Roman;serif" w:hAnsi="Times New Roman;serif"/>
          <w:b/>
          <w:sz w:val="20"/>
        </w:rPr>
        <w:t>Item 4. Controls and Procedures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(principal executive officer) and Chief Financial Officer (principal financial officer), has evaluated the effectiveness of our disclosure controls and procedures as defined in Rules 13a-15(e) and 15d-15(e) under the Securities Exchange Act of 1934, as amended, as of the end of the period covered by this quarterly report.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such evaluation, our Chief Executive Officer and Chief Financial Officer concluded that our disclosure controls and procedures were effective at the reasonable assurance level.</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that occurred during our most recent quarter that have materially affected, or are reasonably likely to materially affect, our internal control over financial reporting.</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bookmarkStart w:id="11" w:name="part_ii_other_information"/>
      <w:bookmarkEnd w:id="11"/>
      <w:r>
        <w:rPr>
          <w:rFonts w:ascii="Times New Roman;serif" w:hAnsi="Times New Roman;serif"/>
          <w:b/>
          <w:sz w:val="20"/>
        </w:rPr>
        <w:t>PART II—OTHER INFORMATION</w:t>
      </w:r>
    </w:p>
    <w:p>
      <w:pPr>
        <w:pStyle w:val="TextBody"/>
        <w:bidi w:val="0"/>
        <w:spacing w:before="240" w:after="0"/>
        <w:ind w:left="0" w:right="0" w:hanging="0"/>
        <w:jc w:val="left"/>
        <w:rPr>
          <w:rFonts w:ascii="Times New Roman;serif" w:hAnsi="Times New Roman;serif"/>
          <w:b/>
          <w:sz w:val="20"/>
        </w:rPr>
      </w:pPr>
      <w:bookmarkStart w:id="12" w:name="ii_item1"/>
      <w:bookmarkEnd w:id="12"/>
      <w:r>
        <w:rPr>
          <w:rFonts w:ascii="Times New Roman;serif" w:hAnsi="Times New Roman;serif"/>
          <w:b/>
          <w:sz w:val="20"/>
        </w:rPr>
        <w:t>Item 1. Legal Proceedings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sz w:val="20"/>
        </w:rPr>
      </w:pPr>
      <w:bookmarkStart w:id="13" w:name="ii_item1a"/>
      <w:bookmarkEnd w:id="13"/>
      <w:r>
        <w:rPr>
          <w:rFonts w:ascii="Times New Roman;serif" w:hAnsi="Times New Roman;serif"/>
          <w:b/>
          <w:sz w:val="20"/>
        </w:rPr>
        <w:t>Item 1A. Risk Factors</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There have been no material changes to the risk factors disclosed in Item 1A of our 2022 Annual Report.</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sz w:val="20"/>
        </w:rPr>
      </w:pPr>
      <w:bookmarkStart w:id="14" w:name="ii_item2"/>
      <w:bookmarkEnd w:id="14"/>
      <w:r>
        <w:rPr>
          <w:rFonts w:ascii="Times New Roman;serif" w:hAnsi="Times New Roman;serif"/>
          <w:b/>
          <w:sz w:val="20"/>
        </w:rPr>
        <w:t>Item 2. Unregistered Sales of Equity Securities and Use of Proceeds</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Unregistered Sales of Equity Securities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Use of Proceeds from Initial Public Offering</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pStyle w:val="TextBody"/>
        <w:bidi w:val="0"/>
        <w:spacing w:before="240" w:after="0"/>
        <w:ind w:left="0" w:right="0" w:firstLine="720"/>
        <w:jc w:val="left"/>
        <w:rPr>
          <w:rFonts w:ascii="Times New Roman" w:hAnsi="Times New Roman"/>
          <w:sz w:val="20"/>
        </w:rPr>
      </w:pPr>
      <w:r>
        <w:rPr>
          <w:rFonts w:ascii="Times New Roman;serif" w:hAnsi="Times New Roman;serif"/>
          <w:b w:val="false"/>
          <w:sz w:val="20"/>
        </w:rPr>
        <w:t>As of June 30, 2023, we estimate that we have used approximately $81 million of the proceeds from our IPO for general corporate purposes, including to fund the development of TYRA-300, TYRA-200 and our other development programs. There has been no material change in the planned use of proceeds from that described in the final prospectus filed with the SEC pursuant to Rule 424(b)(4) under the Securities Act on September 15, 2021.</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Issuer Repurchases of Equity Securities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ind w:left="0" w:right="0" w:hanging="0"/>
        <w:jc w:val="left"/>
        <w:rPr>
          <w:rFonts w:ascii="Times New Roman;serif" w:hAnsi="Times New Roman;serif"/>
          <w:b/>
          <w:sz w:val="20"/>
        </w:rPr>
      </w:pPr>
      <w:bookmarkStart w:id="15" w:name="ii_item3"/>
      <w:bookmarkEnd w:id="15"/>
      <w:r>
        <w:rPr>
          <w:rFonts w:ascii="Times New Roman;serif" w:hAnsi="Times New Roman;serif"/>
          <w:b/>
          <w:sz w:val="20"/>
        </w:rPr>
        <w:t>Item 3. Defaults Upon Senior Securities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ind w:left="0" w:right="0" w:hanging="0"/>
        <w:jc w:val="left"/>
        <w:rPr>
          <w:rFonts w:ascii="Times New Roman;serif" w:hAnsi="Times New Roman;serif"/>
          <w:b/>
          <w:sz w:val="20"/>
        </w:rPr>
      </w:pPr>
      <w:bookmarkStart w:id="16" w:name="ii_item4"/>
      <w:bookmarkEnd w:id="16"/>
      <w:r>
        <w:rPr>
          <w:rFonts w:ascii="Times New Roman;serif" w:hAnsi="Times New Roman;serif"/>
          <w:b/>
          <w:sz w:val="20"/>
        </w:rPr>
        <w:t>Item 4. Mine Safety Disclosures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ind w:left="0" w:right="0" w:hanging="0"/>
        <w:jc w:val="left"/>
        <w:rPr>
          <w:rFonts w:ascii="Times New Roman;serif" w:hAnsi="Times New Roman;serif"/>
          <w:b/>
          <w:sz w:val="20"/>
        </w:rPr>
      </w:pPr>
      <w:bookmarkStart w:id="17" w:name="ii_item5"/>
      <w:bookmarkEnd w:id="17"/>
      <w:r>
        <w:rPr>
          <w:rFonts w:ascii="Times New Roman;serif" w:hAnsi="Times New Roman;serif"/>
          <w:b/>
          <w:sz w:val="20"/>
        </w:rPr>
        <w:t>Item 5. Other Information</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20"/>
        </w:rPr>
      </w:pPr>
      <w:bookmarkStart w:id="18" w:name="ii_item6"/>
      <w:bookmarkEnd w:id="18"/>
      <w:r>
        <w:rPr>
          <w:rFonts w:ascii="Times New Roman;serif" w:hAnsi="Times New Roman;serif"/>
          <w:b/>
          <w:sz w:val="20"/>
        </w:rPr>
        <w:t>Item 6. Exhibits</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050"/>
        <w:gridCol w:w="109"/>
        <w:gridCol w:w="5533"/>
        <w:gridCol w:w="109"/>
        <w:gridCol w:w="587"/>
        <w:gridCol w:w="109"/>
        <w:gridCol w:w="588"/>
        <w:gridCol w:w="109"/>
        <w:gridCol w:w="798"/>
        <w:gridCol w:w="109"/>
        <w:gridCol w:w="1104"/>
      </w:tblGrid>
      <w:tr>
        <w:trPr/>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105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 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 Description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91" w:type="dxa"/>
            <w:gridSpan w:val="5"/>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Incorporated by Reference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Filed Herewith</w:t>
            </w:r>
          </w:p>
        </w:tc>
      </w:tr>
      <w:tr>
        <w:trPr/>
        <w:tc>
          <w:tcPr>
            <w:tcW w:w="10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Form</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Date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9/17/21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Specimen stock certificate evidencing the shares of common stock</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8/20/21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Amended and Restated Investors’ Rights Agreement, dated March 5, 2021, by and among the Registrant and certain of its stockholders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9/9/21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ra-ex31_1.htm">
              <w:r>
                <w:rPr>
                  <w:rStyle w:val="InternetLink"/>
                  <w:rFonts w:ascii="Times New Roman;serif" w:hAnsi="Times New Roman;serif"/>
                  <w:b w:val="false"/>
                  <w:sz w:val="20"/>
                  <w:u w:val="single"/>
                </w:rPr>
                <w:t>Certification of Chief Executive Officer, as required by Rule 13a-14(a) or Rule 15d-14(a), as adopted pursuant to Section 302 of the Sarbanes-Oxley Act of 2002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ra-ex31_2.htm">
              <w:r>
                <w:rPr>
                  <w:rStyle w:val="InternetLink"/>
                  <w:rFonts w:ascii="Times New Roman;serif" w:hAnsi="Times New Roman;serif"/>
                  <w:b w:val="false"/>
                  <w:sz w:val="20"/>
                  <w:u w:val="single"/>
                </w:rPr>
                <w:t>Certification of Chief Financial Officer, as required by Rule 13a-14(a) or Rule 15d-14(a), as adopted pursuant to Section 302 of the Sarbanes-Oxley Act of 2002</w:t>
              </w:r>
            </w:hyperlink>
            <w:hyperlink w:anchor="tyra-ex31_2.htm">
              <w:r>
                <w:rPr>
                  <w:rStyle w:val="InternetLink"/>
                  <w:rFonts w:ascii="Times New Roman" w:hAnsi="Times New Roman"/>
                  <w:sz w:val="20"/>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32.1*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ra-ex32_1.htm">
              <w:r>
                <w:rPr>
                  <w:rStyle w:val="InternetLink"/>
                  <w:rFonts w:ascii="Times New Roman;serif" w:hAnsi="Times New Roman;serif"/>
                  <w:b w:val="false"/>
                  <w:sz w:val="20"/>
                  <w:u w:val="single"/>
                </w:rPr>
                <w:t>Certification of Chief Executive Officer pursuant to Section 906 of the Sarbanes-Oxley Act of 2002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32.2*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ra-ex32_2.htm">
              <w:r>
                <w:rPr>
                  <w:rStyle w:val="InternetLink"/>
                  <w:rFonts w:ascii="Times New Roman;serif" w:hAnsi="Times New Roman;serif"/>
                  <w:b w:val="false"/>
                  <w:sz w:val="20"/>
                  <w:u w:val="single"/>
                </w:rPr>
                <w:t>Certification of Chief Financial Officer pursuant to Section 906 of the Sarbanes-Oxley Act of 2002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101.INS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101.SCH</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101.CAL</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Calculation Linkbase Document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101.DEF</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101.LAB</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Label Linkbase Document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val="false"/>
                <w:sz w:val="20"/>
              </w:rPr>
              <w:t>101.PRE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Presentation Linkbase Document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5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bidi w:val="0"/>
        <w:spacing w:before="0" w:after="0"/>
        <w:ind w:left="0" w:right="0" w:hanging="0"/>
        <w:jc w:val="left"/>
        <w:rPr>
          <w:rFonts w:ascii="Times New Roman" w:hAnsi="Times New Roman"/>
          <w:sz w:val="20"/>
        </w:rPr>
      </w:pPr>
      <w:r>
        <w:rPr>
          <w:rFonts w:ascii="Times New Roman;serif" w:hAnsi="Times New Roman;serif"/>
          <w:b w:val="false"/>
          <w:sz w:val="20"/>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bookmarkStart w:id="19" w:name="signatures"/>
      <w:bookmarkEnd w:id="19"/>
      <w:r>
        <w:rPr>
          <w:rFonts w:ascii="Times New Roman;serif" w:hAnsi="Times New Roman;serif"/>
          <w:b/>
          <w:sz w:val="20"/>
        </w:rPr>
        <w:t>SIGNATURES</w:t>
      </w:r>
    </w:p>
    <w:p>
      <w:pPr>
        <w:pStyle w:val="TextBody"/>
        <w:bidi w:val="0"/>
        <w:spacing w:before="240" w:after="0"/>
        <w:ind w:left="0" w:right="0" w:firstLine="72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6689" w:type="dxa"/>
        <w:jc w:val="left"/>
        <w:tblInd w:w="0" w:type="dxa"/>
        <w:tblLayout w:type="fixed"/>
        <w:tblCellMar>
          <w:top w:w="28" w:type="dxa"/>
          <w:left w:w="28" w:type="dxa"/>
          <w:bottom w:w="28" w:type="dxa"/>
          <w:right w:w="28" w:type="dxa"/>
        </w:tblCellMar>
      </w:tblPr>
      <w:tblGrid>
        <w:gridCol w:w="1951"/>
        <w:gridCol w:w="146"/>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59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TYRA BIOSCIENCES, INC.</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18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Todd Harris, Ph.D.</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1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Todd Harris, Ph.D.</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1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186" w:type="dxa"/>
            <w:tcBorders/>
            <w:vAlign w:val="center"/>
          </w:tcPr>
          <w:p>
            <w:pPr>
              <w:pStyle w:val="TableContents"/>
              <w:bidi w:val="0"/>
              <w:spacing w:before="0" w:after="0"/>
              <w:ind w:left="0" w:right="0" w:hanging="0"/>
              <w:jc w:val="center"/>
              <w:rPr/>
            </w:pPr>
            <w:r>
              <w:rPr/>
              <w:t> </w:t>
            </w:r>
            <w:r>
              <w:rPr>
                <w:rFonts w:ascii="Times New Roman;serif" w:hAnsi="Times New Roman;serif"/>
                <w:b/>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18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Alan Fuhrman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1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Alan Fuhrman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1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1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0" w:name="tyra-ex31_1.htm"/>
      <w:bookmarkStart w:id="21" w:name="kstyraex31_1"/>
      <w:bookmarkEnd w:id="20"/>
      <w:bookmarkEnd w:id="21"/>
      <w:r>
        <w:rPr/>
        <w:t> </w:t>
      </w:r>
      <w:r>
        <w:br w:type="page"/>
      </w:r>
    </w:p>
    <w:p>
      <w:pPr>
        <w:pStyle w:val="TextBody"/>
        <w:bidi w:val="0"/>
        <w:spacing w:before="0" w:after="0"/>
        <w:ind w:left="0" w:right="0" w:hanging="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ind w:left="0" w:right="0" w:hanging="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I, Todd Harris, certify that: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Tyra Biosciences, Inc.;</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pBdr/>
        <w:bidi w:val="0"/>
        <w:spacing w:before="0" w:after="0"/>
        <w:ind w:left="0" w:right="0" w:hanging="49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09"/>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Todd Harris, Ph.D.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Todd Harris, Ph.D.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tc>
      </w:tr>
    </w:tbl>
    <w:p>
      <w:pPr>
        <w:pStyle w:val="TextBody"/>
        <w:bidi w:val="0"/>
        <w:spacing w:before="24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2" w:name="tyra-ex31_2.htm"/>
      <w:bookmarkStart w:id="23" w:name="kstyraex31_2"/>
      <w:bookmarkEnd w:id="22"/>
      <w:bookmarkEnd w:id="23"/>
      <w:r>
        <w:rPr/>
        <w:t> </w:t>
      </w:r>
      <w:r>
        <w:br w:type="page"/>
      </w:r>
    </w:p>
    <w:p>
      <w:pPr>
        <w:pStyle w:val="TextBody"/>
        <w:bidi w:val="0"/>
        <w:spacing w:before="0" w:after="0"/>
        <w:ind w:left="0" w:right="0" w:hanging="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ind w:left="0" w:right="0" w:hanging="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I, Alan Fuhrman, certify that: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Tyra Biosciences, Inc.;</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pBdr/>
        <w:bidi w:val="0"/>
        <w:spacing w:before="0" w:after="0"/>
        <w:ind w:left="0" w:right="0" w:hanging="49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Alan Fuhrman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Alan Fuhrman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4" w:name="tyra-ex32_1.htm"/>
      <w:bookmarkStart w:id="25" w:name="kstyraex32_1"/>
      <w:bookmarkEnd w:id="24"/>
      <w:bookmarkEnd w:id="25"/>
      <w:r>
        <w:rPr/>
        <w:t> </w:t>
      </w:r>
      <w:r>
        <w:br w:type="page"/>
      </w:r>
    </w:p>
    <w:p>
      <w:pPr>
        <w:pStyle w:val="TextBody"/>
        <w:bidi w:val="0"/>
        <w:spacing w:before="0" w:after="0"/>
        <w:ind w:left="0" w:right="0" w:hanging="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ind w:left="0" w:right="0" w:hanging="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ind w:left="0" w:right="0" w:firstLine="490"/>
        <w:jc w:val="left"/>
        <w:rPr>
          <w:rFonts w:ascii="Times New Roman;serif" w:hAnsi="Times New Roman;serif"/>
          <w:b w:val="false"/>
          <w:sz w:val="20"/>
        </w:rPr>
      </w:pPr>
      <w:r>
        <w:rPr>
          <w:rFonts w:ascii="Times New Roman;serif" w:hAnsi="Times New Roman;serif"/>
          <w:b w:val="false"/>
          <w:sz w:val="20"/>
        </w:rPr>
        <w:t>In connection with the Quarterly Report of Tyra Biosciences, Inc.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pBdr/>
        <w:bidi w:val="0"/>
        <w:spacing w:before="0" w:after="0"/>
        <w:ind w:left="0" w:right="0" w:hanging="49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09"/>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Todd Harris, Ph.D.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Todd Harris, Ph.D.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6" w:name="tyra-ex32_2.htm"/>
      <w:bookmarkStart w:id="27" w:name="kstyraex32_2"/>
      <w:bookmarkEnd w:id="26"/>
      <w:bookmarkEnd w:id="27"/>
      <w:r>
        <w:rPr/>
        <w:t> </w:t>
      </w:r>
      <w:r>
        <w:br w:type="page"/>
      </w:r>
    </w:p>
    <w:p>
      <w:pPr>
        <w:pStyle w:val="TextBody"/>
        <w:bidi w:val="0"/>
        <w:spacing w:before="0" w:after="0"/>
        <w:ind w:left="0" w:right="0" w:hanging="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ind w:left="0" w:right="0" w:hanging="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ind w:left="0" w:right="0" w:firstLine="490"/>
        <w:jc w:val="left"/>
        <w:rPr>
          <w:rFonts w:ascii="Times New Roman;serif" w:hAnsi="Times New Roman;serif"/>
          <w:b w:val="false"/>
          <w:sz w:val="20"/>
        </w:rPr>
      </w:pPr>
      <w:r>
        <w:rPr>
          <w:rFonts w:ascii="Times New Roman;serif" w:hAnsi="Times New Roman;serif"/>
          <w:b w:val="false"/>
          <w:sz w:val="20"/>
        </w:rPr>
        <w:t>In connection with the Quarterly Report of Tyra Biosciences, Inc.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ind w:left="489" w:right="0" w:hanging="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pBdr/>
        <w:bidi w:val="0"/>
        <w:spacing w:before="0" w:after="0"/>
        <w:ind w:left="0" w:right="0" w:hanging="49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Alan Fuhrman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Alan Fuhrman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3127/000119312521276124/d220261dex31.htm" TargetMode="External"/><Relationship Id="rId3" Type="http://schemas.openxmlformats.org/officeDocument/2006/relationships/hyperlink" Target="https://www.sec.gov/Archives/edgar/data/1863127/000119312521276124/d220261dex32.htm" TargetMode="External"/><Relationship Id="rId4" Type="http://schemas.openxmlformats.org/officeDocument/2006/relationships/hyperlink" Target="https://www.sec.gov/Archives/edgar/data/1863127/000119312521252729/d189651dex41.htm" TargetMode="External"/><Relationship Id="rId5" Type="http://schemas.openxmlformats.org/officeDocument/2006/relationships/hyperlink" Target="https://www.sec.gov/Archives/edgar/data/1863127/000119312521268272/d189651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12962</Words>
  <Characters>71389</Characters>
  <CharactersWithSpaces>84905</CharactersWithSpaces>
  <Paragraphs>3499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