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tyra-20250331.htm"/>
      <w:bookmarkStart w:id="1" w:name="kstyra20250331"/>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transition period from _________ to _________.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001-40800</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TYRA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83-1476348</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2656 State Street</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Carlsbad,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92008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(619) 728-4760</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60" w:type="dxa"/>
        <w:jc w:val="left"/>
        <w:tblInd w:w="0" w:type="dxa"/>
        <w:tblLayout w:type="fixed"/>
        <w:tblCellMar>
          <w:top w:w="28" w:type="dxa"/>
          <w:left w:w="28" w:type="dxa"/>
          <w:bottom w:w="28" w:type="dxa"/>
          <w:right w:w="28" w:type="dxa"/>
        </w:tblCellMar>
      </w:tblPr>
      <w:tblGrid>
        <w:gridCol w:w="3526"/>
        <w:gridCol w:w="146"/>
        <w:gridCol w:w="826"/>
        <w:gridCol w:w="146"/>
        <w:gridCol w:w="3316"/>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TYRA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05" w:type="dxa"/>
        <w:jc w:val="left"/>
        <w:tblInd w:w="0" w:type="dxa"/>
        <w:tblLayout w:type="fixed"/>
        <w:tblCellMar>
          <w:top w:w="28" w:type="dxa"/>
          <w:left w:w="28" w:type="dxa"/>
          <w:bottom w:w="28" w:type="dxa"/>
          <w:right w:w="28" w:type="dxa"/>
        </w:tblCellMar>
      </w:tblPr>
      <w:tblGrid>
        <w:gridCol w:w="205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May 5, 2025, the registrant had 53,177,990</w:t>
      </w:r>
      <w:r>
        <w:rPr>
          <w:rFonts w:ascii="Times New Roman" w:hAnsi="Times New Roman"/>
          <w:color w:val="000000"/>
          <w:sz w:val="20"/>
        </w:rPr>
        <w:t xml:space="preserve"> </w:t>
      </w:r>
      <w:r>
        <w:rPr>
          <w:rFonts w:ascii="Times New Roman" w:hAnsi="Times New Roman"/>
          <w:color w:val="000000"/>
          <w:sz w:val="18"/>
        </w:rPr>
        <w:t>shares of common stock, $0.0001</w:t>
      </w:r>
      <w:r>
        <w:rPr>
          <w:rFonts w:ascii="Times New Roman" w:hAnsi="Times New Roman"/>
          <w:color w:val="000000"/>
          <w:sz w:val="20"/>
        </w:rPr>
        <w:t xml:space="preserve"> </w:t>
      </w:r>
      <w:r>
        <w:rPr>
          <w:rFonts w:ascii="Times New Roman" w:hAnsi="Times New Roman"/>
          <w:color w:val="000000"/>
          <w:sz w:val="18"/>
        </w:rPr>
        <w:t>par value per share, outstanding.</w:t>
      </w:r>
    </w:p>
    <w:p>
      <w:pPr>
        <w:pStyle w:val="TextBody"/>
        <w:pBdr>
          <w:bottom w:val="double" w:sz="6" w:space="1" w:color="000000"/>
        </w:pBdr>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60" w:type="dxa"/>
        <w:jc w:val="left"/>
        <w:tblInd w:w="0" w:type="dxa"/>
        <w:tblLayout w:type="fixed"/>
        <w:tblCellMar>
          <w:top w:w="28" w:type="dxa"/>
          <w:left w:w="28" w:type="dxa"/>
          <w:bottom w:w="28" w:type="dxa"/>
          <w:right w:w="28" w:type="dxa"/>
        </w:tblCellMar>
      </w:tblPr>
      <w:tblGrid>
        <w:gridCol w:w="886"/>
        <w:gridCol w:w="7366"/>
        <w:gridCol w:w="70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0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Condensed Financial Statements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Balance Sheets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_loss">
              <w:r>
                <w:rPr>
                  <w:rStyle w:val="InternetLink"/>
                  <w:rFonts w:ascii="Times New Roman" w:hAnsi="Times New Roman"/>
                  <w:color w:val="0000FF"/>
                  <w:sz w:val="20"/>
                  <w:u w:val="single"/>
                </w:rPr>
                <w:t>Condensed Statements of Operations and Comprehensive Loss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equity">
              <w:r>
                <w:rPr>
                  <w:rStyle w:val="InternetLink"/>
                  <w:rFonts w:ascii="Times New Roman" w:hAnsi="Times New Roman"/>
                  <w:color w:val="0000FF"/>
                  <w:sz w:val="20"/>
                  <w:u w:val="single"/>
                </w:rPr>
                <w:t>Condensed Statements of Stockholders' Equity</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cash_flows">
              <w:r>
                <w:rPr>
                  <w:rStyle w:val="InternetLink"/>
                  <w:rFonts w:ascii="Times New Roman" w:hAnsi="Times New Roman"/>
                  <w:color w:val="0000FF"/>
                  <w:sz w:val="20"/>
                  <w:u w:val="single"/>
                </w:rPr>
                <w:t>Condensed Statements of Cash Flows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consolidated_financial_statements">
              <w:r>
                <w:rPr>
                  <w:rStyle w:val="InternetLink"/>
                  <w:rFonts w:ascii="Times New Roman" w:hAnsi="Times New Roman"/>
                  <w:color w:val="0000FF"/>
                  <w:sz w:val="20"/>
                  <w:u w:val="single"/>
                </w:rPr>
                <w:t>Notes to the Condensed Financial Statements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bl>
    <w:p>
      <w:pPr>
        <w:pStyle w:val="TextBody"/>
        <w:bidi w:val="0"/>
        <w:spacing w:before="24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2" w:name="i_item1"/>
      <w:bookmarkEnd w:id="2"/>
      <w:r>
        <w:rPr>
          <w:rFonts w:ascii="Times New Roman" w:hAnsi="Times New Roman"/>
          <w:b/>
          <w:color w:val="000000"/>
          <w:sz w:val="20"/>
        </w:rPr>
        <w:t>Item 1. Condensed Financial Statements</w:t>
      </w:r>
    </w:p>
    <w:p>
      <w:pPr>
        <w:pStyle w:val="TextBody"/>
        <w:bidi w:val="0"/>
        <w:spacing w:before="240" w:after="283"/>
        <w:jc w:val="center"/>
        <w:rPr>
          <w:rFonts w:ascii="Times New Roman" w:hAnsi="Times New Roman"/>
          <w:b/>
          <w:color w:val="000000"/>
          <w:sz w:val="20"/>
        </w:rPr>
      </w:pPr>
      <w:bookmarkStart w:id="3" w:name="balance_sheet"/>
      <w:bookmarkEnd w:id="3"/>
      <w:r>
        <w:rPr>
          <w:rFonts w:ascii="Times New Roman" w:hAnsi="Times New Roman"/>
          <w:b/>
          <w:color w:val="000000"/>
          <w:sz w:val="20"/>
        </w:rPr>
        <w:t>Tyra Biosciences, Inc.</w:t>
        <w:br/>
        <w:t>Condensed Balance Sheets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except share and per share data)</w:t>
      </w:r>
    </w:p>
    <w:tbl>
      <w:tblPr>
        <w:tblW w:w="8547" w:type="dxa"/>
        <w:jc w:val="left"/>
        <w:tblInd w:w="0" w:type="dxa"/>
        <w:tblLayout w:type="fixed"/>
        <w:tblCellMar>
          <w:top w:w="28" w:type="dxa"/>
          <w:left w:w="28" w:type="dxa"/>
          <w:bottom w:w="28" w:type="dxa"/>
          <w:right w:w="28" w:type="dxa"/>
        </w:tblCellMar>
      </w:tblPr>
      <w:tblGrid>
        <w:gridCol w:w="5551"/>
        <w:gridCol w:w="146"/>
        <w:gridCol w:w="211"/>
        <w:gridCol w:w="841"/>
        <w:gridCol w:w="166"/>
        <w:gridCol w:w="146"/>
        <w:gridCol w:w="219"/>
        <w:gridCol w:w="876"/>
        <w:gridCol w:w="391"/>
      </w:tblGrid>
      <w:tr>
        <w:trPr/>
        <w:tc>
          <w:tcPr>
            <w:tcW w:w="5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Preferred stock, $0.0001 par value; 50,000,000 shares </w:t>
              <w:br/>
              <w:t xml:space="preserve">   authorized at March 31, 2025 and December 31, 2024; </w:t>
              <w:br/>
              <w:t xml:space="preserve">   no shares issued and outstanding at March 31, 2025 and </w:t>
              <w:br/>
              <w: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$0.0001 par value; 500,000,000 shares authorized </w:t>
              <w:br/>
              <w:t xml:space="preserve">   at March 31, 2025 and December 31, 2024; 53,089,957 and </w:t>
              <w:br/>
              <w:t xml:space="preserve">   50,754,262 shares issued at March 31, 2025 and </w:t>
              <w:br/>
              <w:t xml:space="preserve">   December 31, 2024, respectively, and 53,089,957 and </w:t>
              <w:br/>
              <w:t xml:space="preserve">   50,749,945 shares outstanding at March 31, 2025 and </w:t>
              <w:br/>
              <w:t>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comp_loss"/>
      <w:bookmarkEnd w:id="4"/>
      <w:r>
        <w:rPr>
          <w:rFonts w:ascii="Times New Roman" w:hAnsi="Times New Roman"/>
          <w:b/>
          <w:color w:val="000000"/>
          <w:sz w:val="20"/>
        </w:rPr>
        <w:t>Tyra Biosciences, Inc.</w:t>
      </w:r>
      <w:r>
        <w:rPr>
          <w:rFonts w:ascii="Times New Roman" w:hAnsi="Times New Roman"/>
          <w:color w:val="000000"/>
          <w:sz w:val="20"/>
        </w:rPr>
        <w:br/>
      </w:r>
      <w:r>
        <w:rPr>
          <w:rFonts w:ascii="Times New Roman" w:hAnsi="Times New Roman"/>
          <w:b/>
          <w:color w:val="000000"/>
          <w:sz w:val="20"/>
        </w:rPr>
        <w:t>Condensed Statements of Operations and Comprehensive Loss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(unaudited)</w:t>
        <w:br/>
        <w:t>(in thousands, except share and per share data)</w:t>
      </w:r>
    </w:p>
    <w:tbl>
      <w:tblPr>
        <w:tblW w:w="7574" w:type="dxa"/>
        <w:jc w:val="left"/>
        <w:tblInd w:w="0" w:type="dxa"/>
        <w:tblLayout w:type="fixed"/>
        <w:tblCellMar>
          <w:top w:w="28" w:type="dxa"/>
          <w:left w:w="28" w:type="dxa"/>
          <w:bottom w:w="28" w:type="dxa"/>
          <w:right w:w="28" w:type="dxa"/>
        </w:tblCellMar>
      </w:tblPr>
      <w:tblGrid>
        <w:gridCol w:w="4231"/>
        <w:gridCol w:w="146"/>
        <w:gridCol w:w="211"/>
        <w:gridCol w:w="1036"/>
        <w:gridCol w:w="166"/>
        <w:gridCol w:w="146"/>
        <w:gridCol w:w="211"/>
        <w:gridCol w:w="1036"/>
        <w:gridCol w:w="3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on marketable securities </w:t>
              <w:br/>
              <w:t>   available-for-sale,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used to compute net loss </w:t>
              <w:br/>
              <w:t>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59,336,550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52,228,934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Tyra Biosciences,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statement_equity"/>
      <w:bookmarkEnd w:id="5"/>
      <w:r>
        <w:rPr>
          <w:rFonts w:ascii="Times New Roman" w:hAnsi="Times New Roman"/>
          <w:b/>
          <w:color w:val="000000"/>
          <w:sz w:val="20"/>
        </w:rPr>
        <w:t>Condensed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amounts)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35"/>
        <w:gridCol w:w="146"/>
        <w:gridCol w:w="146"/>
        <w:gridCol w:w="1036"/>
        <w:gridCol w:w="146"/>
        <w:gridCol w:w="146"/>
        <w:gridCol w:w="261"/>
        <w:gridCol w:w="430"/>
        <w:gridCol w:w="146"/>
        <w:gridCol w:w="146"/>
        <w:gridCol w:w="234"/>
        <w:gridCol w:w="869"/>
        <w:gridCol w:w="146"/>
        <w:gridCol w:w="146"/>
        <w:gridCol w:w="452"/>
        <w:gridCol w:w="1034"/>
        <w:gridCol w:w="166"/>
        <w:gridCol w:w="146"/>
        <w:gridCol w:w="211"/>
        <w:gridCol w:w="841"/>
        <w:gridCol w:w="166"/>
        <w:gridCol w:w="146"/>
        <w:gridCol w:w="233"/>
        <w:gridCol w:w="863"/>
        <w:gridCol w:w="214"/>
      </w:tblGrid>
      <w:tr>
        <w:trPr/>
        <w:tc>
          <w:tcPr>
            <w:tcW w:w="1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43,024,634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204,262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under </w:t>
              <w:br/>
              <w:t xml:space="preserve">   Private Placement, net of </w:t>
              <w:br/>
              <w:t>   issuance costs of $0.2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9,286,023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120,558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pre-funded warrants, net </w:t>
              <w:br/>
              <w:t>   of issuance costs of $0.2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79,022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w:t>
              <w:br/>
              <w:t>   under benefit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shares of common</w:t>
              <w:br/>
              <w:t>   stock subject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on marketable </w:t>
              <w:br/>
              <w:t>   securities available-for-sale,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52,474,533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389,879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67"/>
        <w:gridCol w:w="146"/>
        <w:gridCol w:w="146"/>
        <w:gridCol w:w="1036"/>
        <w:gridCol w:w="146"/>
        <w:gridCol w:w="146"/>
        <w:gridCol w:w="261"/>
        <w:gridCol w:w="430"/>
        <w:gridCol w:w="146"/>
        <w:gridCol w:w="146"/>
        <w:gridCol w:w="236"/>
        <w:gridCol w:w="874"/>
        <w:gridCol w:w="146"/>
        <w:gridCol w:w="146"/>
        <w:gridCol w:w="482"/>
        <w:gridCol w:w="965"/>
        <w:gridCol w:w="166"/>
        <w:gridCol w:w="146"/>
        <w:gridCol w:w="211"/>
        <w:gridCol w:w="841"/>
        <w:gridCol w:w="166"/>
        <w:gridCol w:w="146"/>
        <w:gridCol w:w="233"/>
        <w:gridCol w:w="863"/>
        <w:gridCol w:w="214"/>
      </w:tblGrid>
      <w:tr>
        <w:trPr/>
        <w:tc>
          <w:tcPr>
            <w:tcW w:w="1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50,749,945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343,151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pursuant to </w:t>
              <w:br/>
              <w:t>   pre-funded warrant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w:t>
              <w:br/>
              <w:t>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shares of common</w:t>
              <w:br/>
              <w:t>   stock subject to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on marketable </w:t>
              <w:br/>
              <w:t>   securities available-for-sale,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53,089,957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602,299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323,534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Tyra Biosciences, Inc.</w:t>
      </w:r>
    </w:p>
    <w:p>
      <w:pPr>
        <w:pStyle w:val="TextBody"/>
        <w:bidi w:val="0"/>
        <w:jc w:val="center"/>
        <w:rPr>
          <w:rFonts w:ascii="Times New Roman" w:hAnsi="Times New Roman"/>
          <w:sz w:val="20"/>
        </w:rPr>
      </w:pPr>
      <w:bookmarkStart w:id="6" w:name="statement_cash_flows"/>
      <w:bookmarkEnd w:id="6"/>
      <w:r>
        <w:rPr>
          <w:rFonts w:ascii="Times New Roman" w:hAnsi="Times New Roman"/>
          <w:b/>
          <w:color w:val="000000"/>
          <w:sz w:val="20"/>
        </w:rPr>
        <w:t>Condensed Statements</w:t>
      </w:r>
      <w:r>
        <w:rPr>
          <w:rFonts w:ascii="Times New Roman" w:hAnsi="Times New Roman"/>
          <w:color w:val="000000"/>
          <w:sz w:val="20"/>
        </w:rPr>
        <w:t xml:space="preserve"> </w:t>
      </w:r>
      <w:r>
        <w:rPr>
          <w:rFonts w:ascii="Times New Roman" w:hAnsi="Times New Roman"/>
          <w:b/>
          <w:color w:val="000000"/>
          <w:sz w:val="20"/>
        </w:rPr>
        <w:t>of Cash Flows</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52"/>
        <w:gridCol w:w="146"/>
        <w:gridCol w:w="211"/>
        <w:gridCol w:w="781"/>
        <w:gridCol w:w="166"/>
        <w:gridCol w:w="146"/>
        <w:gridCol w:w="211"/>
        <w:gridCol w:w="781"/>
        <w:gridCol w:w="611"/>
      </w:tblGrid>
      <w:tr>
        <w:trPr/>
        <w:tc>
          <w:tcPr>
            <w:tcW w:w="7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Right-of-use assets and lease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18,073</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issuances of common stock under benefit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and pre-funded warrants from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issuance costs for common stock and pre-funded warrants from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increase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196,360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255,366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Reconciliation of cash, cash equivalents and restricted cash to the </w:t>
              <w:br/>
              <w:t>   balance sheet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255,366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property and equipment included in accounts payable and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Vesting of options early exercised subject to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Issuance costs for common stock and pre-funded warrants from Private Placement included in accounts payable and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Tyra Biosciences, Inc.</w:t>
      </w:r>
    </w:p>
    <w:p>
      <w:pPr>
        <w:pStyle w:val="TextBody"/>
        <w:bidi w:val="0"/>
        <w:jc w:val="center"/>
        <w:rPr>
          <w:rFonts w:ascii="Times New Roman" w:hAnsi="Times New Roman"/>
          <w:b/>
          <w:color w:val="000000"/>
          <w:sz w:val="20"/>
        </w:rPr>
      </w:pPr>
      <w:bookmarkStart w:id="7" w:name="notes_consolidated_financial_statements"/>
      <w:bookmarkEnd w:id="7"/>
      <w:r>
        <w:rPr>
          <w:rFonts w:ascii="Times New Roman" w:hAnsi="Times New Roman"/>
          <w:b/>
          <w:color w:val="000000"/>
          <w:sz w:val="20"/>
        </w:rPr>
        <w:t>Notes to the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 and Summary of Significant Accounting Policies</w:t>
      </w:r>
    </w:p>
    <w:p>
      <w:pPr>
        <w:pStyle w:val="TextBody"/>
        <w:bidi w:val="0"/>
        <w:spacing w:before="240" w:after="283"/>
        <w:jc w:val="left"/>
        <w:rPr>
          <w:rFonts w:ascii="Times New Roman" w:hAnsi="Times New Roman"/>
          <w:sz w:val="20"/>
        </w:rPr>
      </w:pPr>
      <w:r>
        <w:rPr>
          <w:rFonts w:ascii="Times New Roman" w:hAnsi="Times New Roman"/>
          <w:b/>
          <w:i/>
          <w:color w:val="000000"/>
          <w:sz w:val="20"/>
        </w:rPr>
        <w:t>Organization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Tyra Biosciences, Inc. (the Company) was incorporated in the state of Delaware on August 2, 2018. The Company is a clinical-stage biotechnology company focused on developing next-generation precision medicines that target large opportunities in Fibroblast Growth Factor Receptor (FGFR) biology. The Company’s in-house precision medicine platform, SNÅP, enables rapid and precise drug design through iterative molecular SNÅPshots that help predict genetic alterations most likely to cause acquired resistance to existing therapies. The Company’s initial focus is on applying its accelerated small molecule drug discovery engine to develop therapies in targeted oncology and genetically defined conditions.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have been prepared in accordance with generally accepted accounting principles in the United States (GAAP) for interim financial information and pursuant to the instructions of the Securities and Exchange Commission (SEC) on Form 10-Q and Rule 10-01 of Regulation S-X. Accordingly, they do not include all of the information and disclosures required by GAAP for complete financial statements. Any reference in these notes to applicable guidance is meant to refer to GAAP as found in the Accounting Standards Codification (ASC) and Accounting Standards Updates (ASU) promulgated by the Financial Accounting Standards Board (FASB). The unaudited condensed financial statements include only normal and recurring adjustments that the Company believes are necessary to fairly state the Company’s financial position and the results of its operations and cash flows. The results for the three months ended March 31, 2025 and 2024 are not necessarily indicative of the results expected for the full fiscal year or any subsequent interim period. The condensed balance sheet at March 31, 2025 has been derived from the financial statements at that date but does not include all disclosures required by GAAP for complete financial statements. Because all of the disclosures required by GAAP for complete financial statements are not included herein, these unaudited condensed financial statements and the notes accompanying them should be read in conjunction with the Company’s Annual Report on Form 10-K for the year ended December 31, 2024. </w:t>
      </w:r>
    </w:p>
    <w:p>
      <w:pPr>
        <w:pStyle w:val="TextBody"/>
        <w:bidi w:val="0"/>
        <w:spacing w:before="240" w:after="283"/>
        <w:jc w:val="left"/>
        <w:rPr>
          <w:rFonts w:ascii="Times New Roman" w:hAnsi="Times New Roman"/>
          <w:sz w:val="20"/>
        </w:rPr>
      </w:pPr>
      <w:r>
        <w:rPr>
          <w:rFonts w:ascii="Times New Roman" w:hAnsi="Times New Roman"/>
          <w:b/>
          <w:color w:val="000000"/>
          <w:sz w:val="20"/>
        </w:rPr>
        <w:t>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2025, there have been no changes to the Company's significant accounting policies as described in the Company’s Annual Report on Form 10-K for the year ended December 31, 2024.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measures cash equivalents and available-for-sale debt securities at fair value. Fair value is defined as an exit price, representing the amount that would be received to sell an asset or paid to transfer a liability in an orderly transaction between market participants. Therefore, fair value is a market-based measurement that is determined based on assumptions that market participants would use in pricing an asset or liability. Fair value is affected by a number of factors, including the type of asset or liability, the characteristics specific to the asset or liability and the state of the marketplace, including the existence and transparency of transactions between market participants. As a basis for considering such assumptions, the accounting guidance establishes a three-tier fair value hierarchy, which prioritizes the inputs used in measuring fair value as follows:</w:t>
      </w:r>
    </w:p>
    <w:p>
      <w:pPr>
        <w:pStyle w:val="TextBody"/>
        <w:bidi w:val="0"/>
        <w:spacing w:before="240" w:after="283"/>
        <w:jc w:val="left"/>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 xml:space="preserve">—Unadjusted quoted prices in active markets that are accessible at the measurement date for identical, unrestricted assets or liabilities. </w:t>
      </w:r>
    </w:p>
    <w:p>
      <w:pPr>
        <w:pStyle w:val="TextBody"/>
        <w:bidi w:val="0"/>
        <w:spacing w:before="240" w:after="283"/>
        <w:jc w:val="left"/>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—Quoted prices for similar assets and liabilities in active markets, quoted prices in markets that are not active, or inputs that are observable, either directly or indirectly, for substantially the full term of the asset or liability. </w:t>
      </w:r>
    </w:p>
    <w:p>
      <w:pPr>
        <w:pStyle w:val="TextBody"/>
        <w:bidi w:val="0"/>
        <w:spacing w:before="240" w:after="283"/>
        <w:jc w:val="left"/>
        <w:rPr>
          <w:rFonts w:ascii="Times New Roman" w:hAnsi="Times New Roman"/>
          <w:sz w:val="20"/>
        </w:rPr>
      </w:pPr>
      <w:r>
        <w:rPr>
          <w:rFonts w:ascii="Times New Roman" w:hAnsi="Times New Roman"/>
          <w:b/>
          <w:color w:val="000000"/>
          <w:sz w:val="20"/>
        </w:rPr>
        <w:t>Level 3</w:t>
      </w:r>
      <w:r>
        <w:rPr>
          <w:rFonts w:ascii="Times New Roman" w:hAnsi="Times New Roman"/>
          <w:color w:val="000000"/>
          <w:sz w:val="20"/>
        </w:rPr>
        <w:t>—Prices or valuation techniques that require inputs that are both significant to the fair value measurement and unobservable (i.e. supported by little or no market activity).</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Money market funds are highly liquid investments and are classified as Level 1. The pricing information for these assets is readily available and can be independently validated as of the measurement date. Available-for-sale debt securities, including U.S. Treasury securities and U.S. Agency bonds are classified as Level 2. These securities are valued using fair value from third-party pricing services, which may use observable inputs based on real-time trade data for similar assets, broker/dealer quotes, bids and/or offers and other observable inputs. The Company validates valuations obtained from third-party pricing services by understanding the models used and obtaining market values from independent 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Marketable securities consist of debt securities of government-sponsored entities. These securities are classified as available-for sale, as the sale of such securities may be required prior to their maturity. Available-for-sale securities are recorded at fair value, with the related unrealized gains and losses included in accumulated other comprehensive income or loss and included as a separate component of stockholders' equity. The amortized cost of available-for-sale securities reflects amortization of premiums and accretion of discounts to maturity. Premiums and discounts on debt securities are amortized or accreted into interest and other income, net. The Company classifies investments in marketable debt securities as current assets, regardless of the stated maturity date, which may be beyond one year from the current balance sheet date. Short-term classification reflects management's view that the entire portfolio is available, and the Company may use the proceeds from sales of these investments to fund current operations, as necessary.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Allowance for Credit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regularly reviews its portfolio for declines in fair value. For investments in an unrealized loss position, the Company assesses whether the decline is based on credit losses or other factor. As part of this assessment, the Company considers the cause of the impairment, the creditworthiness of the security issuers, current market conditions, the number of securities in an unrealized loss position, the severity of the losses, whether it will be required or will intend to sell the investment before recovery of its amortized cost basis. If fair value decline is determined to be due to a credit-related factor, the amortized cost basis is written down to fair value through net loss. If fair value decline is not due to credit-related factors, a loss is recorded in other comprehensive income or loss. The Company recognizes an allowance for credit losses up to the amount of the unrealized loss when appropriate.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measure an allowance for credit losses for accrued interest receivables. For the purposes of identifying and measuring an impairment, accrued interest is excluded from both the fair value and amortized costs basis of the investment. Uncollectible accrued interest receivables associated with an impaired marketable security are reversed against interest income in a timely manner upon identification of the impairment.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Restricted cash is comprised of cash that is restricted as to its withdrawal or use under the terms of certain contractual agreements. Restricted cash as of March 31, 2025 and December 31, 2024 was $1.0 million, which consisted of collateral for letters of credit related to the Company’s operating leases.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Pre-funded warrants are considered outstanding for the purposes of computing basic and diluted net loss per share because shares may be issued for little or no additional consideration and are fully vested and exercisable after the original issuance date of the pre-funded warrant. The Company’s potentially dilutive securities include unvested common stock upon early exercise of stock options, outstanding stock options under the Company’s equity incentive plan, and estimated shares purchasable under the employee stock purchase plan, and have been excluded from the computation of diluted net loss per share as their inclusion would be anti-dilutive. For all periods presented, there is no difference in the number of shares used to calculate basic and diluted shares outstanding due to the Company’s net loss position.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In November 2023, the FASB issued 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xml:space="preserve">", which requires public entities to make additional disclosures, primarily related to segment expenses and other segment items. The Company adopted ASU 2023-07 for the annual period ending on December 31, 2024. ASU 2023-07 did not impact the Company’s condensed financial statements. See Note 11, </w:t>
      </w:r>
      <w:r>
        <w:rPr>
          <w:rFonts w:ascii="Times New Roman" w:hAnsi="Times New Roman"/>
          <w:i/>
          <w:color w:val="000000"/>
          <w:sz w:val="20"/>
        </w:rPr>
        <w:t>Segment Information</w:t>
      </w:r>
      <w:r>
        <w:rPr>
          <w:rFonts w:ascii="Times New Roman" w:hAnsi="Times New Roman"/>
          <w:color w:val="000000"/>
          <w:sz w:val="20"/>
        </w:rPr>
        <w:t xml:space="preserve">, for additional disclosures.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Issued Accounting Pronouncements Not Yet Adopted</w:t>
      </w:r>
    </w:p>
    <w:p>
      <w:pPr>
        <w:pStyle w:val="TextBody"/>
        <w:bidi w:val="0"/>
        <w:spacing w:before="240" w:after="283"/>
        <w:jc w:val="left"/>
        <w:rPr>
          <w:rFonts w:ascii="Times New Roman" w:hAnsi="Times New Roman"/>
          <w:sz w:val="20"/>
        </w:rPr>
      </w:pPr>
      <w:r>
        <w:rPr>
          <w:rFonts w:ascii="Times New Roman" w:hAnsi="Times New Roman"/>
          <w:color w:val="000000"/>
          <w:sz w:val="20"/>
        </w:rPr>
        <w:t>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is currently evaluating the impact of ASU 2023-09 on its financial statements and related disclosures.</w:t>
      </w:r>
    </w:p>
    <w:p>
      <w:pPr>
        <w:pStyle w:val="TextBody"/>
        <w:bidi w:val="0"/>
        <w:spacing w:before="240" w:after="283"/>
        <w:jc w:val="left"/>
        <w:rPr>
          <w:rFonts w:ascii="Times New Roman" w:hAnsi="Times New Roman"/>
          <w:sz w:val="20"/>
        </w:rPr>
      </w:pPr>
      <w:r>
        <w:rPr>
          <w:rFonts w:ascii="Times New Roman" w:hAnsi="Times New Roman"/>
          <w:color w:val="000000"/>
          <w:sz w:val="20"/>
        </w:rPr>
        <w:t>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In January 2025, the FASB issued ASU 2025-0, "Income Statement—Reporting Comprehensive Income—Expense Disaggregation Disclosures (Subtopic 220-40): Clarifying the Effective Date", to clarify the effective date of ASU 2024-03. These amendments are intended to provide more information about certain costs and expenses on an interim and annual basis. The amendments are effective for annual periods beginning after December 15, 2026 and interim periods within fiscal years beginning after December 15, 2027, with early adoption permitted. The new standards are expected to be applied prospectively, but retrospective application is permitted. The Company is currently evaluating the impact on its financial statements and related disclosures.</w:t>
      </w:r>
    </w:p>
    <w:p>
      <w:pPr>
        <w:pStyle w:val="TextBody"/>
        <w:bidi w:val="0"/>
        <w:spacing w:before="240" w:after="283"/>
        <w:jc w:val="left"/>
        <w:rPr>
          <w:rFonts w:ascii="Times New Roman" w:hAnsi="Times New Roman"/>
          <w:sz w:val="20"/>
        </w:rPr>
      </w:pPr>
      <w:r>
        <w:rPr>
          <w:rFonts w:ascii="Times New Roman" w:hAnsi="Times New Roman"/>
          <w:b/>
          <w:color w:val="000000"/>
          <w:sz w:val="20"/>
        </w:rPr>
        <w:t>2. Fair Value Measurements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show the Company’s cash, cash equivalents, marketable securities and restricted cash measured at fair value as of March 31, 2025 and December 31, 2024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79"/>
        <w:gridCol w:w="211"/>
        <w:gridCol w:w="781"/>
        <w:gridCol w:w="146"/>
        <w:gridCol w:w="538"/>
        <w:gridCol w:w="1994"/>
        <w:gridCol w:w="146"/>
        <w:gridCol w:w="429"/>
        <w:gridCol w:w="1591"/>
        <w:gridCol w:w="146"/>
        <w:gridCol w:w="737"/>
        <w:gridCol w:w="1212"/>
        <w:gridCol w:w="295"/>
      </w:tblGrid>
      <w:tr>
        <w:trPr/>
        <w:tc>
          <w:tcPr>
            <w:tcW w:w="1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9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4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7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and money market funds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7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91"/>
        <w:gridCol w:w="211"/>
        <w:gridCol w:w="781"/>
        <w:gridCol w:w="146"/>
        <w:gridCol w:w="593"/>
        <w:gridCol w:w="1902"/>
        <w:gridCol w:w="146"/>
        <w:gridCol w:w="432"/>
        <w:gridCol w:w="1602"/>
        <w:gridCol w:w="146"/>
        <w:gridCol w:w="741"/>
        <w:gridCol w:w="1219"/>
        <w:gridCol w:w="295"/>
      </w:tblGrid>
      <w:tr>
        <w:trPr/>
        <w:tc>
          <w:tcPr>
            <w:tcW w:w="1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and money market funds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marketable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amounts of the Company’s prepaid and other current assets, accounts payable, and accrued and other current liabilities approximate fair value due to their short maturities. None of the Company’s non-financial assets or liabilities are recorded at fair value on a non-recurring basis. There were no transfers between Levels 1, 2 or 3 for any of the periods presented.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tables summarize the Company's marketable securities (see below and Note 2) accounted for as available-for-sale securities (in thousands, except years):</w:t>
      </w:r>
    </w:p>
    <w:tbl>
      <w:tblPr>
        <w:tblW w:w="10205" w:type="dxa"/>
        <w:jc w:val="left"/>
        <w:tblInd w:w="0" w:type="dxa"/>
        <w:tblLayout w:type="fixed"/>
        <w:tblCellMar>
          <w:top w:w="28" w:type="dxa"/>
          <w:left w:w="28" w:type="dxa"/>
          <w:bottom w:w="28" w:type="dxa"/>
          <w:right w:w="28" w:type="dxa"/>
        </w:tblCellMar>
      </w:tblPr>
      <w:tblGrid>
        <w:gridCol w:w="2878"/>
        <w:gridCol w:w="1207"/>
        <w:gridCol w:w="254"/>
        <w:gridCol w:w="942"/>
        <w:gridCol w:w="146"/>
        <w:gridCol w:w="431"/>
        <w:gridCol w:w="865"/>
        <w:gridCol w:w="146"/>
        <w:gridCol w:w="471"/>
        <w:gridCol w:w="840"/>
        <w:gridCol w:w="166"/>
        <w:gridCol w:w="332"/>
        <w:gridCol w:w="1231"/>
        <w:gridCol w:w="296"/>
      </w:tblGrid>
      <w:tr>
        <w:trPr/>
        <w:tc>
          <w:tcPr>
            <w:tcW w:w="287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1"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Maturity </w:t>
              <w:br/>
              <w:t>(in years)</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one</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100,231</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one</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23,938</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32,209</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218,222</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78"/>
        <w:gridCol w:w="1207"/>
        <w:gridCol w:w="254"/>
        <w:gridCol w:w="942"/>
        <w:gridCol w:w="146"/>
        <w:gridCol w:w="431"/>
        <w:gridCol w:w="865"/>
        <w:gridCol w:w="146"/>
        <w:gridCol w:w="471"/>
        <w:gridCol w:w="840"/>
        <w:gridCol w:w="166"/>
        <w:gridCol w:w="332"/>
        <w:gridCol w:w="1231"/>
        <w:gridCol w:w="296"/>
      </w:tblGrid>
      <w:tr>
        <w:trPr/>
        <w:tc>
          <w:tcPr>
            <w:tcW w:w="287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1"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Maturity </w:t>
              <w:br/>
              <w:t>(in years)</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one</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78,197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one</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32,162</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249,475</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tables present fair values and gross unrealized losses for those available-for-sale securities that were in an unrealized loss position, aggregated by category and the length of time that the securities have been in a continuous loss position (in thousands):</w:t>
      </w:r>
    </w:p>
    <w:tbl>
      <w:tblPr>
        <w:tblW w:w="10205" w:type="dxa"/>
        <w:jc w:val="left"/>
        <w:tblInd w:w="0" w:type="dxa"/>
        <w:tblLayout w:type="fixed"/>
        <w:tblCellMar>
          <w:top w:w="28" w:type="dxa"/>
          <w:left w:w="28" w:type="dxa"/>
          <w:bottom w:w="28" w:type="dxa"/>
          <w:right w:w="28" w:type="dxa"/>
        </w:tblCellMar>
      </w:tblPr>
      <w:tblGrid>
        <w:gridCol w:w="2321"/>
        <w:gridCol w:w="211"/>
        <w:gridCol w:w="676"/>
        <w:gridCol w:w="146"/>
        <w:gridCol w:w="146"/>
        <w:gridCol w:w="423"/>
        <w:gridCol w:w="755"/>
        <w:gridCol w:w="166"/>
        <w:gridCol w:w="146"/>
        <w:gridCol w:w="287"/>
        <w:gridCol w:w="470"/>
        <w:gridCol w:w="157"/>
        <w:gridCol w:w="157"/>
        <w:gridCol w:w="445"/>
        <w:gridCol w:w="733"/>
        <w:gridCol w:w="146"/>
        <w:gridCol w:w="146"/>
        <w:gridCol w:w="211"/>
        <w:gridCol w:w="676"/>
        <w:gridCol w:w="146"/>
        <w:gridCol w:w="146"/>
        <w:gridCol w:w="423"/>
        <w:gridCol w:w="755"/>
        <w:gridCol w:w="317"/>
      </w:tblGrid>
      <w:tr>
        <w:trPr/>
        <w:tc>
          <w:tcPr>
            <w:tcW w:w="2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longer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21"/>
        <w:gridCol w:w="211"/>
        <w:gridCol w:w="676"/>
        <w:gridCol w:w="146"/>
        <w:gridCol w:w="146"/>
        <w:gridCol w:w="423"/>
        <w:gridCol w:w="755"/>
        <w:gridCol w:w="166"/>
        <w:gridCol w:w="146"/>
        <w:gridCol w:w="287"/>
        <w:gridCol w:w="470"/>
        <w:gridCol w:w="157"/>
        <w:gridCol w:w="157"/>
        <w:gridCol w:w="445"/>
        <w:gridCol w:w="733"/>
        <w:gridCol w:w="146"/>
        <w:gridCol w:w="146"/>
        <w:gridCol w:w="211"/>
        <w:gridCol w:w="676"/>
        <w:gridCol w:w="146"/>
        <w:gridCol w:w="146"/>
        <w:gridCol w:w="423"/>
        <w:gridCol w:w="755"/>
        <w:gridCol w:w="317"/>
      </w:tblGrid>
      <w:tr>
        <w:trPr/>
        <w:tc>
          <w:tcPr>
            <w:tcW w:w="2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longer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there were three available-for-sale securities with an estimated fair value of $16.4 million in gross unrealized loss positions for less than 12 months. As of March 31, 2025, unrealized losses on available-for-sale securities are not attributed to credit risk. The Company believes that an allowance for credit losses is unnecessary because the unrealized loss is due to market factors and interest rate fluctuations. Additionally, the Company does not intend to sell the securities nor is it more likely than not that the Company will be required to sell the securities before recovery of their amortized cost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amortized cost and fair value of marketable securities excludes $1.8 million and $2.0 million of accrued interest receivable as of March 31, 2025 and December 31, 2024, respectively. Accrued interest receivable is included in prepaid expenses and other current assets on the Company's condensed balance sheets. We have not written off any accrued interest receivables for the periods ended March 31, 2025 and December 31, 2024.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Property and Equipment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Property and equipment consisted of the following (in thousands):</w:t>
      </w:r>
    </w:p>
    <w:tbl>
      <w:tblPr>
        <w:tblW w:w="5515" w:type="dxa"/>
        <w:jc w:val="left"/>
        <w:tblInd w:w="0" w:type="dxa"/>
        <w:tblLayout w:type="fixed"/>
        <w:tblCellMar>
          <w:top w:w="28" w:type="dxa"/>
          <w:left w:w="28" w:type="dxa"/>
          <w:bottom w:w="28" w:type="dxa"/>
          <w:right w:w="28" w:type="dxa"/>
        </w:tblCellMar>
      </w:tblPr>
      <w:tblGrid>
        <w:gridCol w:w="2896"/>
        <w:gridCol w:w="146"/>
        <w:gridCol w:w="214"/>
        <w:gridCol w:w="641"/>
        <w:gridCol w:w="166"/>
        <w:gridCol w:w="146"/>
        <w:gridCol w:w="274"/>
        <w:gridCol w:w="821"/>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$0.1 million in depreciation expense for each of the three months ended March 31, 2025 and 2024.</w:t>
      </w:r>
    </w:p>
    <w:p>
      <w:pPr>
        <w:pStyle w:val="TextBody"/>
        <w:bidi w:val="0"/>
        <w:spacing w:before="240" w:after="283"/>
        <w:jc w:val="left"/>
        <w:rPr>
          <w:rFonts w:ascii="Times New Roman" w:hAnsi="Times New Roman"/>
          <w:sz w:val="20"/>
        </w:rPr>
      </w:pPr>
      <w:r>
        <w:rPr>
          <w:rFonts w:ascii="Times New Roman" w:hAnsi="Times New Roman"/>
          <w:b/>
          <w:color w:val="000000"/>
          <w:sz w:val="20"/>
        </w:rPr>
        <w:t>5. Accrued Expenses and Other Current Liabilities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tbl>
      <w:tblPr>
        <w:tblW w:w="6437" w:type="dxa"/>
        <w:jc w:val="left"/>
        <w:tblInd w:w="0" w:type="dxa"/>
        <w:tblLayout w:type="fixed"/>
        <w:tblCellMar>
          <w:top w:w="28" w:type="dxa"/>
          <w:left w:w="28" w:type="dxa"/>
          <w:bottom w:w="28" w:type="dxa"/>
          <w:right w:w="28" w:type="dxa"/>
        </w:tblCellMar>
      </w:tblPr>
      <w:tblGrid>
        <w:gridCol w:w="3826"/>
        <w:gridCol w:w="146"/>
        <w:gridCol w:w="211"/>
        <w:gridCol w:w="676"/>
        <w:gridCol w:w="146"/>
        <w:gridCol w:w="146"/>
        <w:gridCol w:w="260"/>
        <w:gridCol w:w="835"/>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other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general and administrative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Stockholders' Equity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Common stock reserved for future issuance consisted of the following:</w:t>
      </w:r>
    </w:p>
    <w:tbl>
      <w:tblPr>
        <w:tblW w:w="7239" w:type="dxa"/>
        <w:jc w:val="left"/>
        <w:tblInd w:w="0" w:type="dxa"/>
        <w:tblLayout w:type="fixed"/>
        <w:tblCellMar>
          <w:top w:w="28" w:type="dxa"/>
          <w:left w:w="28" w:type="dxa"/>
          <w:bottom w:w="28" w:type="dxa"/>
          <w:right w:w="28" w:type="dxa"/>
        </w:tblCellMar>
      </w:tblPr>
      <w:tblGrid>
        <w:gridCol w:w="4246"/>
        <w:gridCol w:w="146"/>
        <w:gridCol w:w="146"/>
        <w:gridCol w:w="1036"/>
        <w:gridCol w:w="146"/>
        <w:gridCol w:w="146"/>
        <w:gridCol w:w="146"/>
        <w:gridCol w:w="1036"/>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granted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10,462,129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the 2021</w:t>
              <w:br/>
              <w:t>   Incentive Award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3,051,588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Shares available for future issuance under the </w:t>
              <w:br/>
              <w:t>   2021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1,491,195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8,382,187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reserved for future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24,096,491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23,387,099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3, 2022, the Company entered into an ATM Sales Agreement (the 2022 Sales Agreement) with Virtu Americas LLC (the 2022 Agent), under which the Company may, from time to time, sell shares of its common stock having an aggregate offering price of up to $150.0 million, through an “at the market” offering program. The 2022 Agent will receive a commission from the Company of up to 3.0% of the gross proceeds of any shares of common stock sold under the 2022 Sales Agreement. As of March 31, 2025, no shares of common stock were issued and sold pursuant to the at-the-market offering program since inception. The Company terminated the 2022 Sales Agreement in May 2025 (see Note 12 - Subsequent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1, 2024, the Company entered into a securities purchase agreement for a private placement of 9,286,023 shares of the Company's common stock at a price of $13.01 per share (the 2024 Private Placement). The 2024 Private Placement also included pre-funded warrants (the 2024 Pre-Funded Warrants) to purchase an aggregate of 6,087,230 shares of common stock at a purchase price of $13.009 per pre-funded warrant. Each pre-funded warrant has an exercise price of $0.001 per share of common stock, is immediately exercisable on the date of issuance and will not expire. The 2024 Private Placement closed on February 6, 2024 and the Company received gross proceeds of approximately $200.0 million, before deducting offering expenses of $0.4 million. In connection with the 2024 Private Placement, the Company issued 4,780,846 shares of common stock and pre-funded warrants to purchase 2,243,737 shares of common stock to related parties, resulting in aggregate gross proceeds of approximately $91.4 million. On March 19, 2024, the Company filed a registration statement on Form S-3 with the SEC registering the resale of the shares of common stock issued, or underlying the pre-funded warrants issued, in the 2024 Private Placement. The 2024 Pre-funded Warrants did not meet the characteristics of a liability or a derivative and are classified within stockholders' equity.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18, 2024, the Company entered into an exchange agreement with Boxer Capital and RA Capital, the Company's stockholders and related parties to the Company at the time of the exchange. Pursuant to the exchange agreement (i) Boxer Capital agreed to exchange 2,000,000 shares of the Company’s common stock for one or more pre-funded warrants to acquire an aggregate of 2,000,000 shares of common stock and (ii) RA Capital agreed to exchange 1,000,000 shares of common stock for one or more pre-funded warrants to acquire an aggregate of 1,000,000 shares of common stock (each of such pre-funded warrants an Exchange Warrant and collectively the Exchange Warrants, and such exchanges of common stock for Exchange Warrants collectively the Exchange). Each Exchange Warrant has an exercise price of $0.001 per share of common stock, is immediately exercisable on the date of issuance and will not expire. No cash was exchanged related to the transaction. The Exchange closed on October 22, 2024. The Exchange Warrants did not meet the characteristics of a liability or a derivative and are classified within stockholders' equity.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2025, Boxer Capital exercised 2,000,000 of the Exchange Warrants and 237 of the 2024 Pre-Funded Warrants in cashless transactions, which resulted in an aggregate of 2,000,069 shares of common stock being issued. As of March 31, 2025, a total of 6,381,950 pre-funded warrants remained available for exercise, including 1,000,000 Exchange Warrants and 5,381,950 2024 Pre-Funded Warrants.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Equity Incentive Plans and Stock-Based Compensation</w:t>
      </w:r>
    </w:p>
    <w:p>
      <w:pPr>
        <w:pStyle w:val="TextBody"/>
        <w:bidi w:val="0"/>
        <w:spacing w:before="240" w:after="283"/>
        <w:jc w:val="left"/>
        <w:rPr>
          <w:rFonts w:ascii="Times New Roman" w:hAnsi="Times New Roman"/>
          <w:sz w:val="20"/>
        </w:rPr>
      </w:pPr>
      <w:r>
        <w:rPr>
          <w:rFonts w:ascii="Times New Roman" w:hAnsi="Times New Roman"/>
          <w:b/>
          <w:i/>
          <w:color w:val="000000"/>
          <w:sz w:val="20"/>
        </w:rPr>
        <w:t>2021 Incentive Award Plan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September 2021, the Company's Board of Directors adopted, and its stockholders approved, the 2021 Incentive Award Plan (the 2021 Plan). Upon the adoption of the 2021 Plan, the Company restricted the grant of future equity awards under the 2020 Equity Incentive Plan (the 2020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2021 Plan provides for the grants of stock options and other equity-based awards to employees, non-employee directors, and consultants of the Company. Shares that expire, terminate or are cancelled under the 2020 Plan are added back to the 2021 Plan share reserve. In addition, the number of shares of the Company’s common stock available for issuance under the 2021 Plan automatically increases on the first day of each fiscal year, beginning with the Company’s 2022 fiscal year, in an amount equal to the lesser of (1) 5% of the outstanding shares of the Company’s common stock on the last day of the immediately preceding fiscal year, or (2) such smaller amount as determined by the Company’s Board of Directors. The Company issues new shares of common stock upon exercise of options. As of March 31, 2025, 5,576,203 shares were available for future grant under the 2021 Plan.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 summary of the Company’s stock option activity for the period ended March 31, 2025 was as follows (in thousands, except share and per share data and years):</w:t>
      </w:r>
    </w:p>
    <w:tbl>
      <w:tblPr>
        <w:tblW w:w="10205" w:type="dxa"/>
        <w:jc w:val="left"/>
        <w:tblInd w:w="0" w:type="dxa"/>
        <w:tblLayout w:type="fixed"/>
        <w:tblCellMar>
          <w:top w:w="28" w:type="dxa"/>
          <w:left w:w="28" w:type="dxa"/>
          <w:bottom w:w="28" w:type="dxa"/>
          <w:right w:w="28" w:type="dxa"/>
        </w:tblCellMar>
      </w:tblPr>
      <w:tblGrid>
        <w:gridCol w:w="3717"/>
        <w:gridCol w:w="146"/>
        <w:gridCol w:w="146"/>
        <w:gridCol w:w="1036"/>
        <w:gridCol w:w="166"/>
        <w:gridCol w:w="146"/>
        <w:gridCol w:w="396"/>
        <w:gridCol w:w="1075"/>
        <w:gridCol w:w="146"/>
        <w:gridCol w:w="146"/>
        <w:gridCol w:w="423"/>
        <w:gridCol w:w="1048"/>
        <w:gridCol w:w="146"/>
        <w:gridCol w:w="146"/>
        <w:gridCol w:w="268"/>
        <w:gridCol w:w="861"/>
        <w:gridCol w:w="193"/>
      </w:tblGrid>
      <w:tr>
        <w:trPr/>
        <w:tc>
          <w:tcPr>
            <w:tcW w:w="3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7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w:t>
              <w:b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Remaining</w:t>
              <w:br/>
              <w:t>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 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10,462,129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5,262,922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2021, the Company’s Board of Directors adopted, and its stockholders approved, the 2021 Employee Stock Purchase Plan (ESPP). The ESPP permits eligible employees who elect to participate in an offering under the ESPP to have up to 15% of their eligible earnings withheld, subject to certain limitations, to purchase shares of common stock pursuant to the ESPP. The price of common stock purchased under the ESPP is equal to 85% of the lower of the fair market value of the common stock at the commencement date of each offering period or the relevant date of purchase. As of March 31, 2025, there were 1,972,762 shares available for future purchase under the ESPP.</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estimated the fair value of stock options using the Black-Scholes valuation model. The Company accounts for forfeitures of options when they occur. Previously recognized compensation expense for an award is reversed in the period that the award is forfeited. The fair value of stock options was estimated using the following assumptions: </w:t>
      </w:r>
    </w:p>
    <w:tbl>
      <w:tblPr>
        <w:tblW w:w="5016" w:type="dxa"/>
        <w:jc w:val="left"/>
        <w:tblInd w:w="0" w:type="dxa"/>
        <w:tblLayout w:type="fixed"/>
        <w:tblCellMar>
          <w:top w:w="28" w:type="dxa"/>
          <w:left w:w="28" w:type="dxa"/>
          <w:bottom w:w="28" w:type="dxa"/>
          <w:right w:w="28" w:type="dxa"/>
        </w:tblCellMar>
      </w:tblPr>
      <w:tblGrid>
        <w:gridCol w:w="2626"/>
        <w:gridCol w:w="146"/>
        <w:gridCol w:w="1141"/>
        <w:gridCol w:w="146"/>
        <w:gridCol w:w="766"/>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 of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4.0 - 4.4%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5.8 - 6.1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6.0 - 6.1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93.7 - 95.4%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Stock-based compensation expense recognized for all equity awards has been reported in the condensed statements of operations and comprehensive loss as follows (in thousands):</w:t>
      </w:r>
    </w:p>
    <w:tbl>
      <w:tblPr>
        <w:tblW w:w="5209" w:type="dxa"/>
        <w:jc w:val="left"/>
        <w:tblInd w:w="0" w:type="dxa"/>
        <w:tblLayout w:type="fixed"/>
        <w:tblCellMar>
          <w:top w:w="28" w:type="dxa"/>
          <w:left w:w="28" w:type="dxa"/>
          <w:bottom w:w="28" w:type="dxa"/>
          <w:right w:w="28" w:type="dxa"/>
        </w:tblCellMar>
      </w:tblPr>
      <w:tblGrid>
        <w:gridCol w:w="3016"/>
        <w:gridCol w:w="146"/>
        <w:gridCol w:w="211"/>
        <w:gridCol w:w="571"/>
        <w:gridCol w:w="146"/>
        <w:gridCol w:w="146"/>
        <w:gridCol w:w="211"/>
        <w:gridCol w:w="57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weighted-average grant date fair value of options granted for the three months ended March 31, 2025 and 2024 was $9.97 and $15.10 per share,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and 2024, forfeitures resulting in the reversal of compensation expenses were immaterial.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2025, the unrecognized compensation cost related to options was $58.3 million, and is expected to be recognized as expense over a weighted-average period of approximately 2.4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the unrecognized compensation cost related to ESPP was $0.7 million, and is expected to be recognized as expense over a weighted-average period of approximately 1.7 years.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Net Loss Per Share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6662"/>
        <w:gridCol w:w="146"/>
        <w:gridCol w:w="211"/>
        <w:gridCol w:w="1036"/>
        <w:gridCol w:w="166"/>
        <w:gridCol w:w="146"/>
        <w:gridCol w:w="211"/>
        <w:gridCol w:w="1036"/>
        <w:gridCol w:w="591"/>
      </w:tblGrid>
      <w:tr>
        <w:trPr/>
        <w:tc>
          <w:tcPr>
            <w:tcW w:w="6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59,336,550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52,275,451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weighted-average unvested common stock issued upon early 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to compute net loss per common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59,336,550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52,228,934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Shares issuable pursuant to the 2024 Pre-Funded Warrants and the Exchange Warrants are included in the calculation of weighted-average shares of common stock outstanding, both basic and diluted for the three months ended March 31, 2025. Shares issuable pursuant to the 2024 Pre-Funded Warrants are included in the calculation of weighted-average shares outstanding, both basic and diluted, for the three months ended March 31, 2024. These warrants are exercisable at any time for nominal consideration, and therefore, the shares thereunder are considered outstanding for the purpose of calculating basic and diluted net loss per share.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sets forth the outstanding potentially dilutive securities that have been excluded from the calculation of diluted net loss per share because their inclusion would be anti-dilutive. </w:t>
      </w:r>
    </w:p>
    <w:tbl>
      <w:tblPr>
        <w:tblW w:w="7974" w:type="dxa"/>
        <w:jc w:val="left"/>
        <w:tblInd w:w="0" w:type="dxa"/>
        <w:tblLayout w:type="fixed"/>
        <w:tblCellMar>
          <w:top w:w="28" w:type="dxa"/>
          <w:left w:w="28" w:type="dxa"/>
          <w:bottom w:w="28" w:type="dxa"/>
          <w:right w:w="28" w:type="dxa"/>
        </w:tblCellMar>
      </w:tblPr>
      <w:tblGrid>
        <w:gridCol w:w="5086"/>
        <w:gridCol w:w="146"/>
        <w:gridCol w:w="146"/>
        <w:gridCol w:w="1036"/>
        <w:gridCol w:w="146"/>
        <w:gridCol w:w="146"/>
        <w:gridCol w:w="146"/>
        <w:gridCol w:w="931"/>
        <w:gridCol w:w="19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8,347,499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common stock upon early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shares purchasable under the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10,169,337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8,396,929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9. 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two operating leases for its office and laboratory space in Carlsbad, California that expire in November 2033. The Company has an option to renew the leases for two additional three-year periods. The Company did not include the renewal periods in determining the lease term, as the Company was not reasonably certain to exercise them.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Company's lease agreements, the Company paid security deposits of $0.1 million and is required to maintain a letter of credit of $1.0 million. The letter of credit may be reduced to $0.9 million in 2027 and further reduced to $0.5 million in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 was $0.2 million and $0.1 million for the three months ended March 31, 2025 and 2024, respectively.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components of lease expense include operating, short-term and variable lease costs. Amortization is recorded within research and development and general and administrative expenses in the condensed statements of operations and comprehensive loss. Components of lease cost for the three months ended March 31, 2025 and 2024, respectively, were as follows (in thousands):</w:t>
      </w:r>
    </w:p>
    <w:tbl>
      <w:tblPr>
        <w:tblW w:w="3740" w:type="dxa"/>
        <w:jc w:val="left"/>
        <w:tblInd w:w="0" w:type="dxa"/>
        <w:tblLayout w:type="fixed"/>
        <w:tblCellMar>
          <w:top w:w="28" w:type="dxa"/>
          <w:left w:w="28" w:type="dxa"/>
          <w:bottom w:w="28" w:type="dxa"/>
          <w:right w:w="28" w:type="dxa"/>
        </w:tblCellMar>
      </w:tblPr>
      <w:tblGrid>
        <w:gridCol w:w="1801"/>
        <w:gridCol w:w="146"/>
        <w:gridCol w:w="217"/>
        <w:gridCol w:w="434"/>
        <w:gridCol w:w="150"/>
        <w:gridCol w:w="150"/>
        <w:gridCol w:w="217"/>
        <w:gridCol w:w="434"/>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Maturities of lease liabilities, weighted-average remaining term and weighted-average discount rate were as follows (in thousands):</w:t>
      </w:r>
    </w:p>
    <w:tbl>
      <w:tblPr>
        <w:tblW w:w="5098" w:type="dxa"/>
        <w:jc w:val="left"/>
        <w:tblInd w:w="0" w:type="dxa"/>
        <w:tblLayout w:type="fixed"/>
        <w:tblCellMar>
          <w:top w:w="28" w:type="dxa"/>
          <w:left w:w="28" w:type="dxa"/>
          <w:bottom w:w="28" w:type="dxa"/>
          <w:right w:w="28" w:type="dxa"/>
        </w:tblCellMar>
      </w:tblPr>
      <w:tblGrid>
        <w:gridCol w:w="3286"/>
        <w:gridCol w:w="146"/>
        <w:gridCol w:w="319"/>
        <w:gridCol w:w="956"/>
        <w:gridCol w:w="3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2025 (remaining nine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200" w:type="dxa"/>
        <w:jc w:val="left"/>
        <w:tblInd w:w="0" w:type="dxa"/>
        <w:tblLayout w:type="fixed"/>
        <w:tblCellMar>
          <w:top w:w="28" w:type="dxa"/>
          <w:left w:w="28" w:type="dxa"/>
          <w:bottom w:w="28" w:type="dxa"/>
          <w:right w:w="28" w:type="dxa"/>
        </w:tblCellMar>
      </w:tblPr>
      <w:tblGrid>
        <w:gridCol w:w="5371"/>
        <w:gridCol w:w="146"/>
        <w:gridCol w:w="204"/>
        <w:gridCol w:w="651"/>
        <w:gridCol w:w="271"/>
        <w:gridCol w:w="146"/>
        <w:gridCol w:w="261"/>
        <w:gridCol w:w="834"/>
        <w:gridCol w:w="316"/>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(years)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incremental borrowing rate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10.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Funding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the Company had ongoing clinical and pre-clinical studies for its various programs. The Company enters into contracts in the normal course of business with contract research organizations in preparation for clinical trials, professional consultants for expert advice and other vendors for clinical supply manufacturing or other services. These contracts are generally cancellable, with notice, at the Company's option and do not have significant cancellation penalties.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from time to time, may be party to litigation arising in the ordinary course of business. The Company was not subject to any material legal proceedings as of March 31, 2025, and no material legal proceedings are currently pending or threatened. If the potential loss from any claim, asserted or unasserted, or legal proceeding is considered probable and the amount is reasonably estimable, the Company will accrue a liability for the estimated loss.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reports segment information based on the management approach, which reflects the way in which the internal reporting is used by the chief operating decision maker (CODM) to analyze performance, make decisions and allocate resources. The CODM is the Company’s Chief Executive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manages its operations as a single reportable segment, which includes all activities related to the research, development, and potential future commercialization of its small molecule drug development candidates. The CODM assesses performance and decides how to allocate resources based on net loss (presented in the condensed statements of operations and comprehensive loss). The measure of segment assets is reported on the Balance Sheets as total assets. All long-lived assets are located in the United States.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table below shows a reconciliation of the Company’s net loss, including the significant expense categories regularly provided to and reviewed by the CODM, to the Company’s total net loss in the condensed statements of operations and comprehensive loss (in thousands): </w:t>
      </w:r>
    </w:p>
    <w:tbl>
      <w:tblPr>
        <w:tblW w:w="7889" w:type="dxa"/>
        <w:jc w:val="left"/>
        <w:tblInd w:w="0" w:type="dxa"/>
        <w:tblLayout w:type="fixed"/>
        <w:tblCellMar>
          <w:top w:w="28" w:type="dxa"/>
          <w:left w:w="28" w:type="dxa"/>
          <w:bottom w:w="28" w:type="dxa"/>
          <w:right w:w="28" w:type="dxa"/>
        </w:tblCellMar>
      </w:tblPr>
      <w:tblGrid>
        <w:gridCol w:w="5146"/>
        <w:gridCol w:w="146"/>
        <w:gridCol w:w="211"/>
        <w:gridCol w:w="736"/>
        <w:gridCol w:w="166"/>
        <w:gridCol w:w="146"/>
        <w:gridCol w:w="211"/>
        <w:gridCol w:w="736"/>
        <w:gridCol w:w="3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External research and development expenses by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TYRA-300</w:t>
            </w:r>
            <w:r>
              <w:rPr>
                <w:rFonts w:ascii="Times New Roman" w:hAnsi="Times New Roman"/>
                <w:color w:val="000000"/>
                <w:sz w:val="13"/>
              </w:rPr>
              <w:t>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TYRA-300</w:t>
            </w:r>
            <w:r>
              <w:rPr>
                <w:rFonts w:ascii="Times New Roman" w:hAnsi="Times New Roman"/>
                <w:color w:val="000000"/>
                <w:sz w:val="13"/>
              </w:rPr>
              <w:t>NMIBC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TYRA-300</w:t>
            </w:r>
            <w:r>
              <w:rPr>
                <w:rFonts w:ascii="Times New Roman" w:hAnsi="Times New Roman"/>
                <w:color w:val="000000"/>
                <w:sz w:val="13"/>
              </w:rPr>
              <w:t>mUC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TYRA-430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TYRA-200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FGFR discovery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development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Unallocated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Personnel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Facilities and other costs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General and administrative expenses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Personnel costs include $3.7 million and $2.5 million of stock-based compensation for the three months ended March 31, 2025 and 2024, respectively.</w:t>
      </w:r>
    </w:p>
    <w:p>
      <w:pPr>
        <w:pStyle w:val="TextBody"/>
        <w:bidi w:val="0"/>
        <w:spacing w:before="120" w:after="283"/>
        <w:jc w:val="left"/>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Facilities and other costs consist of research consumables, facility-related costs, depreciation and costs not attributed to a specific program.</w:t>
      </w:r>
    </w:p>
    <w:p>
      <w:pPr>
        <w:pStyle w:val="TextBody"/>
        <w:bidi w:val="0"/>
        <w:spacing w:before="120" w:after="283"/>
        <w:jc w:val="left"/>
        <w:rPr>
          <w:rFonts w:ascii="Times New Roman" w:hAnsi="Times New Roman"/>
          <w:sz w:val="20"/>
        </w:rPr>
      </w:pPr>
      <w:r>
        <w:rPr>
          <w:rFonts w:ascii="Times New Roman" w:hAnsi="Times New Roman"/>
          <w:color w:val="000000"/>
          <w:sz w:val="13"/>
        </w:rPr>
        <w:t xml:space="preserve">(3) </w:t>
      </w:r>
      <w:r>
        <w:rPr>
          <w:rFonts w:ascii="Times New Roman" w:hAnsi="Times New Roman"/>
          <w:color w:val="000000"/>
          <w:sz w:val="20"/>
        </w:rPr>
        <w:t>General and administrative expenses consist of personnel-related expenses, including stock-based compensation, legal fees, facility-related costs, depreciation, professional and consulting fees and insurance costs.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8, 2025, the Company entered into a Sales Agreement (the 2025 Sales Agreement) with TD Securities (USA) LLC (the 2025 Sales Agent), under which the Company may, from time to time, sell shares of its common stock having an aggregate offering price of up to $150.0 million in “at the market” offerings through the 2025 Sales Agent. Sales of the shares of common stock, if any, will be made at prevailing market prices at the time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of sale, or as otherwise agreed with the 2025 Sales Agent. The 2025 Sales Agent will receive a commission from the Company of up to 3.0% of the gross proceeds of any shares of common stock sold under the 2025 Sales Agreement. In connection with the 2025 Sales Agreement, the Company terminated the 2022 Sales Agreement with Virtu Americas LLC.</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i_item2"/>
      <w:bookmarkEnd w:id="8"/>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discussion and analysis and the unaudited interim condensed financial statements included in this Quarterly Report on Form 10-Q should be read in conjunction with the financial statements and notes thereto for the year ended December 31, 2024 and the related Management’s Discussion and Analysis of Financial Condition and Results of Operations, both of which are contained in the Annual Report on Form 10-K for the year ended December 31, 2024 (the 2024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within the meaning of Section 27A of the Securities Act of 1933, as amended,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and phase of development, costs, design and conduct of our ongoing and planned preclinical studies and clinical trials for our product candidates, the potential benefits of regulatory designations, the timing and likelihood of regulatory filings and approvals for our product candidates, the potential to develop product candidates and the safety and therapeutic benefits of our product candidates, our ability to commercialize our product candidates, if approved, the pricing and reimbursement of our product candidates, if approved,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you can identify forward-looking statements by terms such as “anticipate,” “believe,” “contemplate,” “continue” “could,” “estimate,” “expect,” “intend,” “may,” “plan,” “potential,” “predict,” “project,” “should,” “target” “will” or “would”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II, Item 1A, “Risk Factors” of this Quarterly Report.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clinical-stage biotechnology company focused on developing next-generation precision medicines for large opportunities in targeted oncology and genetically defined conditions, with an initial focus on Fibroblast Growth Factor Receptor (FGFR) biology.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in-house precision medicine platform, SNÅP, enables rapid and precise drug design through iterative molecular SNÅPshots that help us design and predict which product candidates may demonstrate the highest potency, selectivity and tolerability in the clinic. We have initially leveraged our SNÅP approach to develop TYRA-300, TYRA-200 and TYRA-430: three clinical-stage, novel small molecules designed to overcome the toxicity and resistance liabilities of first generation pan-FGFR inhibitors.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FGFR3 Programs - TYRA-300 for Bladder Cancer and Skeletal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Mutations in the protein receptor FGFR3 are a key driver in two indications with large market opportunities: bladder cancer and skeletal conditions. In bladder cancer, uncontrolled activation of FGFR3 on the cell surface stimulates cellular proliferation. In skeletal conditions, increased activity of FGFR3 expressed in growth plate chondrocytes (cartilage cells) results in excessive limitation of long bone growth.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lead program, TYRA-300, was designed to be more selective for FGFR3 over FGFR1, FGFR2, and FGFR4 to minimize off-target side effects, providing potential clinical advantages over less selective first-generation compounds and potentially addressing key unmet needs across both bladder cancer and skeletal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TYRA-300 is expected to be evaluated in three Phase 2 studies: BEACH301, for the treatment of pediatric achondroplasia (ACH); SURF302, for the treatment of non-muscle invasive bladder cancer (NMIBC); and SURF301, for the treatment of metastatic urothelial carcinoma (mUC).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BEACH301 for ACH: This study is an open-label, Phase 2 dose-escalation/dose-expansion trial evaluating TYRA-300 at lower doses (0.125, 0.25, 0.375, 0.50 mg/kg) in children ages 3 to 10 with ACH with open growth plates. Prior to initiation of the first two cohorts, the study has commenced enrolling a safety sentinel cohort of up to 3 treatment-naïve participants per dose level in children ages 5 to 10. We expect to dose the first child in this study in the second quarter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SURF302 for NMIBC: This study is an open-label Phase 2 clinical trial evaluating the efficacy and safety of TYRA-300 at lower doses (50 and 60mg QD) in participants with FGFR3-altered low-grade, intermediate risk (IR) NMIBC. We expect to dose the first patient in this study in the second quarter of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SURF301 for mUC: This ongoing study is an international, multi-center, open label Phase 1/2 clinical trial that was designed to determine the optimal and maximum tolerated doses (MTD), and the recommended Phase 2 dose (RP2D) of TYRA-300, as well as to evaluate the preliminary antitumor activity of TYRA-300. In late October 2024, we reported interim data that in patients with FGFR3+ mUC who received doses ≥ 90 mg once daily (QD), 6 out of 11 (54.5%) patients achieved a confirmed partial response. Preliminary data, as of the August 15, 2024 data cutoff, suggested TYRA-300 was generally well-tolerated, with infrequent FGFR2- and FGFR1-associated toxicities. Dose optimization is ongoing in this study.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FGFR2 Program - TYRA-200 for Intrahepatic Cholangiocarcinoma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FGFR2 is a protein receptor present on the cell surface that promotes cellular proliferation and transformation upon binding of fibroblast growth factor. Activating gene alterations of FGFR2 have been implicated in the tumorigenesis of multiple solid tumor types, with pan-FGFR inhibitors approved for intrahepatic cholangiocarcinoma (ICC).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TYRA-200 is an FGFR1/2/3 inhibitor designed to be active against nearly all of the clinically identified acquired resistant mutations that arise during treatment with pan-FGFR inhibitors, which we believe is necessary to address the problem of disease progression due to polyclonal resistance. TYRA-200 is currently being evaluated in a multi-center, open label Phase 1 clinical study, SURF201 that is designed to evaluate the safety, tolerability, and pharmacokinetics (PK) of TYRA-200, determine the optimal dose for further development and the MTD and RP2D, and evaluate preliminary antitumor activity, with a focus on achieving proof-of-concept in a cohort of FGFR2-driven ICC resistant to previous FGFR inhibitors.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FGF19+ Program - TYRA-430 for Hepatocellular Carcinoma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FGF19 is a post-prandial enterohepatic hormone that signals through FGFR4 and its associated co-receptor Klotho Beta (KLB) to exert its normal cellular functions. In certain cancers, FGF19 is aberrantly expressed due to focal chromosomal amplifications or epigenetic mechanisms, promoting tumor cells to become dependent on the FGFR4/KLB/FGF19 oncogenic axis. Recent insights into FGF/FGFR signaling in HCC have indicated an important bypass mechanism in FGFR3, which shares the Klotho Beta coreceptor.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TYRA-430 was designed to be biased for FGFR4 and FGFR3 over the FGFR1 and FGFR2 isoforms specifically to address the FGF19 signaling pathway, while also potentially limiting side effects due to inhibition of FGFR1 and FGFR2, as well as to address acquired resistance mutations that have limited the efficacy of previous FGFR4-specific inhibitors. TYRA-430 is currently being evaluated in a global Phase 1 multicenter, open-label study, SURF431, that is designed to evaluate the safety, tolerability, pharmacokinetics and pharmacodynamics of TYRA-430 and determine the maximum tolerated dose and recommended Phase 2 dose, as well as evaluate the preliminary antitumor activity of TYRA-430. TYRA-430 is initially being studied in advanced HCC and other solid tumors with activating FGF/FGFR pathway aberrations. In April 2025, we commenced patient dosing in this study.</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Financial 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the commencement of our operations in 2018, we have devoted substantially all of our resources to organizing and staffing the company, business planning, raising capital, developing our proprietary SNÅP platform, undertaking research and development activities for our development programs, establishing our intellectual property portfolio, and providing general and administrative support for our operations. We have not generated any revenue to date and have funded our operations primarily from our initial public offering (IPO), private placements of our convertible preferred stock, the issuance of Simple Agreements for Future Equity and the issuance of common stock and pre-funded common stock warrants through a private placement. Our net losses for the three months ended March 31, 2025 and 2024 were $28.1 million and $18.2 million, respectively. As of March 31, 2025, we had an accumulated deficit of $279.5 million. As of March 31, 2025, we had cash, cash equivalents and marketable securities of $318.9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operating losses since inception. Our net losses may fluctuate significantly from quarter-to-quarter and year-to-year, depending on the timing of our clinical development activities, other research and development activities and capital expenditures. We expect to continue to incur significant expenses and increasing operating losses for the foreseeable future particularly if and as we conduct preclinical studies and clinical trials, continue our research and development activities, utilize third parties to manufacture our product candidates and related raw materials, hire additional personnel, expand and protect our intellectual property, and incur additional costs associated with being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current operating plan, we believe that our cash, cash equivalents and marketable securities as of March 31, 2025 will be sufficient to fund our operating expenses and capital expenditures through at least 2027. We have never generated any revenue and do not expect to generate any revenue from product sales unless and until we successfully complete the development of and obtain regulatory approval for our product candidates, which will not be for several years, if ever. In addition, if we obtain regulatory approval for any of our product candidates, we expect to incur significant commercialization expenses related to product sales, marketing, manufacturing and distribution. Accordingly, until we can generate significant revenue from sales of our product candidates, if ever, we expect to finance our cash needs through equity offerings, debt financings or other capital sources, including potential collaborations, licenses and other similar arrangements. However, we may not be able to raise additional funds or enter into such other arrangements when needed or on favorable terms, or at all.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our research and development expenses consist primarily of external and internal costs related to the development of our SNÅP platform and our product candidates and development programs. Our research and development expenses primarily include: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external costs, including: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conducting clinical trials, including investigator grants and site payments for time and pass-through expenses and expenses incurred under agreements with contract research organizations (CROs), central laboratories and other vendors and service providers engaged to conduct our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in connection with the discovery and preclinical development of our product candidates, including under agreements with third parties, such as consultants and CROs;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consultants for chemistry, manufacturing and controls (CMC) development, and other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compounds for use in our preclinical studies, including under agreements with third parties, such as consultants and third-party manufacturers; and</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compliance with drug development regulatory requirements;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costs, including: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related benefits, travel and share-based compensation expenses for employees engaged in research and development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laboratory supplies and acquiring, developing and manufacturing preclinical study materials;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depreciation and other indirect expenses, which include allocated expenses for rent and maintenance of facilities, and supplies.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expenses on a development program and other program-specific basis. However, we do not track internal costs on a program-specific basis because these costs primarily relate to compensation, early research and consumable costs, which are deployed across multiple programs under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research and development expenses will increase substantially over the next several years as we advance our product candidates through preclinical studies into and through clinical trials, continue to discover and develop additional product candidates and expand our pipeline, maintain, expand, protect and enforce our intellectual property portfolio, and hire additional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research and development expenses may vary significantly based on a wide variety of factors, such as: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and scope, rate of progress, expense and results of our discovery and preclinical development activities and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trials required for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sites included in each of our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patients that participate in the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to identify appropriate patients eligible for our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doses that patients receive;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potential additional safety monitoring requested by regulatory agencies;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duration of patient participation in the trials and follow-up;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phase of development of the product candidate;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efficacy and safety profile of the product candidate;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receipt, and terms of any approvals from applicable regulatory authorities including the FDA and non-U.S. regulators;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our product candidates following approval, if any;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 and timing of manufacturing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and changing government regulation and regulatory guidance;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ability to attract and retain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any business interruptions to our operations or to those of the third parties with whom we work;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geopolitical instability, such as the war and other conflicts in Ukraine and the Middle East;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effects on the financial markets, the global economy, the supply chain and our expenses due to pandemic or epidemic diseases, geopolitical instability, inflation, interest rates and other factors;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extent to which we establish additional strategic collaborations or other arrangements.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change in the outcome of any of these variables with respect to the development of any of our product candidates could significantly change the costs and timing associated with the development of that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process of conducting the necessary preclinical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personnel-related expenses, including employee salaries, bonuses, benefits, and stock-based compensation charges for personnel in executive, finance and other administrative functions. Other significant general and administrative expenses include legal fees relating to intellectual property and corporate matters, allocated facility-related costs, professional fees for accounting, tax, business development and consulting services and insurance costs. We expect our general and administrative expenses will increase for the foreseeable future to support our increased research and development activities, manufacturing activities, and the increased costs associated with operating as a public company. These increased costs will likely include increased expenses related to hiring additional personnel, audit, legal, regulatory and tax-related services associated with maintaining compliance with exchange listing and the Securities and Exchange Commission (SEC) requirements, director and officer insurance costs, and investor and public relations costs.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consist primarily of interest income from cash, cash equivalents and marketable securities and accretion income from marketable securities.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 for the Three Months Ended March 31, 2025 and 2024</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indicated (in thousands): </w:t>
      </w:r>
    </w:p>
    <w:tbl>
      <w:tblPr>
        <w:tblW w:w="6810" w:type="dxa"/>
        <w:jc w:val="left"/>
        <w:tblInd w:w="0" w:type="dxa"/>
        <w:tblLayout w:type="fixed"/>
        <w:tblCellMar>
          <w:top w:w="28" w:type="dxa"/>
          <w:left w:w="28" w:type="dxa"/>
          <w:bottom w:w="28" w:type="dxa"/>
          <w:right w:w="28" w:type="dxa"/>
        </w:tblCellMar>
      </w:tblPr>
      <w:tblGrid>
        <w:gridCol w:w="2721"/>
        <w:gridCol w:w="146"/>
        <w:gridCol w:w="229"/>
        <w:gridCol w:w="801"/>
        <w:gridCol w:w="180"/>
        <w:gridCol w:w="158"/>
        <w:gridCol w:w="229"/>
        <w:gridCol w:w="801"/>
        <w:gridCol w:w="166"/>
        <w:gridCol w:w="146"/>
        <w:gridCol w:w="211"/>
        <w:gridCol w:w="631"/>
        <w:gridCol w:w="39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(28,147</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track most external development costs by development program. We do not allocate internal costs, such as personnel-related expenses, stock-based compensation expense, facility, supplies and certain external consultant costs, to individual development programs.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by development program for the periods indicated (in thousands): </w:t>
      </w:r>
    </w:p>
    <w:tbl>
      <w:tblPr>
        <w:tblW w:w="8875" w:type="dxa"/>
        <w:jc w:val="left"/>
        <w:tblInd w:w="0" w:type="dxa"/>
        <w:tblLayout w:type="fixed"/>
        <w:tblCellMar>
          <w:top w:w="28" w:type="dxa"/>
          <w:left w:w="28" w:type="dxa"/>
          <w:bottom w:w="28" w:type="dxa"/>
          <w:right w:w="28" w:type="dxa"/>
        </w:tblCellMar>
      </w:tblPr>
      <w:tblGrid>
        <w:gridCol w:w="4786"/>
        <w:gridCol w:w="146"/>
        <w:gridCol w:w="245"/>
        <w:gridCol w:w="785"/>
        <w:gridCol w:w="169"/>
        <w:gridCol w:w="169"/>
        <w:gridCol w:w="245"/>
        <w:gridCol w:w="785"/>
        <w:gridCol w:w="146"/>
        <w:gridCol w:w="146"/>
        <w:gridCol w:w="211"/>
        <w:gridCol w:w="631"/>
        <w:gridCol w:w="4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TYRA-300</w:t>
            </w:r>
            <w:r>
              <w:rPr>
                <w:rFonts w:ascii="Times New Roman" w:hAnsi="Times New Roman"/>
                <w:color w:val="000000"/>
                <w:sz w:val="13"/>
              </w:rPr>
              <w:t>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TYRA-300</w:t>
            </w:r>
            <w:r>
              <w:rPr>
                <w:rFonts w:ascii="Times New Roman" w:hAnsi="Times New Roman"/>
                <w:color w:val="000000"/>
                <w:sz w:val="13"/>
              </w:rPr>
              <w:t>NMIBC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TYRA-300</w:t>
            </w:r>
            <w:r>
              <w:rPr>
                <w:rFonts w:ascii="Times New Roman" w:hAnsi="Times New Roman"/>
                <w:color w:val="000000"/>
                <w:sz w:val="13"/>
              </w:rPr>
              <w:t>mUC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TYRA-430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TYRA-200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FGFR discovery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development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24,964</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$25.0 million and $17.2 million for the three months ended March 31, 2025 and 2024, respectively. The overall increase of $7.8 million was primarily driven by: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$5.6 million increase in clinical costs primarily for start-up activities related to BEACH301, SURF302 and SURF431 study launches and CMC activities;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$2.1 million increase in compensation and other personnel expenses, including an increase in non-cash stock-based compensation costs of $1.2 million, driven by headcount growth.</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$6.9 million and $5.1 million for the three months ended March 31, 2025 and 2024, respectively. The increase of $1.8 million was primarily related to higher compensation and other personnel expenses, including an increase in non-cash stock-based compensation costs of $1.1 million, driven by headcount growth.</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was $3.7 million and $4.1 million for the three months ended March 31, 2025 and 2024, respectively. The decrease of $0.4 million was due to lower interest rates and reduced balances in cash, cash equivalents and marketable securities.</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6, 2024, we completed a private placement and issued 9,286,023 shares of our common stock and pre-funded warrants to purchase an aggregate of 6,087,230 shares of our common stock (the 2024 Private Placement) for net proceeds of approximately $199.6 million, excluding issuance costs of $0.4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3, 2022, we entered into an ATM Sales Agreement (the 2022 Sales Agreement) with Virtu Americas LLC (the 2022 Sales Agent), under which we may, from time to time, sell shares of our common stock having an aggregate offering price of up to $150.0 million in “at the market” offerings through the 2022 Sales Agent. As of March 31, 2025, we have not sold any shares under the 2022 Sales Agreement. In connection with the 2025 Sales Agreement (as defined below), effective May 8, 2025, we terminated the 2022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8, 2025, we entered into a Sales Agreement (the 2025 Sales Agreement) with TD Securities (USA) LLC (the 2025 Sales Agent), under which we may, from time to time, sell shares of our common stock having an aggregate offering price of up to $150.0 million in “at the market” offerings through the 2025 Sales Agent. Sales of the shares of common stock, if any, will be made at prevailing market prices at the time of sale or as otherwise agreed with the 2025 Sales Agent. The 2025 Sales Agent will receive a commission from us of up to 3.0% of the gross proceeds of any shares of common stock sold under the Sales Agreement.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sets forth a summary of our cash flows for the periods indicated (in thousands): </w:t>
      </w:r>
    </w:p>
    <w:tbl>
      <w:tblPr>
        <w:tblW w:w="7587" w:type="dxa"/>
        <w:jc w:val="left"/>
        <w:tblInd w:w="0" w:type="dxa"/>
        <w:tblLayout w:type="fixed"/>
        <w:tblCellMar>
          <w:top w:w="28" w:type="dxa"/>
          <w:left w:w="28" w:type="dxa"/>
          <w:bottom w:w="28" w:type="dxa"/>
          <w:right w:w="28" w:type="dxa"/>
        </w:tblCellMar>
      </w:tblPr>
      <w:tblGrid>
        <w:gridCol w:w="3466"/>
        <w:gridCol w:w="146"/>
        <w:gridCol w:w="225"/>
        <w:gridCol w:w="785"/>
        <w:gridCol w:w="177"/>
        <w:gridCol w:w="155"/>
        <w:gridCol w:w="225"/>
        <w:gridCol w:w="833"/>
        <w:gridCol w:w="166"/>
        <w:gridCol w:w="146"/>
        <w:gridCol w:w="211"/>
        <w:gridCol w:w="84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 of $3.4 million in net cash used in operating activities for the three months ended March 31, 2025, compared to the same period in 2024, was primarily due to an increase of $10.0 million in net loss, offset by increases of $2.3 million in non-cash stock-based compensation expense, $0.4 million in non-cash net accretion on marketable securities, and changes in operating assets and liabilities of $3.9 million. </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of $14.0 million in net cash provided by investing activities for the three months ended March 31, 2025, compared to the same period in 2024, was primarily due to an increase in maturities of marketable securities of $8.9 million, a decrease in purchases of marketable securities of $5.0 million and a decrease in purchases of property and equipment of $0.1 million.</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decrease of $198.1 million in net cash provided by financing activities for the three months ended March 31, 2025, compared to the same period in 2024, was primarily due to the $199.8 million in net proceeds from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2024 Private Placement received during the three months ended March 31, 2024. This decrease was partially offset by an increase of $1.7 million in proceeds from issuances of common stock under benefit plans.</w:t>
      </w:r>
    </w:p>
    <w:p>
      <w:pPr>
        <w:pStyle w:val="TextBody"/>
        <w:bidi w:val="0"/>
        <w:spacing w:before="240" w:after="283"/>
        <w:jc w:val="left"/>
        <w:rPr>
          <w:rFonts w:ascii="Times New Roman" w:hAnsi="Times New Roman"/>
          <w:sz w:val="20"/>
        </w:rPr>
      </w:pPr>
      <w:r>
        <w:rPr>
          <w:rFonts w:ascii="Times New Roman" w:hAnsi="Times New Roman"/>
          <w:b/>
          <w:i/>
          <w:color w:val="000000"/>
          <w:sz w:val="20"/>
        </w:rPr>
        <w:t>Material Cash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material cash requirements consist of expected operating expenses to conduct our clinical trials and other research and development activities, personnel-related expenses and operating lease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primary uses of cash to date have been to fund our research and development activities, including with respect to TYRA-300, TYRA-430 and TYRA-200 and other research programs, business planning, establishing and maintaining our intellectual property portfolio, hiring personnel, raising capital, and providing general and administrative support for these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current operating plan, we believe that our existing cash, cash equivalents and marketable securities as of March 31, 2025 will be sufficient to meet our anticipated operating expenses and capital expenditures through at least 2027.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and timing of manufacturing for current or future product candidates, including commercial scale manufacturing if any product candidate is approved;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current or future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of obtaining, maintaining and enforcing our patents and other intellectual property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associated with hiring additional personnel and consultants as our business grows, including additional executive officers and clinical development personnel, as well as retaining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and timing of establishing or securing sales and marketing capabilities if any current or future product candidate is approved;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associated with any products or technologies that we may in-license or acquire;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or issues with any of the above, including that the risk of each may be exacerbated by any future pandemics or epidemic diseases, potential geopolitical instability and war, inflation or rising interest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than disclosed below, there were no material changes outside the ordinary course of our business during the three months ended March 31, 2025 to the information regarding our contractual obligations that was disclosed in “Management’s Discussion and Analysis of Financial Condition and Results of Operations” included in the 2024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2025, total future aggregate operating lease commitments were $8.5 million, with approximately $0.7 million due during 2025, and the remaining due in periods from 2026 through 2033.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during the three months ended March 31, 2025, as compared to the critical accounting policies and estimates disclosed in “Management’s Discussion and Analysis of Financial Condition and Results of Operations” included in the 2024 Annual Report.</w:t>
      </w:r>
    </w:p>
    <w:p>
      <w:pPr>
        <w:pStyle w:val="TextBody"/>
        <w:bidi w:val="0"/>
        <w:spacing w:before="240" w:after="283"/>
        <w:jc w:val="left"/>
        <w:rPr>
          <w:rFonts w:ascii="Times New Roman" w:hAnsi="Times New Roman"/>
          <w:sz w:val="20"/>
        </w:rPr>
      </w:pPr>
      <w:r>
        <w:rPr>
          <w:rFonts w:ascii="Times New Roman" w:hAnsi="Times New Roman"/>
          <w:b/>
          <w:color w:val="000000"/>
          <w:sz w:val="20"/>
        </w:rPr>
        <w:t>Recently Adopted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 Note 1 to our condensed financial statements included elsewhere in this Quarterly Report on Form 10-Q for recently issued accounting pronouncements that may potentially impact our financial position and results of operations. </w:t>
      </w:r>
    </w:p>
    <w:p>
      <w:pPr>
        <w:pStyle w:val="TextBody"/>
        <w:bidi w:val="0"/>
        <w:spacing w:before="240" w:after="283"/>
        <w:jc w:val="left"/>
        <w:rPr>
          <w:rFonts w:ascii="Times New Roman" w:hAnsi="Times New Roman"/>
          <w:b/>
          <w:color w:val="000000"/>
          <w:sz w:val="20"/>
        </w:rPr>
      </w:pPr>
      <w:bookmarkStart w:id="9" w:name="i_item3"/>
      <w:bookmarkEnd w:id="9"/>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the 2024 Annual Report.</w:t>
      </w:r>
    </w:p>
    <w:p>
      <w:pPr>
        <w:pStyle w:val="TextBody"/>
        <w:bidi w:val="0"/>
        <w:spacing w:before="240" w:after="283"/>
        <w:jc w:val="left"/>
        <w:rPr>
          <w:rFonts w:ascii="Times New Roman" w:hAnsi="Times New Roman"/>
          <w:b/>
          <w:color w:val="000000"/>
          <w:sz w:val="20"/>
        </w:rPr>
      </w:pPr>
      <w:bookmarkStart w:id="10" w:name="i_item4"/>
      <w:bookmarkEnd w:id="10"/>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(our principal executive officer and principal financial and accounting officer, respectively),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As required by SEC Rule 13a-15(b), we carried out an evaluation of our disclosure controls and procedures as of the end of the quarter covered by this report. Based on such evaluation, our chief executive officer and our chief financial officer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concluded that, as of such date, our disclosure controls and procedures were effective at the reasonable assurance level.</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March 31, 2025 that have materially affected, or are reasonably likely to materially affect, our internal control over financial reporting.</w:t>
      </w:r>
    </w:p>
    <w:p>
      <w:pPr>
        <w:pStyle w:val="TextBody"/>
        <w:bidi w:val="0"/>
        <w:spacing w:before="240" w:after="283"/>
        <w:jc w:val="center"/>
        <w:rPr>
          <w:rFonts w:ascii="Times New Roman" w:hAnsi="Times New Roman"/>
          <w:b/>
          <w:color w:val="000000"/>
          <w:sz w:val="20"/>
        </w:rPr>
      </w:pPr>
      <w:bookmarkStart w:id="11" w:name="part_ii_other_information"/>
      <w:bookmarkEnd w:id="11"/>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2" w:name="ii_item1"/>
      <w:bookmarkEnd w:id="12"/>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 </w:t>
      </w:r>
    </w:p>
    <w:p>
      <w:pPr>
        <w:pStyle w:val="TextBody"/>
        <w:bidi w:val="0"/>
        <w:spacing w:before="240" w:after="283"/>
        <w:jc w:val="left"/>
        <w:rPr>
          <w:rFonts w:ascii="Times New Roman" w:hAnsi="Times New Roman"/>
          <w:b/>
          <w:color w:val="000000"/>
          <w:sz w:val="20"/>
        </w:rPr>
      </w:pPr>
      <w:bookmarkStart w:id="13" w:name="ii_item1a"/>
      <w:bookmarkEnd w:id="13"/>
      <w:r>
        <w:rPr>
          <w:rFonts w:ascii="Times New Roman" w:hAnsi="Times New Roman"/>
          <w:b/>
          <w:color w:val="000000"/>
          <w:sz w:val="20"/>
        </w:rPr>
        <w:t>Item 1A.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no material changes to the risk factors disclosed in Item 1A of our 2024 Annual Report. </w:t>
      </w:r>
    </w:p>
    <w:p>
      <w:pPr>
        <w:pStyle w:val="TextBody"/>
        <w:bidi w:val="0"/>
        <w:spacing w:before="240" w:after="283"/>
        <w:jc w:val="left"/>
        <w:rPr>
          <w:rFonts w:ascii="Times New Roman" w:hAnsi="Times New Roman"/>
          <w:b/>
          <w:color w:val="000000"/>
          <w:sz w:val="20"/>
        </w:rPr>
      </w:pPr>
      <w:bookmarkStart w:id="14" w:name="ii_item2"/>
      <w:bookmarkEnd w:id="14"/>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5" w:name="ii_item3"/>
      <w:bookmarkEnd w:id="15"/>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6" w:name="ii_item4"/>
      <w:bookmarkEnd w:id="16"/>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7" w:name="ii_item5"/>
      <w:bookmarkEnd w:id="17"/>
      <w:r>
        <w:rPr>
          <w:rFonts w:ascii="Times New Roman" w:hAnsi="Times New Roman"/>
          <w:b/>
          <w:color w:val="000000"/>
          <w:sz w:val="20"/>
        </w:rPr>
        <w:t>Item 5. Other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and Officer Trading Arrangements</w:t>
      </w:r>
    </w:p>
    <w:p>
      <w:pPr>
        <w:pStyle w:val="TextBody"/>
        <w:bidi w:val="0"/>
        <w:spacing w:before="240" w:after="283"/>
        <w:jc w:val="left"/>
        <w:rPr>
          <w:rFonts w:ascii="Times New Roman" w:hAnsi="Times New Roman"/>
          <w:sz w:val="20"/>
        </w:rPr>
      </w:pPr>
      <w:r>
        <w:rPr>
          <w:rFonts w:ascii="Times New Roman" w:hAnsi="Times New Roman"/>
          <w:b/>
          <w:i/>
          <w:color w:val="000000"/>
          <w:sz w:val="20"/>
        </w:rPr>
        <w:t>Rule 10b5-1 Trading Plans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our officers (as defined in Rule 16a-1(f) of the Exchange Act) and directors may enter into Rule 10b5-1 or non-Rule 10b5-1 trading arrangements (as each such term is defined in Item 408 of Regulation S-K). During the three months ended March 31, 2025, none of our officers or directors adopted, modified or terminated any such trading arrangements.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At the Market Sales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2022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3, 2022, we entered into an ATM Sales Agreement (the 2022 Sales Agreement), with Virtu Americas LLC (the 2022 Sales Agent), under which we could, from time to time, sell shares of our common stock having an aggregate offering price of up to $150.0 million in “at the market” offerings through the 2022 Sales Agent (the 2022 ATM Offering). In connection with the 2022 ATM Offering, we filed a sales agreement prospectus (the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2022 ATM Prospectus) with a shelf registration statement on Form S-3 (File No. 333-267712), which was declared effective by the SEC on October 13, 2022. In connection with the 2025 Sales Agreement (defined below), effective May 8, 2025, we terminated the 2022 Sales Agreement, and we have discontinued all offers and sales of shares of our common stock under the 2022 Sales Agreement and the 2022 ATM Prospectus. We have not sold any shares under the 2022 Sales Agreement.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2025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8, 2025, we entered into a Sales Agreement (the 2025 Sales Agreement) with TD Securities (USA) LLC (the 2025 Sales Agent), under which we may, from time to time, sell shares of our common stock having an aggregate offering price of up to $150.0 million in “at the market” offerings through the 2025 Sales Agent.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the terms and conditions of the 2025 Sales Agreement, the 2025 Sales Agent will use commercially reasonable efforts to sell the shares from time to time, based upon our instructions. Sales of our common stock made pursuant to the 2025 Sales Agreement, if any, will be made under our shelf registration statement on Form S-3 to be filed with the SEC on May 8, 2025 (the 2025 Registration Statement), following such time as the 2025 Registration Statement is declared effective by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provided the 2025 Sales Agent with customary indemnification rights, and the 2025 Sales Agent will be entitled to a commission of up to 3.0% of the gross sales price of the shares sold through it pursuant to the 2025 Sales Agreement. The shares may be offered only by means of a prospectus forming a part of the effective 2025 Registration Statement. Sales of the shares, if any, under the 2025 Sales Agreement may be made in transactions that are deemed to be an "at the market offering" as defined in Rule 415(a)(4) under the Securities Act of 1933, as amended, including sales made by means of ordinary brokers' transactions, including on the Nasdaq Global Select Market, at market prices, or as otherwise agreed with the 2025 Sales Agent. We have no obligation to sell any shares under the 2025 Sales Agreement, and may at any time suspend offers under the 2025 Sales Agreement or terminate the 2025 Sales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description of the 2025 Sales Agreement is not complete and is qualified in its entirety by reference to the 2025 Sales Agreement, a copy of which will be filed as Exhibit 1.2 to the 2025 Registration Statement and is incorporated herein by reference.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bookmarkStart w:id="18" w:name="ii_item6"/>
      <w:bookmarkEnd w:id="18"/>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023"/>
        <w:gridCol w:w="146"/>
        <w:gridCol w:w="5378"/>
        <w:gridCol w:w="146"/>
        <w:gridCol w:w="586"/>
        <w:gridCol w:w="146"/>
        <w:gridCol w:w="609"/>
        <w:gridCol w:w="146"/>
        <w:gridCol w:w="796"/>
        <w:gridCol w:w="146"/>
        <w:gridCol w:w="1083"/>
      </w:tblGrid>
      <w:tr>
        <w:trPr/>
        <w:tc>
          <w:tcPr>
            <w:tcW w:w="1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102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7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Filed Herewith</w:t>
            </w:r>
          </w:p>
        </w:tc>
      </w:tr>
      <w:tr>
        <w:trPr/>
        <w:tc>
          <w:tcPr>
            <w:tcW w:w="10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of Amended and Restated Certificate of Incorporation, dated May 29,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5/31/24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effective as of October 26,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10/26/23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Specimen stock certificate evidencing the shares of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Investors’ Rights Agreement, dated March 5, 2021, by and among the Registrant and certain of its stockholders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Pre-Funded Warrant</w:t>
              </w:r>
            </w:hyperlink>
            <w:hyperlink r:id="rId8">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Exchange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31_1.htm">
              <w:r>
                <w:rPr>
                  <w:rStyle w:val="InternetLink"/>
                  <w:rFonts w:ascii="Times New Roman" w:hAnsi="Times New Roman"/>
                  <w:color w:val="0000FF"/>
                  <w:sz w:val="20"/>
                  <w:u w:val="single"/>
                </w:rPr>
                <w:t>Certification of Chief Executive Officer, as required by Rule 13a-14(a) or Rule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31_2.htm">
              <w:r>
                <w:rPr>
                  <w:rStyle w:val="InternetLink"/>
                  <w:rFonts w:ascii="Times New Roman" w:hAnsi="Times New Roman"/>
                  <w:color w:val="0000FF"/>
                  <w:sz w:val="20"/>
                  <w:u w:val="single"/>
                </w:rPr>
                <w:t>Certification of Chief Financial Officer, as required by Rule 13a-14(a) or Rule 15d-14(a), as adopted pursuant to Section 302 of the Sarbanes-Oxley Act of 2002</w:t>
              </w:r>
            </w:hyperlink>
            <w:hyperlink w:anchor="tyra-ex31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32_1.htm">
              <w:r>
                <w:rPr>
                  <w:rStyle w:val="InternetLink"/>
                  <w:rFonts w:ascii="Times New Roman" w:hAnsi="Times New Roman"/>
                  <w:color w:val="0000FF"/>
                  <w:sz w:val="20"/>
                  <w:u w:val="single"/>
                </w:rPr>
                <w:t>Certification of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32_2.htm">
              <w:r>
                <w:rPr>
                  <w:rStyle w:val="InternetLink"/>
                  <w:rFonts w:ascii="Times New Roman" w:hAnsi="Times New Roman"/>
                  <w:color w:val="0000FF"/>
                  <w:sz w:val="20"/>
                  <w:u w:val="single"/>
                </w:rPr>
                <w:t>Certification of Chief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 This certification is deemed not filed for purpose of Section 18 of the Exchange Act or otherwise subject to the liability of that section, nor shall it be deemed incorporated by reference into any filing under the Securities Act or the Exchange Act.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signatures"/>
      <w:bookmarkEnd w:id="19"/>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374" w:type="dxa"/>
        <w:jc w:val="left"/>
        <w:tblInd w:w="0" w:type="dxa"/>
        <w:tblLayout w:type="fixed"/>
        <w:tblCellMar>
          <w:top w:w="28" w:type="dxa"/>
          <w:left w:w="28" w:type="dxa"/>
          <w:bottom w:w="28" w:type="dxa"/>
          <w:right w:w="28" w:type="dxa"/>
        </w:tblCellMar>
      </w:tblPr>
      <w:tblGrid>
        <w:gridCol w:w="1636"/>
        <w:gridCol w:w="146"/>
        <w:gridCol w:w="406"/>
        <w:gridCol w:w="418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TYRA BIOSCIENCES,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Harris, Ph.D.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Todd Harris, Ph.D.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Director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20"/>
              </w:rPr>
              <w:t>(Principal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Alan Fuhrman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Alan Fuhrman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bookmarkStart w:id="20" w:name="tyra-ex31_1.htm"/>
      <w:bookmarkStart w:id="21" w:name="kstyraex31_1"/>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Todd Harris,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Tyra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6337" w:type="dxa"/>
        <w:jc w:val="left"/>
        <w:tblInd w:w="0" w:type="dxa"/>
        <w:tblLayout w:type="fixed"/>
        <w:tblCellMar>
          <w:top w:w="28" w:type="dxa"/>
          <w:left w:w="28" w:type="dxa"/>
          <w:bottom w:w="28" w:type="dxa"/>
          <w:right w:w="28" w:type="dxa"/>
        </w:tblCellMar>
      </w:tblPr>
      <w:tblGrid>
        <w:gridCol w:w="1636"/>
        <w:gridCol w:w="109"/>
        <w:gridCol w:w="406"/>
        <w:gridCol w:w="418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Harris, Ph.D.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Todd Harris, Ph.D.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Director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tyra-ex31_2.htm"/>
      <w:bookmarkStart w:id="23" w:name="kstyraex31_2"/>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Alan Fuhrman,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Tyra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4252" w:type="dxa"/>
        <w:jc w:val="left"/>
        <w:tblInd w:w="0" w:type="dxa"/>
        <w:tblLayout w:type="fixed"/>
        <w:tblCellMar>
          <w:top w:w="28" w:type="dxa"/>
          <w:left w:w="28" w:type="dxa"/>
          <w:bottom w:w="28" w:type="dxa"/>
          <w:right w:w="28" w:type="dxa"/>
        </w:tblCellMar>
      </w:tblPr>
      <w:tblGrid>
        <w:gridCol w:w="1636"/>
        <w:gridCol w:w="109"/>
        <w:gridCol w:w="406"/>
        <w:gridCol w:w="210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Alan Fuhrman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Alan Fuhrman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tyra-ex32_1.htm"/>
      <w:bookmarkStart w:id="25" w:name="kstyraex32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Quarterly Report of Tyra Biosciences, Inc. (the “Company”) on Form 10-Q for the period ending March 31, 2025 as filed with the Securities and Exchange Commission on the date hereof (the “Report”), I certify, pursuant to 18 U.S.C. § 1350, as adopted pursuant to § 906 of the Sarbanes-Oxley Act of 2002, that:</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pBdr/>
        <w:bidi w:val="0"/>
        <w:ind w:left="0" w:right="0" w:hanging="490"/>
        <w:jc w:val="left"/>
        <w:rPr/>
      </w:pPr>
      <w:r>
        <w:rPr/>
        <w:t> </w:t>
      </w:r>
    </w:p>
    <w:tbl>
      <w:tblPr>
        <w:tblW w:w="6337" w:type="dxa"/>
        <w:jc w:val="left"/>
        <w:tblInd w:w="0" w:type="dxa"/>
        <w:tblLayout w:type="fixed"/>
        <w:tblCellMar>
          <w:top w:w="28" w:type="dxa"/>
          <w:left w:w="28" w:type="dxa"/>
          <w:bottom w:w="28" w:type="dxa"/>
          <w:right w:w="28" w:type="dxa"/>
        </w:tblCellMar>
      </w:tblPr>
      <w:tblGrid>
        <w:gridCol w:w="1636"/>
        <w:gridCol w:w="109"/>
        <w:gridCol w:w="406"/>
        <w:gridCol w:w="418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Harris, Ph.D.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Todd Harris, Ph.D.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Director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tyra-ex32_2.htm"/>
      <w:bookmarkStart w:id="27" w:name="kstyraex32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Quarterly Report of Tyra Biosciences, Inc. (the “Company”) on Form 10-Q for the period ending March 31, 2025 as filed with the Securities and Exchange Commission on the date hereof (the “Report”), I certify, pursuant to 18 U.S.C. § 1350, as adopted pursuant to § 906 of the Sarbanes-Oxley Act of 2002, that:</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pBdr/>
        <w:bidi w:val="0"/>
        <w:ind w:left="0" w:right="0" w:hanging="490"/>
        <w:jc w:val="left"/>
        <w:rPr/>
      </w:pPr>
      <w:r>
        <w:rPr/>
        <w:t> </w:t>
      </w:r>
    </w:p>
    <w:tbl>
      <w:tblPr>
        <w:tblW w:w="4252" w:type="dxa"/>
        <w:jc w:val="left"/>
        <w:tblInd w:w="0" w:type="dxa"/>
        <w:tblLayout w:type="fixed"/>
        <w:tblCellMar>
          <w:top w:w="28" w:type="dxa"/>
          <w:left w:w="28" w:type="dxa"/>
          <w:bottom w:w="28" w:type="dxa"/>
          <w:right w:w="28" w:type="dxa"/>
        </w:tblCellMar>
      </w:tblPr>
      <w:tblGrid>
        <w:gridCol w:w="1636"/>
        <w:gridCol w:w="109"/>
        <w:gridCol w:w="406"/>
        <w:gridCol w:w="210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Alan Fuhrman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Alan Fuhrman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3127/000095017023009181/tyra-ex3_1.htm" TargetMode="External"/><Relationship Id="rId3" Type="http://schemas.openxmlformats.org/officeDocument/2006/relationships/hyperlink" Target="https://www.sec.gov/Archives/edgar/data/1863127/000119312524151705/d807421dex31.htm" TargetMode="External"/><Relationship Id="rId4" Type="http://schemas.openxmlformats.org/officeDocument/2006/relationships/hyperlink" Target="https://www.sec.gov/Archives/edgar/data/1863127/000119312523264152/d537796dex31.htm" TargetMode="External"/><Relationship Id="rId5" Type="http://schemas.openxmlformats.org/officeDocument/2006/relationships/hyperlink" Target="https://www.sec.gov/Archives/edgar/data/1863127/000119312521252729/d189651dex41.htm" TargetMode="External"/><Relationship Id="rId6" Type="http://schemas.openxmlformats.org/officeDocument/2006/relationships/hyperlink" Target="https://www.sec.gov/Archives/edgar/data/1863127/000119312521268272/d189651dex42.htm" TargetMode="External"/><Relationship Id="rId7" Type="http://schemas.openxmlformats.org/officeDocument/2006/relationships/hyperlink" Target="https://www.sec.gov/Archives/edgar/data/1863127/000119312524023367/d620082dex41.htm" TargetMode="External"/><Relationship Id="rId8" Type="http://schemas.openxmlformats.org/officeDocument/2006/relationships/hyperlink" Target="https://www.sec.gov/Archives/edgar/data/1863127/000119312524023367/d620082dex41.htm" TargetMode="External"/><Relationship Id="rId9" Type="http://schemas.openxmlformats.org/officeDocument/2006/relationships/hyperlink" Target="https://www.sec.gov/Archives/edgar/data/1863127/000119312524239650/d814860dex4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14143</Words>
  <Characters>78891</Characters>
  <CharactersWithSpaces>93618</CharactersWithSpaces>
  <Paragraphs>3631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