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80" w:right="1620" w:hanging="3859"/>
        <w:spacing w:after="0" w:line="313"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480" w:right="1600" w:hanging="3459"/>
        <w:spacing w:after="0" w:line="313"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TYRA BIOSCIENCES, INC.</w:t>
      </w:r>
    </w:p>
    <w:p>
      <w:pPr>
        <w:sectPr>
          <w:pgSz w:w="11900" w:h="16838" w:orient="portrait"/>
          <w:cols w:equalWidth="0" w:num="1">
            <w:col w:w="11240"/>
          </w:cols>
          <w:pgMar w:left="320" w:top="868"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8"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83-1476348</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1" w:lineRule="exact"/>
        <w:rPr>
          <w:sz w:val="24"/>
          <w:szCs w:val="24"/>
          <w:color w:val="auto"/>
        </w:rPr>
      </w:pPr>
    </w:p>
    <w:p>
      <w:pPr>
        <w:sectPr>
          <w:pgSz w:w="11900" w:h="16838" w:orient="portrait"/>
          <w:cols w:equalWidth="0" w:num="2">
            <w:col w:w="7700" w:space="240"/>
            <w:col w:w="3300"/>
          </w:cols>
          <w:pgMar w:left="320" w:top="868" w:right="339" w:bottom="1440" w:gutter="0" w:footer="0" w:header="0"/>
          <w:type w:val="continuous"/>
        </w:sectPr>
      </w:pPr>
    </w:p>
    <w:tbl>
      <w:tblPr>
        <w:tblLayout w:type="fixed"/>
        <w:tblInd w:w="1780" w:type="dxa"/>
        <w:tblCellMar>
          <w:top w:w="0" w:type="dxa"/>
          <w:left w:w="0" w:type="dxa"/>
          <w:bottom w:w="0" w:type="dxa"/>
          <w:right w:w="0" w:type="dxa"/>
        </w:tblCellMar>
      </w:tblPr>
      <w:tr>
        <w:trPr>
          <w:trHeight w:val="187"/>
        </w:trPr>
        <w:tc>
          <w:tcPr>
            <w:tcW w:w="4220" w:type="dxa"/>
            <w:vAlign w:val="bottom"/>
          </w:tcPr>
          <w:p>
            <w:pPr>
              <w:jc w:val="center"/>
              <w:ind w:right="2079"/>
              <w:spacing w:after="0" w:line="188" w:lineRule="exact"/>
              <w:rPr>
                <w:sz w:val="20"/>
                <w:szCs w:val="20"/>
                <w:color w:val="auto"/>
              </w:rPr>
            </w:pPr>
            <w:r>
              <w:rPr>
                <w:rFonts w:ascii="Arial" w:cs="Arial" w:eastAsia="Arial" w:hAnsi="Arial"/>
                <w:sz w:val="18"/>
                <w:szCs w:val="18"/>
                <w:b w:val="1"/>
                <w:bCs w:val="1"/>
                <w:color w:val="auto"/>
                <w:w w:val="89"/>
              </w:rPr>
              <w:t>2656 State Street</w:t>
            </w:r>
          </w:p>
        </w:tc>
        <w:tc>
          <w:tcPr>
            <w:tcW w:w="2720" w:type="dxa"/>
            <w:vAlign w:val="bottom"/>
          </w:tcPr>
          <w:p>
            <w:pPr>
              <w:spacing w:after="0"/>
              <w:rPr>
                <w:sz w:val="16"/>
                <w:szCs w:val="16"/>
                <w:color w:val="auto"/>
              </w:rPr>
            </w:pPr>
          </w:p>
        </w:tc>
      </w:tr>
      <w:tr>
        <w:trPr>
          <w:trHeight w:val="216"/>
        </w:trPr>
        <w:tc>
          <w:tcPr>
            <w:tcW w:w="4220" w:type="dxa"/>
            <w:vAlign w:val="bottom"/>
          </w:tcPr>
          <w:p>
            <w:pPr>
              <w:jc w:val="center"/>
              <w:ind w:right="2059"/>
              <w:spacing w:after="0"/>
              <w:rPr>
                <w:sz w:val="20"/>
                <w:szCs w:val="20"/>
                <w:color w:val="auto"/>
              </w:rPr>
            </w:pPr>
            <w:r>
              <w:rPr>
                <w:rFonts w:ascii="Arial" w:cs="Arial" w:eastAsia="Arial" w:hAnsi="Arial"/>
                <w:sz w:val="18"/>
                <w:szCs w:val="18"/>
                <w:b w:val="1"/>
                <w:bCs w:val="1"/>
                <w:color w:val="auto"/>
                <w:w w:val="94"/>
              </w:rPr>
              <w:t>Carlsbad, California</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92008</w:t>
            </w:r>
          </w:p>
        </w:tc>
      </w:tr>
      <w:tr>
        <w:trPr>
          <w:trHeight w:val="164"/>
        </w:trPr>
        <w:tc>
          <w:tcPr>
            <w:tcW w:w="4220" w:type="dxa"/>
            <w:vAlign w:val="bottom"/>
          </w:tcPr>
          <w:p>
            <w:pPr>
              <w:jc w:val="center"/>
              <w:ind w:right="205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(619) 728-4760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TYRA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Global Select Market</w:t>
            </w:r>
          </w:p>
        </w:tc>
        <w:tc>
          <w:tcPr>
            <w:tcW w:w="0" w:type="dxa"/>
            <w:vAlign w:val="bottom"/>
          </w:tcPr>
          <w:p>
            <w:pPr>
              <w:spacing w:after="0"/>
              <w:rPr>
                <w:sz w:val="1"/>
                <w:szCs w:val="1"/>
                <w:color w:val="auto"/>
              </w:rPr>
            </w:pPr>
          </w:p>
        </w:tc>
      </w:tr>
    </w:tbl>
    <w:p>
      <w:pPr>
        <w:spacing w:after="0" w:line="158"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54"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2022, the registrant had 41,973,623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0" w:type="dxa"/>
            <w:vAlign w:val="bottom"/>
            <w:gridSpan w:val="5"/>
          </w:tcPr>
          <w:p>
            <w:pPr>
              <w:ind w:left="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21"/>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Balance Sheets</w:t>
              </w:r>
            </w:hyperlink>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7"/>
              </w:rPr>
            </w:pPr>
            <w:hyperlink w:anchor="page4">
              <w:r>
                <w:rPr>
                  <w:rFonts w:ascii="Arial" w:cs="Arial" w:eastAsia="Arial" w:hAnsi="Arial"/>
                  <w:sz w:val="18"/>
                  <w:szCs w:val="18"/>
                  <w:color w:val="0000FF"/>
                  <w:w w:val="97"/>
                </w:rPr>
                <w:t>Statements of</w:t>
              </w:r>
            </w:hyperlink>
          </w:p>
        </w:tc>
        <w:tc>
          <w:tcPr>
            <w:tcW w:w="20" w:type="dxa"/>
            <w:vAlign w:val="bottom"/>
            <w:tcBorders>
              <w:top w:val="single" w:sz="8" w:color="0000EE"/>
              <w:bottom w:val="single" w:sz="8" w:color="0000FF"/>
            </w:tcBorders>
          </w:tcPr>
          <w:p>
            <w:pPr>
              <w:spacing w:after="0"/>
              <w:rPr>
                <w:sz w:val="14"/>
                <w:szCs w:val="14"/>
                <w:color w:val="auto"/>
              </w:rPr>
            </w:pPr>
          </w:p>
        </w:tc>
        <w:tc>
          <w:tcPr>
            <w:tcW w:w="2580" w:type="dxa"/>
            <w:vAlign w:val="bottom"/>
            <w:tcBorders>
              <w:bottom w:val="single" w:sz="8" w:color="0000FF"/>
            </w:tcBorders>
            <w:gridSpan w:val="11"/>
          </w:tcPr>
          <w:p>
            <w:pPr>
              <w:spacing w:after="0" w:line="169"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Operations and Comprehensive Loss</w:t>
              </w:r>
            </w:hyperlink>
          </w:p>
        </w:tc>
        <w:tc>
          <w:tcPr>
            <w:tcW w:w="560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Statements of Convertible Preferred Stock and Stockholders' Equity (Deficit)</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Statements of Cash Flows</w:t>
              </w:r>
            </w:hyperlink>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Notes to Financial Statements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2160" w:type="dxa"/>
            <w:vAlign w:val="bottom"/>
            <w:tcBorders>
              <w:top w:val="single" w:sz="8" w:color="0000FF"/>
            </w:tcBorders>
            <w:gridSpan w:val="12"/>
          </w:tcPr>
          <w:p>
            <w:pPr>
              <w:spacing w:after="0" w:line="169" w:lineRule="exact"/>
              <w:rPr>
                <w:rFonts w:ascii="Arial" w:cs="Arial" w:eastAsia="Arial" w:hAnsi="Arial"/>
                <w:sz w:val="18"/>
                <w:szCs w:val="18"/>
                <w:color w:val="0000FF"/>
                <w:w w:val="87"/>
              </w:rPr>
            </w:pPr>
            <w:hyperlink w:anchor="page14">
              <w:r>
                <w:rPr>
                  <w:rFonts w:ascii="Arial" w:cs="Arial" w:eastAsia="Arial" w:hAnsi="Arial"/>
                  <w:sz w:val="18"/>
                  <w:szCs w:val="18"/>
                  <w:color w:val="0000FF"/>
                  <w:w w:val="87"/>
                </w:rPr>
                <w:t>Management’s Discussion and</w:t>
              </w:r>
            </w:hyperlink>
          </w:p>
        </w:tc>
        <w:tc>
          <w:tcPr>
            <w:tcW w:w="20" w:type="dxa"/>
            <w:vAlign w:val="bottom"/>
            <w:tcBorders>
              <w:top w:val="single" w:sz="8" w:color="0000EE"/>
            </w:tcBorders>
          </w:tcPr>
          <w:p>
            <w:pPr>
              <w:spacing w:after="0"/>
              <w:rPr>
                <w:sz w:val="14"/>
                <w:szCs w:val="14"/>
                <w:color w:val="auto"/>
              </w:rPr>
            </w:pPr>
          </w:p>
        </w:tc>
        <w:tc>
          <w:tcPr>
            <w:tcW w:w="7120" w:type="dxa"/>
            <w:vAlign w:val="bottom"/>
            <w:gridSpan w:val="8"/>
          </w:tcPr>
          <w:p>
            <w:pPr>
              <w:ind w:left="80"/>
              <w:spacing w:after="0" w:line="169" w:lineRule="exact"/>
              <w:rPr>
                <w:rFonts w:ascii="Arial" w:cs="Arial" w:eastAsia="Arial" w:hAnsi="Arial"/>
                <w:sz w:val="18"/>
                <w:szCs w:val="18"/>
                <w:color w:val="0000FF"/>
              </w:rPr>
            </w:pPr>
            <w:hyperlink w:anchor="page14">
              <w:r>
                <w:rPr>
                  <w:rFonts w:ascii="Arial" w:cs="Arial" w:eastAsia="Arial" w:hAnsi="Arial"/>
                  <w:sz w:val="18"/>
                  <w:szCs w:val="18"/>
                  <w:color w:val="0000FF"/>
                </w:rPr>
                <w:t>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21">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88"/>
              </w:rPr>
            </w:pPr>
            <w:hyperlink w:anchor="page22">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8"/>
          </w:tcPr>
          <w:p>
            <w:pPr>
              <w:spacing w:after="0"/>
              <w:rPr>
                <w:sz w:val="14"/>
                <w:szCs w:val="14"/>
                <w:color w:val="auto"/>
              </w:rPr>
            </w:pPr>
          </w:p>
        </w:tc>
        <w:tc>
          <w:tcPr>
            <w:tcW w:w="4920" w:type="dxa"/>
            <w:vAlign w:val="bottom"/>
            <w:gridSpan w:val="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10"/>
          </w:tcPr>
          <w:p>
            <w:pPr>
              <w:spacing w:after="0" w:line="169" w:lineRule="exact"/>
              <w:rPr>
                <w:rFonts w:ascii="Arial" w:cs="Arial" w:eastAsia="Arial" w:hAnsi="Arial"/>
                <w:sz w:val="18"/>
                <w:szCs w:val="18"/>
                <w:color w:val="0000FF"/>
                <w:w w:val="91"/>
              </w:rPr>
            </w:pPr>
            <w:hyperlink w:anchor="page23">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2020" w:type="dxa"/>
            <w:vAlign w:val="bottom"/>
            <w:gridSpan w:val="2"/>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11"/>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440" w:type="dxa"/>
            <w:vAlign w:val="bottom"/>
            <w:gridSpan w:val="4"/>
          </w:tcPr>
          <w:p>
            <w:pPr>
              <w:spacing w:after="0"/>
              <w:rPr>
                <w:sz w:val="14"/>
                <w:szCs w:val="14"/>
                <w:color w:val="auto"/>
              </w:rPr>
            </w:pPr>
          </w:p>
        </w:tc>
        <w:tc>
          <w:tcPr>
            <w:tcW w:w="2020" w:type="dxa"/>
            <w:vAlign w:val="bottom"/>
            <w:gridSpan w:val="2"/>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4"/>
          </w:tcPr>
          <w:p>
            <w:pPr>
              <w:spacing w:after="0"/>
              <w:rPr>
                <w:sz w:val="14"/>
                <w:szCs w:val="14"/>
                <w:color w:val="auto"/>
              </w:rPr>
            </w:pPr>
          </w:p>
        </w:tc>
        <w:tc>
          <w:tcPr>
            <w:tcW w:w="1000" w:type="dxa"/>
            <w:vAlign w:val="bottom"/>
            <w:gridSpan w:val="8"/>
          </w:tcPr>
          <w:p>
            <w:pPr>
              <w:spacing w:after="0"/>
              <w:rPr>
                <w:sz w:val="14"/>
                <w:szCs w:val="14"/>
                <w:color w:val="auto"/>
              </w:rPr>
            </w:pPr>
          </w:p>
        </w:tc>
        <w:tc>
          <w:tcPr>
            <w:tcW w:w="2020" w:type="dxa"/>
            <w:vAlign w:val="bottom"/>
            <w:gridSpan w:val="2"/>
          </w:tcPr>
          <w:p>
            <w:pPr>
              <w:spacing w:after="0"/>
              <w:rPr>
                <w:sz w:val="14"/>
                <w:szCs w:val="14"/>
                <w:color w:val="auto"/>
              </w:rPr>
            </w:pPr>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6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Unregistered</w:t>
              </w:r>
            </w:hyperlink>
          </w:p>
        </w:tc>
        <w:tc>
          <w:tcPr>
            <w:tcW w:w="8360" w:type="dxa"/>
            <w:vAlign w:val="bottom"/>
            <w:gridSpan w:val="18"/>
          </w:tcPr>
          <w:p>
            <w:pPr>
              <w:ind w:left="40"/>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Defaults Upon Senior Securities</w:t>
              </w:r>
            </w:hyperlink>
          </w:p>
        </w:tc>
        <w:tc>
          <w:tcPr>
            <w:tcW w:w="4940" w:type="dxa"/>
            <w:vAlign w:val="bottom"/>
            <w:gridSpan w:val="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696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7520" w:type="dxa"/>
            <w:vAlign w:val="bottom"/>
            <w:gridSpan w:val="1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7980" w:type="dxa"/>
            <w:vAlign w:val="bottom"/>
            <w:gridSpan w:val="1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Tyra Biosciences, Inc.</w:t>
      </w:r>
    </w:p>
    <w:p>
      <w:pPr>
        <w:jc w:val="center"/>
        <w:ind w:right="40"/>
        <w:spacing w:after="0" w:line="234" w:lineRule="auto"/>
        <w:rPr>
          <w:sz w:val="20"/>
          <w:szCs w:val="20"/>
          <w:color w:val="auto"/>
        </w:rPr>
      </w:pPr>
      <w:r>
        <w:rPr>
          <w:rFonts w:ascii="Arial" w:cs="Arial" w:eastAsia="Arial" w:hAnsi="Arial"/>
          <w:sz w:val="18"/>
          <w:szCs w:val="18"/>
          <w:b w:val="1"/>
          <w:bCs w:val="1"/>
          <w:color w:val="auto"/>
        </w:rPr>
        <w:t>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par value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275,107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302,182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277,299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304,057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5,082</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287,118</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306,701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Accounts payable (including related party amounts of $67 and $47,</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26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280" w:type="dxa"/>
            <w:vAlign w:val="bottom"/>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Lease liabilities, current</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2,989</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5,455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liabilities, noncurrent</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8,265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2)</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8"/>
                <w:szCs w:val="18"/>
                <w:color w:val="auto"/>
              </w:rPr>
              <w:t>Preferred stock, $0.0001 par value; 50,000,000 shares authorized at</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60"/>
              <w:spacing w:after="0" w:line="176" w:lineRule="exact"/>
              <w:rPr>
                <w:sz w:val="20"/>
                <w:szCs w:val="20"/>
                <w:color w:val="auto"/>
              </w:rPr>
            </w:pPr>
            <w:r>
              <w:rPr>
                <w:rFonts w:ascii="Arial" w:cs="Arial" w:eastAsia="Arial" w:hAnsi="Arial"/>
                <w:sz w:val="18"/>
                <w:szCs w:val="18"/>
                <w:color w:val="auto"/>
              </w:rPr>
              <w:t>June 30, 2022 and December 31, 2021, respectively;</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160"/>
              <w:spacing w:after="0" w:line="176" w:lineRule="exact"/>
              <w:rPr>
                <w:sz w:val="20"/>
                <w:szCs w:val="20"/>
                <w:color w:val="auto"/>
              </w:rPr>
            </w:pPr>
            <w:r>
              <w:rPr>
                <w:rFonts w:ascii="Arial" w:cs="Arial" w:eastAsia="Arial" w:hAnsi="Arial"/>
                <w:sz w:val="18"/>
                <w:szCs w:val="18"/>
                <w:color w:val="auto"/>
              </w:rPr>
              <w:t>no shares issued and outstanding at June 30, 2022 and</w:t>
            </w:r>
          </w:p>
        </w:tc>
        <w:tc>
          <w:tcPr>
            <w:tcW w:w="280" w:type="dxa"/>
            <w:vAlign w:val="bottom"/>
          </w:tcPr>
          <w:p>
            <w:pPr>
              <w:spacing w:after="0"/>
              <w:rPr>
                <w:sz w:val="15"/>
                <w:szCs w:val="15"/>
                <w:color w:val="auto"/>
              </w:rPr>
            </w:pPr>
          </w:p>
        </w:tc>
        <w:tc>
          <w:tcPr>
            <w:tcW w:w="16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60"/>
              <w:spacing w:after="0"/>
              <w:rPr>
                <w:sz w:val="20"/>
                <w:szCs w:val="20"/>
                <w:color w:val="auto"/>
              </w:rPr>
            </w:pPr>
            <w:r>
              <w:rPr>
                <w:rFonts w:ascii="Arial" w:cs="Arial" w:eastAsia="Arial" w:hAnsi="Arial"/>
                <w:sz w:val="18"/>
                <w:szCs w:val="18"/>
                <w:color w:val="auto"/>
              </w:rPr>
              <w:t>December 31, 2021, respectively</w:t>
            </w: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$0.0001 par value; 500,000,000 shares authorized at</w:t>
            </w:r>
          </w:p>
        </w:tc>
        <w:tc>
          <w:tcPr>
            <w:tcW w:w="2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June 30, 2022 and December 31, 2021, respectively; 42,580,381</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and 42,536,183 shares issued at June 30, 2022 and December 31, 2021,</w:t>
            </w:r>
          </w:p>
        </w:tc>
        <w:tc>
          <w:tcPr>
            <w:tcW w:w="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color w:val="auto"/>
              </w:rPr>
              <w:t>respectively, and 41,903,110 and 41,441,135 shares outstanding at</w:t>
            </w:r>
          </w:p>
        </w:tc>
        <w:tc>
          <w:tcPr>
            <w:tcW w:w="28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June 30, 2022 and December 31, 2021, respectively</w:t>
            </w:r>
          </w:p>
        </w:tc>
        <w:tc>
          <w:tcPr>
            <w:tcW w:w="28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349,141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342,104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(70,292 )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(40,371 )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278,853</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301,737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287,118</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306,701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-3296920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-3296920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-2379345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-2379345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12,047</w:t>
            </w:r>
          </w:p>
        </w:tc>
        <w:tc>
          <w:tcPr>
            <w:tcW w:w="240" w:type="dxa"/>
            <w:vAlign w:val="bottom"/>
          </w:tcPr>
          <w:p>
            <w:pPr>
              <w:spacing w:after="0"/>
              <w:rPr>
                <w:sz w:val="17"/>
                <w:szCs w:val="17"/>
                <w:color w:val="auto"/>
              </w:rPr>
            </w:pP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4,381</w:t>
            </w:r>
          </w:p>
        </w:tc>
        <w:tc>
          <w:tcPr>
            <w:tcW w:w="20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21,692</w:t>
            </w:r>
          </w:p>
        </w:tc>
        <w:tc>
          <w:tcPr>
            <w:tcW w:w="220" w:type="dxa"/>
            <w:vAlign w:val="bottom"/>
          </w:tcPr>
          <w:p>
            <w:pPr>
              <w:spacing w:after="0"/>
              <w:rPr>
                <w:sz w:val="17"/>
                <w:szCs w:val="17"/>
                <w:color w:val="auto"/>
              </w:rPr>
            </w:pP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General and administrative (including related</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party amounts of $186, $118, $396</w:t>
            </w:r>
          </w:p>
        </w:tc>
        <w:tc>
          <w:tcPr>
            <w:tcW w:w="32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8,570</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and $118, respectively)</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15,428</w:t>
            </w: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5,508</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30,262</w:t>
            </w: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(15,428</w:t>
            </w:r>
          </w:p>
        </w:tc>
        <w:tc>
          <w:tcPr>
            <w:tcW w:w="24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(5,508</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(30,262</w:t>
            </w:r>
          </w:p>
        </w:tc>
        <w:tc>
          <w:tcPr>
            <w:tcW w:w="220" w:type="dxa"/>
            <w:vAlign w:val="bottom"/>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(9,718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(13 )</w:t>
            </w:r>
          </w:p>
        </w:tc>
        <w:tc>
          <w:tcPr>
            <w:tcW w:w="580" w:type="dxa"/>
            <w:vAlign w:val="bottom"/>
          </w:tcPr>
          <w:p>
            <w:pPr>
              <w:spacing w:after="0"/>
              <w:rPr>
                <w:sz w:val="17"/>
                <w:szCs w:val="17"/>
                <w:color w:val="auto"/>
              </w:rPr>
            </w:pPr>
          </w:p>
        </w:tc>
        <w:tc>
          <w:tcPr>
            <w:tcW w:w="10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(8 )</w:t>
            </w:r>
          </w:p>
        </w:tc>
        <w:tc>
          <w:tcPr>
            <w:tcW w:w="340" w:type="dxa"/>
            <w:vAlign w:val="bottom"/>
          </w:tcPr>
          <w:p>
            <w:pPr>
              <w:spacing w:after="0"/>
              <w:rPr>
                <w:sz w:val="17"/>
                <w:szCs w:val="17"/>
                <w:color w:val="auto"/>
              </w:rPr>
            </w:pP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(23 )</w:t>
            </w:r>
          </w:p>
        </w:tc>
        <w:tc>
          <w:tcPr>
            <w:tcW w:w="5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w:t>
            </w:r>
          </w:p>
        </w:tc>
        <w:tc>
          <w:tcPr>
            <w:tcW w:w="24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341</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(15,095 )</w:t>
            </w:r>
          </w:p>
        </w:tc>
        <w:tc>
          <w:tcPr>
            <w:tcW w:w="58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(5,512 )</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(29,921 )</w:t>
            </w: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(9,721 )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(0.36</w:t>
            </w:r>
          </w:p>
        </w:tc>
        <w:tc>
          <w:tcPr>
            <w:tcW w:w="240" w:type="dxa"/>
            <w:vAlign w:val="bottom"/>
            <w:tcBorders>
              <w:bottom w:val="single" w:sz="8" w:color="CFF0FC"/>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39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(2.43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(0.72</w:t>
            </w:r>
          </w:p>
        </w:tc>
        <w:tc>
          <w:tcPr>
            <w:tcW w:w="220" w:type="dxa"/>
            <w:vAlign w:val="bottom"/>
            <w:tcBorders>
              <w:bottom w:val="single" w:sz="8" w:color="CFF0FC"/>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486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used to compute net loss</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41,777,206</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2,267,113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41,665,155</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2,139,889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160"/>
              <w:spacing w:after="0" w:line="156" w:lineRule="exact"/>
              <w:rPr>
                <w:sz w:val="20"/>
                <w:szCs w:val="20"/>
                <w:color w:val="auto"/>
              </w:rPr>
            </w:pPr>
            <w:r>
              <w:rPr>
                <w:rFonts w:ascii="Arial" w:cs="Arial" w:eastAsia="Arial" w:hAnsi="Arial"/>
                <w:sz w:val="18"/>
                <w:szCs w:val="18"/>
                <w:color w:val="auto"/>
              </w:rPr>
              <w:t>per share, basic and diluted</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-1367790</wp:posOffset>
            </wp:positionV>
            <wp:extent cx="774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-1367790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-1367790</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-1367790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-553720</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-553720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-553720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-264795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-248285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-264795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-248285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-264795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-248285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jc w:val="center"/>
        <w:ind w:right="20"/>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gridSpan w:val="2"/>
            <w:vMerge w:val="restart"/>
          </w:tcPr>
          <w:p>
            <w:pPr>
              <w:jc w:val="center"/>
              <w:ind w:right="244"/>
              <w:spacing w:after="0"/>
              <w:rPr>
                <w:sz w:val="20"/>
                <w:szCs w:val="20"/>
                <w:color w:val="auto"/>
              </w:rPr>
            </w:pPr>
            <w:r>
              <w:rPr>
                <w:rFonts w:ascii="Arial" w:cs="Arial" w:eastAsia="Arial" w:hAnsi="Arial"/>
                <w:sz w:val="13"/>
                <w:szCs w:val="13"/>
                <w:b w:val="1"/>
                <w:bCs w:val="1"/>
                <w:color w:val="auto"/>
                <w:w w:val="84"/>
              </w:rPr>
              <w:t>Series A</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0"/>
              </w:rPr>
              <w:t>Series B</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1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jc w:val="center"/>
              <w:ind w:right="157"/>
              <w:spacing w:after="0"/>
              <w:rPr>
                <w:sz w:val="20"/>
                <w:szCs w:val="20"/>
                <w:color w:val="auto"/>
              </w:rPr>
            </w:pPr>
            <w:r>
              <w:rPr>
                <w:rFonts w:ascii="Arial" w:cs="Arial" w:eastAsia="Arial" w:hAnsi="Arial"/>
                <w:sz w:val="13"/>
                <w:szCs w:val="13"/>
                <w:b w:val="1"/>
                <w:bCs w:val="1"/>
                <w:color w:val="auto"/>
                <w:w w:val="88"/>
              </w:rPr>
              <w:t>Accumulated</w:t>
            </w:r>
          </w:p>
        </w:tc>
        <w:tc>
          <w:tcPr>
            <w:tcW w:w="960" w:type="dxa"/>
            <w:vAlign w:val="bottom"/>
            <w:gridSpan w:val="3"/>
          </w:tcPr>
          <w:p>
            <w:pPr>
              <w:jc w:val="center"/>
              <w:ind w:right="58"/>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500" w:type="dxa"/>
            <w:vAlign w:val="bottom"/>
            <w:gridSpan w:val="3"/>
          </w:tcPr>
          <w:p>
            <w:pPr>
              <w:jc w:val="center"/>
              <w:ind w:left="39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10"/>
                <w:szCs w:val="10"/>
                <w:color w:val="auto"/>
              </w:rPr>
            </w:pPr>
          </w:p>
        </w:tc>
        <w:tc>
          <w:tcPr>
            <w:tcW w:w="1640" w:type="dxa"/>
            <w:vAlign w:val="bottom"/>
            <w:gridSpan w:val="3"/>
            <w:vMerge w:val="restart"/>
          </w:tcPr>
          <w:p>
            <w:pPr>
              <w:jc w:val="center"/>
              <w:ind w:left="119"/>
              <w:spacing w:after="0"/>
              <w:rPr>
                <w:sz w:val="20"/>
                <w:szCs w:val="20"/>
                <w:color w:val="auto"/>
              </w:rPr>
            </w:pPr>
            <w:r>
              <w:rPr>
                <w:rFonts w:ascii="Arial" w:cs="Arial" w:eastAsia="Arial" w:hAnsi="Arial"/>
                <w:sz w:val="13"/>
                <w:szCs w:val="13"/>
                <w:b w:val="1"/>
                <w:bCs w:val="1"/>
                <w:color w:val="auto"/>
                <w:w w:val="85"/>
              </w:rPr>
              <w:t>Common Stock</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38"/>
              <w:spacing w:after="0" w:line="12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500" w:type="dxa"/>
            <w:vAlign w:val="bottom"/>
            <w:gridSpan w:val="3"/>
          </w:tcPr>
          <w:p>
            <w:pPr>
              <w:jc w:val="center"/>
              <w:ind w:left="397"/>
              <w:spacing w:after="0"/>
              <w:rPr>
                <w:sz w:val="20"/>
                <w:szCs w:val="20"/>
                <w:color w:val="auto"/>
              </w:rPr>
            </w:pPr>
            <w:r>
              <w:rPr>
                <w:rFonts w:ascii="Arial" w:cs="Arial" w:eastAsia="Arial" w:hAnsi="Arial"/>
                <w:sz w:val="13"/>
                <w:szCs w:val="13"/>
                <w:b w:val="1"/>
                <w:bCs w:val="1"/>
                <w:color w:val="auto"/>
                <w:w w:val="86"/>
              </w:rPr>
              <w:t>Preferred Stock</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97"/>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820" w:type="dxa"/>
            <w:vAlign w:val="bottom"/>
            <w:gridSpan w:val="2"/>
          </w:tcPr>
          <w:p>
            <w:pPr>
              <w:jc w:val="center"/>
              <w:ind w:right="21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60" w:type="dxa"/>
            <w:vAlign w:val="bottom"/>
            <w:shd w:val="clear" w:color="auto" w:fill="CFF0FC"/>
          </w:tcPr>
          <w:p>
            <w:pPr>
              <w:spacing w:after="0" w:line="102" w:lineRule="exact"/>
              <w:rPr>
                <w:sz w:val="20"/>
                <w:szCs w:val="20"/>
                <w:color w:val="auto"/>
              </w:rPr>
            </w:pPr>
            <w:r>
              <w:rPr>
                <w:rFonts w:ascii="Arial" w:cs="Arial" w:eastAsia="Arial" w:hAnsi="Arial"/>
                <w:sz w:val="10"/>
                <w:szCs w:val="10"/>
                <w:b w:val="1"/>
                <w:bCs w:val="1"/>
                <w:color w:val="auto"/>
              </w:rPr>
              <w:t>Balance at December 31,</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3,374,560</w:t>
            </w:r>
          </w:p>
        </w:tc>
        <w:tc>
          <w:tcPr>
            <w:tcW w:w="740" w:type="dxa"/>
            <w:vAlign w:val="bottom"/>
            <w:gridSpan w:val="2"/>
            <w:vMerge w:val="restart"/>
            <w:shd w:val="clear" w:color="auto" w:fill="CFF0FC"/>
          </w:tcPr>
          <w:p>
            <w:pPr>
              <w:jc w:val="right"/>
              <w:ind w:right="384"/>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27,651</w:t>
            </w:r>
          </w:p>
        </w:tc>
        <w:tc>
          <w:tcPr>
            <w:tcW w:w="240" w:type="dxa"/>
            <w:vAlign w:val="bottom"/>
            <w:shd w:val="clear" w:color="auto" w:fill="CFF0FC"/>
          </w:tcPr>
          <w:p>
            <w:pPr>
              <w:spacing w:after="0"/>
              <w:rPr>
                <w:sz w:val="8"/>
                <w:szCs w:val="8"/>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1,829,377</w:t>
            </w:r>
          </w:p>
        </w:tc>
        <w:tc>
          <w:tcPr>
            <w:tcW w:w="940" w:type="dxa"/>
            <w:vAlign w:val="bottom"/>
            <w:gridSpan w:val="2"/>
            <w:vMerge w:val="restart"/>
            <w:shd w:val="clear" w:color="auto" w:fill="CFF0FC"/>
          </w:tcPr>
          <w:p>
            <w:pPr>
              <w:jc w:val="center"/>
              <w:ind w:right="417"/>
              <w:spacing w:after="0"/>
              <w:rPr>
                <w:sz w:val="20"/>
                <w:szCs w:val="20"/>
                <w:color w:val="auto"/>
              </w:rPr>
            </w:pPr>
            <w:r>
              <w:rPr>
                <w:rFonts w:ascii="Arial" w:cs="Arial" w:eastAsia="Arial" w:hAnsi="Arial"/>
                <w:sz w:val="13"/>
                <w:szCs w:val="13"/>
                <w:color w:val="auto"/>
                <w:w w:val="82"/>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439</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(14,077 )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FF0FC"/>
          </w:tcPr>
          <w:p>
            <w:pPr>
              <w:jc w:val="right"/>
              <w:ind w:right="18"/>
              <w:spacing w:after="0"/>
              <w:rPr>
                <w:sz w:val="20"/>
                <w:szCs w:val="20"/>
                <w:color w:val="auto"/>
              </w:rPr>
            </w:pPr>
            <w:r>
              <w:rPr>
                <w:rFonts w:ascii="Arial" w:cs="Arial" w:eastAsia="Arial" w:hAnsi="Arial"/>
                <w:sz w:val="13"/>
                <w:szCs w:val="13"/>
                <w:color w:val="auto"/>
              </w:rPr>
              <w:t>(13,638 )</w:t>
            </w: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2020</w:t>
            </w:r>
          </w:p>
        </w:tc>
        <w:tc>
          <w:tcPr>
            <w:tcW w:w="760" w:type="dxa"/>
            <w:vAlign w:val="bottom"/>
            <w:vMerge w:val="continue"/>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tcBorders>
              <w:right w:val="single" w:sz="8" w:color="CFF0FC"/>
            </w:tcBorders>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line="108" w:lineRule="exact"/>
              <w:rPr>
                <w:sz w:val="20"/>
                <w:szCs w:val="20"/>
                <w:color w:val="auto"/>
              </w:rPr>
            </w:pPr>
            <w:r>
              <w:rPr>
                <w:rFonts w:ascii="Arial" w:cs="Arial" w:eastAsia="Arial" w:hAnsi="Arial"/>
                <w:sz w:val="12"/>
                <w:szCs w:val="12"/>
                <w:color w:val="auto"/>
              </w:rPr>
              <w:t>Issuance of Series A</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3"/>
                <w:szCs w:val="13"/>
                <w:color w:val="auto"/>
              </w:rPr>
              <w:t>convertible</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100"/>
              <w:spacing w:after="0" w:line="122" w:lineRule="exact"/>
              <w:rPr>
                <w:sz w:val="20"/>
                <w:szCs w:val="20"/>
                <w:color w:val="auto"/>
              </w:rPr>
            </w:pPr>
            <w:r>
              <w:rPr>
                <w:rFonts w:ascii="Arial" w:cs="Arial" w:eastAsia="Arial" w:hAnsi="Arial"/>
                <w:sz w:val="13"/>
                <w:szCs w:val="13"/>
                <w:color w:val="auto"/>
              </w:rPr>
              <w:t>preferred stock, net of</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2" w:lineRule="exact"/>
              <w:rPr>
                <w:sz w:val="20"/>
                <w:szCs w:val="20"/>
                <w:color w:val="auto"/>
              </w:rPr>
            </w:pPr>
            <w:r>
              <w:rPr>
                <w:rFonts w:ascii="Arial" w:cs="Arial" w:eastAsia="Arial" w:hAnsi="Arial"/>
                <w:sz w:val="13"/>
                <w:szCs w:val="13"/>
                <w:color w:val="auto"/>
              </w:rPr>
              <w:t>issuance</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2,848,486</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23,495</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660" w:type="dxa"/>
            <w:vAlign w:val="bottom"/>
          </w:tcPr>
          <w:p>
            <w:pPr>
              <w:ind w:left="100"/>
              <w:spacing w:after="0"/>
              <w:rPr>
                <w:sz w:val="20"/>
                <w:szCs w:val="20"/>
                <w:color w:val="auto"/>
              </w:rPr>
            </w:pPr>
            <w:r>
              <w:rPr>
                <w:rFonts w:ascii="Arial" w:cs="Arial" w:eastAsia="Arial" w:hAnsi="Arial"/>
                <w:sz w:val="13"/>
                <w:szCs w:val="13"/>
                <w:color w:val="auto"/>
              </w:rPr>
              <w:t>costs</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6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Issuance of Series B</w:t>
            </w: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convertible</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ind w:left="100"/>
              <w:spacing w:after="0" w:line="122" w:lineRule="exact"/>
              <w:rPr>
                <w:sz w:val="20"/>
                <w:szCs w:val="20"/>
                <w:color w:val="auto"/>
              </w:rPr>
            </w:pPr>
            <w:r>
              <w:rPr>
                <w:rFonts w:ascii="Arial" w:cs="Arial" w:eastAsia="Arial" w:hAnsi="Arial"/>
                <w:sz w:val="13"/>
                <w:szCs w:val="13"/>
                <w:color w:val="auto"/>
              </w:rPr>
              <w:t>preferred stock, net of</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issuance</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3,874,793</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106,128</w:t>
            </w:r>
          </w:p>
        </w:tc>
        <w:tc>
          <w:tcPr>
            <w:tcW w:w="2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costs</w:t>
            </w: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000" w:type="dxa"/>
            <w:vAlign w:val="bottom"/>
            <w:tcBorders>
              <w:right w:val="single" w:sz="8" w:color="CFF0FC"/>
            </w:tcBorders>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line="108" w:lineRule="exact"/>
              <w:rPr>
                <w:sz w:val="20"/>
                <w:szCs w:val="20"/>
                <w:color w:val="auto"/>
              </w:rPr>
            </w:pPr>
            <w:r>
              <w:rPr>
                <w:rFonts w:ascii="Arial" w:cs="Arial" w:eastAsia="Arial" w:hAnsi="Arial"/>
                <w:sz w:val="12"/>
                <w:szCs w:val="12"/>
                <w:color w:val="auto"/>
              </w:rPr>
              <w:t>Issuance of common stock</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2" w:lineRule="exact"/>
              <w:rPr>
                <w:sz w:val="20"/>
                <w:szCs w:val="20"/>
                <w:color w:val="auto"/>
              </w:rPr>
            </w:pPr>
            <w:r>
              <w:rPr>
                <w:rFonts w:ascii="Arial" w:cs="Arial" w:eastAsia="Arial" w:hAnsi="Arial"/>
                <w:sz w:val="13"/>
                <w:szCs w:val="13"/>
                <w:color w:val="auto"/>
              </w:rPr>
              <w:t>under</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139,212</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60" w:type="dxa"/>
            <w:vAlign w:val="bottom"/>
          </w:tcPr>
          <w:p>
            <w:pPr>
              <w:ind w:left="100"/>
              <w:spacing w:after="0"/>
              <w:rPr>
                <w:sz w:val="20"/>
                <w:szCs w:val="20"/>
                <w:color w:val="auto"/>
              </w:rPr>
            </w:pPr>
            <w:r>
              <w:rPr>
                <w:rFonts w:ascii="Arial" w:cs="Arial" w:eastAsia="Arial" w:hAnsi="Arial"/>
                <w:sz w:val="13"/>
                <w:szCs w:val="13"/>
                <w:color w:val="auto"/>
              </w:rPr>
              <w:t>benefit plans</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6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Vesting of shares of common</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234,239</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7"/>
              </w:rPr>
              <w:t>stock subject to repurchase</w:t>
            </w: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(4,209 )</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(4,209 )</w:t>
            </w:r>
          </w:p>
        </w:tc>
        <w:tc>
          <w:tcPr>
            <w:tcW w:w="0" w:type="dxa"/>
            <w:vAlign w:val="bottom"/>
          </w:tcPr>
          <w:p>
            <w:pPr>
              <w:spacing w:after="0"/>
              <w:rPr>
                <w:sz w:val="1"/>
                <w:szCs w:val="1"/>
                <w:color w:val="auto"/>
              </w:rPr>
            </w:pPr>
          </w:p>
        </w:tc>
      </w:tr>
      <w:tr>
        <w:trPr>
          <w:trHeight w:val="20"/>
        </w:trPr>
        <w:tc>
          <w:tcPr>
            <w:tcW w:w="16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6,223,046</w:t>
            </w:r>
          </w:p>
        </w:tc>
        <w:tc>
          <w:tcPr>
            <w:tcW w:w="240" w:type="dxa"/>
            <w:vAlign w:val="bottom"/>
          </w:tcPr>
          <w:p>
            <w:pPr>
              <w:spacing w:after="0"/>
              <w:rPr>
                <w:sz w:val="12"/>
                <w:szCs w:val="12"/>
                <w:color w:val="auto"/>
              </w:rPr>
            </w:pPr>
          </w:p>
        </w:tc>
        <w:tc>
          <w:tcPr>
            <w:tcW w:w="500" w:type="dxa"/>
            <w:vAlign w:val="bottom"/>
          </w:tcPr>
          <w:p>
            <w:pPr>
              <w:jc w:val="right"/>
              <w:ind w:right="384"/>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51,146</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3,874,793</w:t>
            </w:r>
          </w:p>
        </w:tc>
        <w:tc>
          <w:tcPr>
            <w:tcW w:w="220" w:type="dxa"/>
            <w:vAlign w:val="bottom"/>
          </w:tcPr>
          <w:p>
            <w:pPr>
              <w:spacing w:after="0"/>
              <w:rPr>
                <w:sz w:val="12"/>
                <w:szCs w:val="12"/>
                <w:color w:val="auto"/>
              </w:rPr>
            </w:pPr>
          </w:p>
        </w:tc>
        <w:tc>
          <w:tcPr>
            <w:tcW w:w="240" w:type="dxa"/>
            <w:vAlign w:val="bottom"/>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106,128</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2,202,828</w:t>
            </w:r>
          </w:p>
        </w:tc>
        <w:tc>
          <w:tcPr>
            <w:tcW w:w="200" w:type="dxa"/>
            <w:vAlign w:val="bottom"/>
          </w:tcPr>
          <w:p>
            <w:pPr>
              <w:spacing w:after="0"/>
              <w:rPr>
                <w:sz w:val="12"/>
                <w:szCs w:val="12"/>
                <w:color w:val="auto"/>
              </w:rPr>
            </w:pPr>
          </w:p>
        </w:tc>
        <w:tc>
          <w:tcPr>
            <w:tcW w:w="740" w:type="dxa"/>
            <w:vAlign w:val="bottom"/>
          </w:tcPr>
          <w:p>
            <w:pPr>
              <w:jc w:val="center"/>
              <w:ind w:right="617"/>
              <w:spacing w:after="0" w:line="142" w:lineRule="exact"/>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764</w:t>
            </w:r>
          </w:p>
        </w:tc>
        <w:tc>
          <w:tcPr>
            <w:tcW w:w="2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77"/>
              <w:spacing w:after="0" w:line="142" w:lineRule="exact"/>
              <w:rPr>
                <w:sz w:val="20"/>
                <w:szCs w:val="20"/>
                <w:color w:val="auto"/>
              </w:rPr>
            </w:pPr>
            <w:r>
              <w:rPr>
                <w:rFonts w:ascii="Arial" w:cs="Arial" w:eastAsia="Arial" w:hAnsi="Arial"/>
                <w:sz w:val="13"/>
                <w:szCs w:val="13"/>
                <w:color w:val="auto"/>
              </w:rPr>
              <w:t>(18,286 )</w:t>
            </w: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
              <w:spacing w:after="0" w:line="142" w:lineRule="exact"/>
              <w:rPr>
                <w:sz w:val="20"/>
                <w:szCs w:val="20"/>
                <w:color w:val="auto"/>
              </w:rPr>
            </w:pPr>
            <w:r>
              <w:rPr>
                <w:rFonts w:ascii="Arial" w:cs="Arial" w:eastAsia="Arial" w:hAnsi="Arial"/>
                <w:sz w:val="13"/>
                <w:szCs w:val="13"/>
                <w:color w:val="auto"/>
              </w:rPr>
              <w:t>(17,522 )</w:t>
            </w:r>
          </w:p>
        </w:tc>
        <w:tc>
          <w:tcPr>
            <w:tcW w:w="0" w:type="dxa"/>
            <w:vAlign w:val="bottom"/>
          </w:tcPr>
          <w:p>
            <w:pPr>
              <w:spacing w:after="0"/>
              <w:rPr>
                <w:sz w:val="1"/>
                <w:szCs w:val="1"/>
                <w:color w:val="auto"/>
              </w:rPr>
            </w:pPr>
          </w:p>
        </w:tc>
      </w:tr>
      <w:tr>
        <w:trPr>
          <w:trHeight w:val="101"/>
        </w:trPr>
        <w:tc>
          <w:tcPr>
            <w:tcW w:w="1660" w:type="dxa"/>
            <w:vAlign w:val="bottom"/>
            <w:shd w:val="clear" w:color="auto" w:fill="CFF0FC"/>
          </w:tcPr>
          <w:p>
            <w:pPr>
              <w:spacing w:after="0" w:line="102" w:lineRule="exact"/>
              <w:rPr>
                <w:sz w:val="20"/>
                <w:szCs w:val="20"/>
                <w:color w:val="auto"/>
              </w:rPr>
            </w:pPr>
            <w:r>
              <w:rPr>
                <w:rFonts w:ascii="Arial" w:cs="Arial" w:eastAsia="Arial" w:hAnsi="Arial"/>
                <w:sz w:val="10"/>
                <w:szCs w:val="10"/>
                <w:color w:val="auto"/>
              </w:rPr>
              <w:t>Issuance of common stock</w:t>
            </w:r>
          </w:p>
        </w:tc>
        <w:tc>
          <w:tcPr>
            <w:tcW w:w="76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60" w:type="dxa"/>
            <w:vAlign w:val="bottom"/>
            <w:tcBorders>
              <w:top w:val="single" w:sz="8" w:color="auto"/>
              <w:right w:val="single" w:sz="8" w:color="CFF0FC"/>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under</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1,511</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benefit plans</w:t>
            </w: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line="108" w:lineRule="exact"/>
              <w:rPr>
                <w:sz w:val="20"/>
                <w:szCs w:val="20"/>
                <w:color w:val="auto"/>
              </w:rPr>
            </w:pPr>
            <w:r>
              <w:rPr>
                <w:rFonts w:ascii="Arial" w:cs="Arial" w:eastAsia="Arial" w:hAnsi="Arial"/>
                <w:sz w:val="12"/>
                <w:szCs w:val="12"/>
                <w:color w:val="auto"/>
              </w:rPr>
              <w:t>Vesting of shares of common</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170,012</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660" w:type="dxa"/>
            <w:vAlign w:val="bottom"/>
          </w:tcPr>
          <w:p>
            <w:pPr>
              <w:ind w:left="100"/>
              <w:spacing w:after="0"/>
              <w:rPr>
                <w:sz w:val="20"/>
                <w:szCs w:val="20"/>
                <w:color w:val="auto"/>
              </w:rPr>
            </w:pPr>
            <w:r>
              <w:rPr>
                <w:rFonts w:ascii="Arial" w:cs="Arial" w:eastAsia="Arial" w:hAnsi="Arial"/>
                <w:sz w:val="13"/>
                <w:szCs w:val="13"/>
                <w:color w:val="auto"/>
                <w:w w:val="97"/>
              </w:rPr>
              <w:t>stock subject to repurchase</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77"/>
              <w:spacing w:after="0"/>
              <w:rPr>
                <w:sz w:val="20"/>
                <w:szCs w:val="20"/>
                <w:color w:val="auto"/>
              </w:rPr>
            </w:pPr>
            <w:r>
              <w:rPr>
                <w:rFonts w:ascii="Arial" w:cs="Arial" w:eastAsia="Arial" w:hAnsi="Arial"/>
                <w:sz w:val="13"/>
                <w:szCs w:val="13"/>
                <w:color w:val="auto"/>
              </w:rPr>
              <w:t>(5,512 )</w:t>
            </w:r>
          </w:p>
        </w:tc>
        <w:tc>
          <w:tcPr>
            <w:tcW w:w="140" w:type="dxa"/>
            <w:vAlign w:val="bottom"/>
          </w:tcPr>
          <w:p>
            <w:pPr>
              <w:spacing w:after="0"/>
              <w:rPr>
                <w:sz w:val="12"/>
                <w:szCs w:val="12"/>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3"/>
                <w:szCs w:val="13"/>
                <w:color w:val="auto"/>
              </w:rPr>
              <w:t>(5,512 )</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6,223,046</w:t>
            </w:r>
          </w:p>
        </w:tc>
        <w:tc>
          <w:tcPr>
            <w:tcW w:w="24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ind w:right="384"/>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51,146</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3,874,793</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106,128</w:t>
            </w:r>
          </w:p>
        </w:tc>
        <w:tc>
          <w:tcPr>
            <w:tcW w:w="2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2,374,351</w:t>
            </w:r>
          </w:p>
        </w:tc>
        <w:tc>
          <w:tcPr>
            <w:tcW w:w="20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center"/>
              <w:ind w:right="617"/>
              <w:spacing w:after="0" w:line="142" w:lineRule="exact"/>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1,131</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(23,798</w:t>
            </w:r>
          </w:p>
        </w:tc>
        <w:tc>
          <w:tcPr>
            <w:tcW w:w="200" w:type="dxa"/>
            <w:vAlign w:val="bottom"/>
            <w:tcBorders>
              <w:bottom w:val="single" w:sz="8" w:color="CFF0FC"/>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(22,667</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gridSpan w:val="2"/>
            <w:vMerge w:val="restart"/>
          </w:tcPr>
          <w:p>
            <w:pPr>
              <w:jc w:val="center"/>
              <w:ind w:right="244"/>
              <w:spacing w:after="0"/>
              <w:rPr>
                <w:sz w:val="20"/>
                <w:szCs w:val="20"/>
                <w:color w:val="auto"/>
              </w:rPr>
            </w:pPr>
            <w:r>
              <w:rPr>
                <w:rFonts w:ascii="Arial" w:cs="Arial" w:eastAsia="Arial" w:hAnsi="Arial"/>
                <w:sz w:val="13"/>
                <w:szCs w:val="13"/>
                <w:b w:val="1"/>
                <w:bCs w:val="1"/>
                <w:color w:val="auto"/>
                <w:w w:val="84"/>
              </w:rPr>
              <w:t>Series A</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0"/>
              </w:rPr>
              <w:t>Series B</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center"/>
              <w:ind w:right="21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jc w:val="center"/>
              <w:ind w:right="157"/>
              <w:spacing w:after="0"/>
              <w:rPr>
                <w:sz w:val="20"/>
                <w:szCs w:val="20"/>
                <w:color w:val="auto"/>
              </w:rPr>
            </w:pPr>
            <w:r>
              <w:rPr>
                <w:rFonts w:ascii="Arial" w:cs="Arial" w:eastAsia="Arial" w:hAnsi="Arial"/>
                <w:sz w:val="13"/>
                <w:szCs w:val="13"/>
                <w:b w:val="1"/>
                <w:bCs w:val="1"/>
                <w:color w:val="auto"/>
                <w:w w:val="88"/>
              </w:rPr>
              <w:t>Accumulated</w:t>
            </w:r>
          </w:p>
        </w:tc>
        <w:tc>
          <w:tcPr>
            <w:tcW w:w="960" w:type="dxa"/>
            <w:vAlign w:val="bottom"/>
            <w:gridSpan w:val="3"/>
          </w:tcPr>
          <w:p>
            <w:pPr>
              <w:jc w:val="center"/>
              <w:ind w:right="58"/>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500" w:type="dxa"/>
            <w:vAlign w:val="bottom"/>
            <w:gridSpan w:val="3"/>
          </w:tcPr>
          <w:p>
            <w:pPr>
              <w:jc w:val="center"/>
              <w:ind w:left="397"/>
              <w:spacing w:after="0" w:line="122" w:lineRule="exact"/>
              <w:rPr>
                <w:sz w:val="20"/>
                <w:szCs w:val="20"/>
                <w:color w:val="auto"/>
              </w:rPr>
            </w:pPr>
            <w:r>
              <w:rPr>
                <w:rFonts w:ascii="Arial" w:cs="Arial" w:eastAsia="Arial" w:hAnsi="Arial"/>
                <w:sz w:val="13"/>
                <w:szCs w:val="13"/>
                <w:b w:val="1"/>
                <w:bCs w:val="1"/>
                <w:color w:val="auto"/>
                <w:w w:val="89"/>
              </w:rPr>
              <w:t>Convertible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10"/>
                <w:szCs w:val="10"/>
                <w:color w:val="auto"/>
              </w:rPr>
            </w:pPr>
          </w:p>
        </w:tc>
        <w:tc>
          <w:tcPr>
            <w:tcW w:w="1640" w:type="dxa"/>
            <w:vAlign w:val="bottom"/>
            <w:gridSpan w:val="3"/>
            <w:vMerge w:val="restart"/>
          </w:tcPr>
          <w:p>
            <w:pPr>
              <w:jc w:val="center"/>
              <w:ind w:left="119"/>
              <w:spacing w:after="0"/>
              <w:rPr>
                <w:sz w:val="20"/>
                <w:szCs w:val="20"/>
                <w:color w:val="auto"/>
              </w:rPr>
            </w:pPr>
            <w:r>
              <w:rPr>
                <w:rFonts w:ascii="Arial" w:cs="Arial" w:eastAsia="Arial" w:hAnsi="Arial"/>
                <w:sz w:val="13"/>
                <w:szCs w:val="13"/>
                <w:b w:val="1"/>
                <w:bCs w:val="1"/>
                <w:color w:val="auto"/>
                <w:w w:val="85"/>
              </w:rPr>
              <w:t>Common Stock</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38"/>
              <w:spacing w:after="0" w:line="12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500" w:type="dxa"/>
            <w:vAlign w:val="bottom"/>
            <w:gridSpan w:val="3"/>
          </w:tcPr>
          <w:p>
            <w:pPr>
              <w:jc w:val="center"/>
              <w:ind w:left="397"/>
              <w:spacing w:after="0"/>
              <w:rPr>
                <w:sz w:val="20"/>
                <w:szCs w:val="20"/>
                <w:color w:val="auto"/>
              </w:rPr>
            </w:pPr>
            <w:r>
              <w:rPr>
                <w:rFonts w:ascii="Arial" w:cs="Arial" w:eastAsia="Arial" w:hAnsi="Arial"/>
                <w:sz w:val="13"/>
                <w:szCs w:val="13"/>
                <w:b w:val="1"/>
                <w:bCs w:val="1"/>
                <w:color w:val="auto"/>
                <w:w w:val="86"/>
              </w:rPr>
              <w:t>Preferred Stock</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97"/>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4"/>
                <w:szCs w:val="14"/>
                <w:color w:val="auto"/>
              </w:rPr>
            </w:pPr>
          </w:p>
        </w:tc>
        <w:tc>
          <w:tcPr>
            <w:tcW w:w="820" w:type="dxa"/>
            <w:vAlign w:val="bottom"/>
            <w:gridSpan w:val="2"/>
          </w:tcPr>
          <w:p>
            <w:pPr>
              <w:jc w:val="center"/>
              <w:ind w:right="218"/>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166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w:t>
            </w:r>
          </w:p>
        </w:tc>
        <w:tc>
          <w:tcPr>
            <w:tcW w:w="7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197"/>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660" w:type="dxa"/>
            <w:vAlign w:val="bottom"/>
            <w:vMerge w:val="continue"/>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384"/>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41,441,13</w:t>
            </w:r>
          </w:p>
        </w:tc>
        <w:tc>
          <w:tcPr>
            <w:tcW w:w="940" w:type="dxa"/>
            <w:vAlign w:val="bottom"/>
            <w:gridSpan w:val="2"/>
            <w:vMerge w:val="restart"/>
          </w:tcPr>
          <w:p>
            <w:pPr>
              <w:jc w:val="center"/>
              <w:ind w:right="417"/>
              <w:spacing w:after="0"/>
              <w:rPr>
                <w:sz w:val="20"/>
                <w:szCs w:val="20"/>
                <w:color w:val="auto"/>
              </w:rPr>
            </w:pPr>
            <w:r>
              <w:rPr>
                <w:rFonts w:ascii="Arial" w:cs="Arial" w:eastAsia="Arial" w:hAnsi="Arial"/>
                <w:sz w:val="13"/>
                <w:szCs w:val="13"/>
                <w:color w:val="auto"/>
                <w:w w:val="82"/>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342,104</w:t>
            </w: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(40,371 )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301,737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3"/>
                <w:szCs w:val="13"/>
                <w:b w:val="1"/>
                <w:bCs w:val="1"/>
                <w:color w:val="auto"/>
              </w:rPr>
              <w:t>2021</w:t>
            </w:r>
          </w:p>
        </w:tc>
        <w:tc>
          <w:tcPr>
            <w:tcW w:w="7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94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60" w:type="dxa"/>
            <w:vAlign w:val="bottom"/>
            <w:shd w:val="clear" w:color="auto" w:fill="CFF0FC"/>
          </w:tcPr>
          <w:p>
            <w:pPr>
              <w:spacing w:after="0" w:line="108" w:lineRule="exact"/>
              <w:rPr>
                <w:sz w:val="20"/>
                <w:szCs w:val="20"/>
                <w:color w:val="auto"/>
              </w:rPr>
            </w:pPr>
            <w:r>
              <w:rPr>
                <w:rFonts w:ascii="Arial" w:cs="Arial" w:eastAsia="Arial" w:hAnsi="Arial"/>
                <w:sz w:val="12"/>
                <w:szCs w:val="12"/>
                <w:color w:val="auto"/>
              </w:rPr>
              <w:t>Issuance of common stock</w:t>
            </w: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tcBorders>
              <w:right w:val="single" w:sz="8" w:color="CFF0FC"/>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6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under</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0"/>
                <w:szCs w:val="10"/>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28,951</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238</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benefit plans</w:t>
            </w: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line="108" w:lineRule="exact"/>
              <w:rPr>
                <w:sz w:val="20"/>
                <w:szCs w:val="20"/>
                <w:color w:val="auto"/>
              </w:rPr>
            </w:pPr>
            <w:r>
              <w:rPr>
                <w:rFonts w:ascii="Arial" w:cs="Arial" w:eastAsia="Arial" w:hAnsi="Arial"/>
                <w:sz w:val="12"/>
                <w:szCs w:val="12"/>
                <w:color w:val="auto"/>
              </w:rPr>
              <w:t>Vesting of shares of common</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226,478</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63</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660" w:type="dxa"/>
            <w:vAlign w:val="bottom"/>
          </w:tcPr>
          <w:p>
            <w:pPr>
              <w:ind w:left="100"/>
              <w:spacing w:after="0"/>
              <w:rPr>
                <w:sz w:val="20"/>
                <w:szCs w:val="20"/>
                <w:color w:val="auto"/>
              </w:rPr>
            </w:pPr>
            <w:r>
              <w:rPr>
                <w:rFonts w:ascii="Arial" w:cs="Arial" w:eastAsia="Arial" w:hAnsi="Arial"/>
                <w:sz w:val="13"/>
                <w:szCs w:val="13"/>
                <w:color w:val="auto"/>
                <w:w w:val="97"/>
              </w:rPr>
              <w:t>stock subject to repurchase</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77"/>
              <w:spacing w:after="0"/>
              <w:rPr>
                <w:sz w:val="20"/>
                <w:szCs w:val="20"/>
                <w:color w:val="auto"/>
              </w:rPr>
            </w:pPr>
            <w:r>
              <w:rPr>
                <w:rFonts w:ascii="Arial" w:cs="Arial" w:eastAsia="Arial" w:hAnsi="Arial"/>
                <w:sz w:val="13"/>
                <w:szCs w:val="13"/>
                <w:color w:val="auto"/>
              </w:rPr>
              <w:t>(14,826 )</w:t>
            </w:r>
          </w:p>
        </w:tc>
        <w:tc>
          <w:tcPr>
            <w:tcW w:w="140" w:type="dxa"/>
            <w:vAlign w:val="bottom"/>
          </w:tcPr>
          <w:p>
            <w:pPr>
              <w:spacing w:after="0"/>
              <w:rPr>
                <w:sz w:val="12"/>
                <w:szCs w:val="12"/>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3"/>
                <w:szCs w:val="13"/>
                <w:color w:val="auto"/>
              </w:rPr>
              <w:t>(14,826 )</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60" w:type="dxa"/>
            <w:vAlign w:val="bottom"/>
            <w:shd w:val="clear" w:color="auto" w:fill="CFF0FC"/>
          </w:tcPr>
          <w:p>
            <w:pPr>
              <w:spacing w:after="0" w:line="102" w:lineRule="exact"/>
              <w:rPr>
                <w:sz w:val="20"/>
                <w:szCs w:val="20"/>
                <w:color w:val="auto"/>
              </w:rPr>
            </w:pPr>
            <w:r>
              <w:rPr>
                <w:rFonts w:ascii="Arial" w:cs="Arial" w:eastAsia="Arial" w:hAnsi="Arial"/>
                <w:sz w:val="10"/>
                <w:szCs w:val="10"/>
                <w:b w:val="1"/>
                <w:bCs w:val="1"/>
                <w:color w:val="auto"/>
              </w:rPr>
              <w:t>Balance at March 31, 2022</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8"/>
                <w:szCs w:val="8"/>
                <w:color w:val="auto"/>
              </w:rPr>
            </w:pPr>
          </w:p>
        </w:tc>
        <w:tc>
          <w:tcPr>
            <w:tcW w:w="500" w:type="dxa"/>
            <w:vAlign w:val="bottom"/>
            <w:vMerge w:val="restart"/>
            <w:shd w:val="clear" w:color="auto" w:fill="CFF0FC"/>
          </w:tcPr>
          <w:p>
            <w:pPr>
              <w:jc w:val="right"/>
              <w:ind w:right="384"/>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8"/>
                <w:szCs w:val="8"/>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8"/>
                <w:szCs w:val="8"/>
                <w:color w:val="auto"/>
              </w:rPr>
            </w:pPr>
          </w:p>
        </w:tc>
        <w:tc>
          <w:tcPr>
            <w:tcW w:w="240" w:type="dxa"/>
            <w:vAlign w:val="bottom"/>
            <w:vMerge w:val="restart"/>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8"/>
                <w:szCs w:val="8"/>
                <w:color w:val="auto"/>
              </w:rPr>
            </w:pP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41,696,56</w:t>
            </w:r>
          </w:p>
        </w:tc>
        <w:tc>
          <w:tcPr>
            <w:tcW w:w="200" w:type="dxa"/>
            <w:vAlign w:val="bottom"/>
            <w:vMerge w:val="restart"/>
            <w:shd w:val="clear" w:color="auto" w:fill="CFF0FC"/>
          </w:tcPr>
          <w:p>
            <w:pPr>
              <w:spacing w:after="0"/>
              <w:rPr>
                <w:sz w:val="8"/>
                <w:szCs w:val="8"/>
                <w:color w:val="auto"/>
              </w:rPr>
            </w:pPr>
          </w:p>
        </w:tc>
        <w:tc>
          <w:tcPr>
            <w:tcW w:w="740" w:type="dxa"/>
            <w:vAlign w:val="bottom"/>
            <w:vMerge w:val="restart"/>
            <w:shd w:val="clear" w:color="auto" w:fill="CFF0FC"/>
          </w:tcPr>
          <w:p>
            <w:pPr>
              <w:jc w:val="center"/>
              <w:ind w:right="617"/>
              <w:spacing w:after="0"/>
              <w:rPr>
                <w:sz w:val="20"/>
                <w:szCs w:val="20"/>
                <w:color w:val="auto"/>
              </w:rPr>
            </w:pPr>
            <w:r>
              <w:rPr>
                <w:rFonts w:ascii="Arial" w:cs="Arial" w:eastAsia="Arial" w:hAnsi="Arial"/>
                <w:sz w:val="13"/>
                <w:szCs w:val="13"/>
                <w:color w:val="auto"/>
                <w:w w:val="82"/>
              </w:rPr>
              <w: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0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346,377</w:t>
            </w:r>
          </w:p>
        </w:tc>
        <w:tc>
          <w:tcPr>
            <w:tcW w:w="200" w:type="dxa"/>
            <w:vAlign w:val="bottom"/>
            <w:vMerge w:val="restart"/>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(55,197 )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291,184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6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0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660" w:type="dxa"/>
            <w:vAlign w:val="bottom"/>
            <w:tcBorders>
              <w:top w:val="single" w:sz="8" w:color="CFF0FC"/>
            </w:tcBorders>
          </w:tcPr>
          <w:p>
            <w:pPr>
              <w:spacing w:after="0" w:line="103" w:lineRule="exact"/>
              <w:rPr>
                <w:sz w:val="20"/>
                <w:szCs w:val="20"/>
                <w:color w:val="auto"/>
              </w:rPr>
            </w:pPr>
            <w:r>
              <w:rPr>
                <w:rFonts w:ascii="Arial" w:cs="Arial" w:eastAsia="Arial" w:hAnsi="Arial"/>
                <w:sz w:val="10"/>
                <w:szCs w:val="10"/>
                <w:color w:val="auto"/>
              </w:rPr>
              <w:t>Issuance of common stock</w:t>
            </w: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2" w:lineRule="exact"/>
              <w:rPr>
                <w:sz w:val="20"/>
                <w:szCs w:val="20"/>
                <w:color w:val="auto"/>
              </w:rPr>
            </w:pPr>
            <w:r>
              <w:rPr>
                <w:rFonts w:ascii="Arial" w:cs="Arial" w:eastAsia="Arial" w:hAnsi="Arial"/>
                <w:sz w:val="13"/>
                <w:szCs w:val="13"/>
                <w:color w:val="auto"/>
              </w:rPr>
              <w:t>under</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15,247</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60" w:type="dxa"/>
            <w:vAlign w:val="bottom"/>
          </w:tcPr>
          <w:p>
            <w:pPr>
              <w:ind w:left="100"/>
              <w:spacing w:after="0"/>
              <w:rPr>
                <w:sz w:val="20"/>
                <w:szCs w:val="20"/>
                <w:color w:val="auto"/>
              </w:rPr>
            </w:pPr>
            <w:r>
              <w:rPr>
                <w:rFonts w:ascii="Arial" w:cs="Arial" w:eastAsia="Arial" w:hAnsi="Arial"/>
                <w:sz w:val="13"/>
                <w:szCs w:val="13"/>
                <w:color w:val="auto"/>
              </w:rPr>
              <w:t>benefit plans</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66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Vesting of shares of common</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7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191,299</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7"/>
              </w:rPr>
              <w:t>stock subject to repurchase</w:t>
            </w: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tcBorders>
              <w:right w:val="single" w:sz="8" w:color="CFF0FC"/>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2,688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(15,095 )</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(15,095 )</w:t>
            </w:r>
          </w:p>
        </w:tc>
        <w:tc>
          <w:tcPr>
            <w:tcW w:w="0" w:type="dxa"/>
            <w:vAlign w:val="bottom"/>
          </w:tcPr>
          <w:p>
            <w:pPr>
              <w:spacing w:after="0"/>
              <w:rPr>
                <w:sz w:val="1"/>
                <w:szCs w:val="1"/>
                <w:color w:val="auto"/>
              </w:rPr>
            </w:pPr>
          </w:p>
        </w:tc>
      </w:tr>
      <w:tr>
        <w:trPr>
          <w:trHeight w:val="20"/>
        </w:trPr>
        <w:tc>
          <w:tcPr>
            <w:tcW w:w="16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60" w:type="dxa"/>
            <w:vAlign w:val="bottom"/>
          </w:tcPr>
          <w:p>
            <w:pPr>
              <w:spacing w:after="0" w:line="102" w:lineRule="exact"/>
              <w:rPr>
                <w:sz w:val="20"/>
                <w:szCs w:val="20"/>
                <w:color w:val="auto"/>
              </w:rPr>
            </w:pPr>
            <w:r>
              <w:rPr>
                <w:rFonts w:ascii="Arial" w:cs="Arial" w:eastAsia="Arial" w:hAnsi="Arial"/>
                <w:sz w:val="10"/>
                <w:szCs w:val="10"/>
                <w:b w:val="1"/>
                <w:bCs w:val="1"/>
                <w:color w:val="auto"/>
              </w:rPr>
              <w:t>Balance at June 30, 2022</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8"/>
                <w:szCs w:val="8"/>
                <w:color w:val="auto"/>
              </w:rPr>
            </w:pPr>
          </w:p>
        </w:tc>
        <w:tc>
          <w:tcPr>
            <w:tcW w:w="500" w:type="dxa"/>
            <w:vAlign w:val="bottom"/>
            <w:vMerge w:val="restart"/>
          </w:tcPr>
          <w:p>
            <w:pPr>
              <w:jc w:val="right"/>
              <w:ind w:right="384"/>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8"/>
                <w:szCs w:val="8"/>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41,903,11</w:t>
            </w:r>
          </w:p>
        </w:tc>
        <w:tc>
          <w:tcPr>
            <w:tcW w:w="200" w:type="dxa"/>
            <w:vAlign w:val="bottom"/>
            <w:vMerge w:val="restart"/>
          </w:tcPr>
          <w:p>
            <w:pPr>
              <w:spacing w:after="0"/>
              <w:rPr>
                <w:sz w:val="8"/>
                <w:szCs w:val="8"/>
                <w:color w:val="auto"/>
              </w:rPr>
            </w:pPr>
          </w:p>
        </w:tc>
        <w:tc>
          <w:tcPr>
            <w:tcW w:w="740" w:type="dxa"/>
            <w:vAlign w:val="bottom"/>
            <w:vMerge w:val="restart"/>
          </w:tcPr>
          <w:p>
            <w:pPr>
              <w:jc w:val="center"/>
              <w:ind w:right="617"/>
              <w:spacing w:after="0"/>
              <w:rPr>
                <w:sz w:val="20"/>
                <w:szCs w:val="20"/>
                <w:color w:val="auto"/>
              </w:rPr>
            </w:pPr>
            <w:r>
              <w:rPr>
                <w:rFonts w:ascii="Arial" w:cs="Arial" w:eastAsia="Arial" w:hAnsi="Arial"/>
                <w:sz w:val="13"/>
                <w:szCs w:val="13"/>
                <w:color w:val="auto"/>
                <w:w w:val="82"/>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20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349,141</w:t>
            </w:r>
          </w:p>
        </w:tc>
        <w:tc>
          <w:tcPr>
            <w:tcW w:w="200" w:type="dxa"/>
            <w:vAlign w:val="bottom"/>
            <w:vMerge w:val="restart"/>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(70,292 )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278,853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-3125470</wp:posOffset>
            </wp:positionV>
            <wp:extent cx="7747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-3125470</wp:posOffset>
            </wp:positionV>
            <wp:extent cx="768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-3125470</wp:posOffset>
            </wp:positionV>
            <wp:extent cx="7747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-3125470</wp:posOffset>
            </wp:positionV>
            <wp:extent cx="774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-3125470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-3125470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-3125470</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-3125470</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-3125470</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-2302510</wp:posOffset>
            </wp:positionV>
            <wp:extent cx="7747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-2302510</wp:posOffset>
            </wp:positionV>
            <wp:extent cx="768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-2302510</wp:posOffset>
            </wp:positionV>
            <wp:extent cx="7747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-2302510</wp:posOffset>
            </wp:positionV>
            <wp:extent cx="7747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-2302510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-2302510</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-2302510</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-2302510</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-2302510</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-802005</wp:posOffset>
            </wp:positionV>
            <wp:extent cx="7747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-802005</wp:posOffset>
            </wp:positionV>
            <wp:extent cx="768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-802005</wp:posOffset>
            </wp:positionV>
            <wp:extent cx="7747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-802005</wp:posOffset>
            </wp:positionV>
            <wp:extent cx="7747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-802005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-802005</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-802005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-802005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-802005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-184785</wp:posOffset>
            </wp:positionV>
            <wp:extent cx="7747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-184785</wp:posOffset>
            </wp:positionV>
            <wp:extent cx="768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-184785</wp:posOffset>
            </wp:positionV>
            <wp:extent cx="774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-184785</wp:posOffset>
            </wp:positionV>
            <wp:extent cx="7747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-184785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-184785</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-184785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-184785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-184785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52070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sectPr>
      </w:pPr>
    </w:p>
    <w:bookmarkStart w:id="5" w:name="page6"/>
    <w:bookmarkEnd w:id="5"/>
    <w:p>
      <w:pPr>
        <w:ind w:left="4800"/>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Cash Flows</w:t>
      </w:r>
    </w:p>
    <w:p>
      <w:pPr>
        <w:ind w:left="5180"/>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 thousands)</w:t>
      </w:r>
    </w:p>
    <w:p>
      <w:pPr>
        <w:spacing w:after="0" w:line="18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ind w:right="773"/>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94"/>
              </w:rPr>
              <w:t>(29,921 )</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(9,721 )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operations: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7"/>
                <w:szCs w:val="17"/>
                <w:color w:val="auto"/>
              </w:rPr>
            </w:pPr>
          </w:p>
        </w:tc>
        <w:tc>
          <w:tcPr>
            <w:tcW w:w="9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(5,083 )</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(156 )</w:t>
            </w: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Right-of-use assets and lease liabilities, net</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196"/>
        </w:trPr>
        <w:tc>
          <w:tcPr>
            <w:tcW w:w="77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(26,093</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(9,139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(490 )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(300 )</w:t>
            </w:r>
          </w:p>
        </w:tc>
      </w:tr>
      <w:tr>
        <w:trPr>
          <w:trHeight w:val="196"/>
        </w:trPr>
        <w:tc>
          <w:tcPr>
            <w:tcW w:w="7700" w:type="dxa"/>
            <w:vAlign w:val="bottom"/>
          </w:tcPr>
          <w:p>
            <w:pPr>
              <w:ind w:left="200"/>
              <w:spacing w:after="0" w:line="196" w:lineRule="exact"/>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(490</w:t>
            </w:r>
          </w:p>
        </w:tc>
        <w:tc>
          <w:tcPr>
            <w:tcW w:w="28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Proceeds from the issuance of Series A convertible preferred stock, net of issuance costs</w:t>
            </w:r>
          </w:p>
        </w:tc>
        <w:tc>
          <w:tcPr>
            <w:tcW w:w="960" w:type="dxa"/>
            <w:vAlign w:val="bottom"/>
          </w:tcPr>
          <w:p>
            <w:pPr>
              <w:spacing w:after="0"/>
              <w:rPr>
                <w:sz w:val="17"/>
                <w:szCs w:val="17"/>
                <w:color w:val="auto"/>
              </w:rPr>
            </w:pPr>
          </w:p>
        </w:tc>
        <w:tc>
          <w:tcPr>
            <w:tcW w:w="9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23,495</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the issuance of Series B convertible preferred stock, net of issuance costs</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106,128</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issuances of common stock under benefit plans</w:t>
            </w:r>
          </w:p>
        </w:tc>
        <w:tc>
          <w:tcPr>
            <w:tcW w:w="9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 of deferred offering costs</w:t>
            </w:r>
          </w:p>
        </w:tc>
        <w:tc>
          <w:tcPr>
            <w:tcW w:w="9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(731 )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Payments for financing lease</w:t>
            </w:r>
          </w:p>
        </w:tc>
        <w:tc>
          <w:tcPr>
            <w:tcW w:w="960" w:type="dxa"/>
            <w:vAlign w:val="bottom"/>
          </w:tcPr>
          <w:p>
            <w:pPr>
              <w:spacing w:after="0"/>
              <w:rPr>
                <w:sz w:val="17"/>
                <w:szCs w:val="17"/>
                <w:color w:val="auto"/>
              </w:rPr>
            </w:pPr>
          </w:p>
        </w:tc>
        <w:tc>
          <w:tcPr>
            <w:tcW w:w="9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r>
      <w:tr>
        <w:trPr>
          <w:trHeight w:val="196"/>
        </w:trPr>
        <w:tc>
          <w:tcPr>
            <w:tcW w:w="7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129,419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Net cash (decrease) increase for the period</w:t>
            </w:r>
          </w:p>
        </w:tc>
        <w:tc>
          <w:tcPr>
            <w:tcW w:w="960" w:type="dxa"/>
            <w:vAlign w:val="bottom"/>
          </w:tcPr>
          <w:p>
            <w:pPr>
              <w:spacing w:after="0"/>
              <w:rPr>
                <w:sz w:val="17"/>
                <w:szCs w:val="17"/>
                <w:color w:val="auto"/>
              </w:rPr>
            </w:pPr>
          </w:p>
        </w:tc>
        <w:tc>
          <w:tcPr>
            <w:tcW w:w="9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4"/>
              </w:rPr>
              <w:t>(26,318 )</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119,980</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9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302,425</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the period</w:t>
            </w:r>
          </w:p>
        </w:tc>
        <w:tc>
          <w:tcPr>
            <w:tcW w:w="960" w:type="dxa"/>
            <w:vAlign w:val="bottom"/>
            <w:tcBorders>
              <w:bottom w:val="single" w:sz="8" w:color="auto"/>
            </w:tcBorders>
          </w:tcPr>
          <w:p>
            <w:pPr>
              <w:jc w:val="right"/>
              <w:ind w:right="77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276,107</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135,447</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Reconciliation of cash, cash equivalents and restricted cash to the balance sheet</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960" w:type="dxa"/>
            <w:vAlign w:val="bottom"/>
          </w:tcPr>
          <w:p>
            <w:pPr>
              <w:jc w:val="right"/>
              <w:ind w:right="77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89"/>
              </w:rPr>
              <w:t>275,107</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135,204</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960" w:type="dxa"/>
            <w:vAlign w:val="bottom"/>
            <w:tcBorders>
              <w:bottom w:val="single" w:sz="8" w:color="auto"/>
            </w:tcBorders>
          </w:tcPr>
          <w:p>
            <w:pPr>
              <w:jc w:val="right"/>
              <w:ind w:right="77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276,107</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135,447</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 obtained in exchange for lease liability</w:t>
            </w:r>
          </w:p>
        </w:tc>
        <w:tc>
          <w:tcPr>
            <w:tcW w:w="960" w:type="dxa"/>
            <w:vAlign w:val="bottom"/>
          </w:tcPr>
          <w:p>
            <w:pPr>
              <w:jc w:val="right"/>
              <w:ind w:right="77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1,215</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Repurchase of early exercise liability in accounts payable</w:t>
            </w:r>
          </w:p>
        </w:tc>
        <w:tc>
          <w:tcPr>
            <w:tcW w:w="960" w:type="dxa"/>
            <w:vAlign w:val="bottom"/>
          </w:tcPr>
          <w:p>
            <w:pPr>
              <w:spacing w:after="0"/>
              <w:rPr>
                <w:sz w:val="17"/>
                <w:szCs w:val="17"/>
                <w:color w:val="auto"/>
              </w:rPr>
            </w:pPr>
          </w:p>
        </w:tc>
        <w:tc>
          <w:tcPr>
            <w:tcW w:w="9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Purchases of equipment included in accounts payable</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7"/>
                <w:szCs w:val="17"/>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96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-1762760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-1762760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-1497330</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-1497330</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-948690</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-948690</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Tyra Biosciences,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12" w:lineRule="exact"/>
        <w:rPr>
          <w:sz w:val="20"/>
          <w:szCs w:val="20"/>
          <w:color w:val="auto"/>
        </w:rPr>
      </w:pPr>
    </w:p>
    <w:p>
      <w:pPr>
        <w:ind w:right="220" w:firstLine="749"/>
        <w:spacing w:after="0" w:line="248" w:lineRule="auto"/>
        <w:rPr>
          <w:sz w:val="20"/>
          <w:szCs w:val="20"/>
          <w:color w:val="auto"/>
        </w:rPr>
      </w:pPr>
      <w:r>
        <w:rPr>
          <w:rFonts w:ascii="Arial" w:cs="Arial" w:eastAsia="Arial" w:hAnsi="Arial"/>
          <w:sz w:val="18"/>
          <w:szCs w:val="18"/>
          <w:color w:val="auto"/>
        </w:rPr>
        <w:t>Tyra Biosciences, Inc. (the Company) was incorporated in the state of Delaware on August 2, 2018. The Company is a precision oncology company designing and developing purpose-built therapies specifically designed to overcome therapy resistance and improve the lives of cancer patients whose tumors have acquired resistance over the course of therapy to currently available treatments.</w:t>
      </w:r>
    </w:p>
    <w:p>
      <w:pPr>
        <w:spacing w:after="0" w:line="182" w:lineRule="exact"/>
        <w:rPr>
          <w:sz w:val="20"/>
          <w:szCs w:val="20"/>
          <w:color w:val="auto"/>
        </w:rPr>
      </w:pPr>
    </w:p>
    <w:p>
      <w:pPr>
        <w:ind w:right="440" w:firstLine="749"/>
        <w:spacing w:after="0" w:line="261" w:lineRule="auto"/>
        <w:rPr>
          <w:sz w:val="20"/>
          <w:szCs w:val="20"/>
          <w:color w:val="auto"/>
        </w:rPr>
      </w:pPr>
      <w:r>
        <w:rPr>
          <w:rFonts w:ascii="Arial" w:cs="Arial" w:eastAsia="Arial" w:hAnsi="Arial"/>
          <w:sz w:val="18"/>
          <w:szCs w:val="18"/>
          <w:color w:val="auto"/>
        </w:rPr>
        <w:t>On September 17, 2021, the Company completed its initial public offering (the IPO) and issued 12,420,000 shares of common stock for net proceeds of approximately $181.2 million. See Note 6 to these financial statements for additional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1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On September 7, 2021, the Company effected a 2.5974-for-1 forward stock split of its common stock (the Forward Stock Split). The par value of the common stock was not adjusted as a result of the Forward Stock Split and the authorized shares were increased to 50,000,000 shares of common stock in connection with the Forward Stock Split. In conjunction with the Company’s IPO, the authorized shares of common stock were increased to 500,000,000. The accompanying financial statements and notes to the financial statements give retroactive effect to the Forward Stock Split for all periods presented, unless otherwise indicated.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60" w:firstLine="749"/>
        <w:spacing w:after="0" w:line="270" w:lineRule="auto"/>
        <w:rPr>
          <w:sz w:val="20"/>
          <w:szCs w:val="20"/>
          <w:color w:val="auto"/>
        </w:rPr>
      </w:pPr>
      <w:r>
        <w:rPr>
          <w:rFonts w:ascii="Arial" w:cs="Arial" w:eastAsia="Arial" w:hAnsi="Arial"/>
          <w:sz w:val="16"/>
          <w:szCs w:val="16"/>
          <w:color w:val="auto"/>
        </w:rPr>
        <w:t>The accompanying unaudited financial statements have been prepared in accordance with generally accepted accounting principles in the United States (GAAP). Any reference in these notes to applicable guidance is meant to refer to GAAP as found in the Accounting Standards Codification (ASC) and Accounting Standards Updates (ASU) promulgated by the Financial Accounting Standards Board (FASB). The accompanying unaudited financial statements do not include all of the information and notes required by GAAP for complete financial statements. These unaudited financial statements include only normal and recurring adjustments that the Company believes are necessary to fairly state the Company’s financial position and the results of its operations and cash flows. The results for the three and six months ended June 30, 2022 and 2021 are not necessarily indicative of the results expected for the full fiscal year or any subsequent interim period. The balance sheet at June 30, 2022 has been derived from the financial statements at that date but does not include all disclosures required by GAAP for complete financial statements. Because all of the disclosures required by GAAP for complete financial statements are not included herein, these unaudited financial statements and the notes accompanying them should be read in conjunction with the Company’s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12"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From inception to June 30, 2022, the Company has devoted substantially all of its resources to organizing and staffing the company, business planning, raising capital, developing its proprietary SNÅP platform, undertaking research and development activities for its development programs, establishing its intellectual property portfolio, and providing general and administrative support for its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to develop its current and future product candidates. From inception through June 30, 2022, the Company funded its operations primarily through the issuance of common stock in its IPO, the sale of convertible preferred stock and the issuance of Simple Agreements for Future Equity.</w:t>
      </w:r>
    </w:p>
    <w:p>
      <w:pPr>
        <w:spacing w:after="0" w:line="163" w:lineRule="exact"/>
        <w:rPr>
          <w:sz w:val="20"/>
          <w:szCs w:val="20"/>
          <w:color w:val="auto"/>
        </w:rPr>
      </w:pPr>
    </w:p>
    <w:p>
      <w:pPr>
        <w:ind w:right="280" w:firstLine="749"/>
        <w:spacing w:after="0" w:line="276"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61"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w:t>
      </w: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right="460"/>
        <w:spacing w:after="0" w:line="261" w:lineRule="auto"/>
        <w:rPr>
          <w:sz w:val="20"/>
          <w:szCs w:val="20"/>
          <w:color w:val="auto"/>
        </w:rPr>
      </w:pPr>
      <w:r>
        <w:rPr>
          <w:rFonts w:ascii="Arial" w:cs="Arial" w:eastAsia="Arial" w:hAnsi="Arial"/>
          <w:sz w:val="18"/>
          <w:szCs w:val="18"/>
          <w:color w:val="auto"/>
        </w:rPr>
        <w:t>acquiring additional funding (if needed), that the Company’s projections of its future working capital needs will prove accurate, or that any additional funding would be sufficient to continue operations in future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During the three and six months ended June 30, 2022, there have been no changes to the Company's significant accounting policies as described in the Company’s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12"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June 30, 2022 and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1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Transactions between related parties are considered to be related party transactions even though they may not be given accounting recognition. FASB ASC 850, Related Party Disclosures (FASB ASC 850) requires that transactions with related parties that would make a difference in decision making shall be disclosed so that users of the financial statements can evaluate their significance. Related party transactions typically occur within the context of the following relationships:</w:t>
      </w:r>
    </w:p>
    <w:p>
      <w:pPr>
        <w:spacing w:after="0" w:line="188" w:lineRule="exact"/>
        <w:rPr>
          <w:sz w:val="20"/>
          <w:szCs w:val="20"/>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Affiliates of the entity;</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Entities for which investments in their equity securities is typically accounted for under the equity method by the investing entity;</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Trusts for the benefit of employees;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Principal owners of the entity and members of their immediate families;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the entity and members of their immediate families; or</w:t>
      </w:r>
    </w:p>
    <w:p>
      <w:pPr>
        <w:spacing w:after="0" w:line="211" w:lineRule="exact"/>
        <w:rPr>
          <w:rFonts w:ascii="Arial" w:cs="Arial" w:eastAsia="Arial" w:hAnsi="Arial"/>
          <w:sz w:val="18"/>
          <w:szCs w:val="18"/>
          <w:color w:val="auto"/>
        </w:rPr>
      </w:pPr>
    </w:p>
    <w:p>
      <w:pPr>
        <w:ind w:left="1080" w:right="140" w:hanging="323"/>
        <w:spacing w:after="0" w:line="32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parties that can significantly influence the management or operating policies of the transacting parties and can significantly influence the other to an extent that one or more of the transacting parties might be prevented from fully pursuing its own separate interests.</w:t>
      </w:r>
    </w:p>
    <w:p>
      <w:pPr>
        <w:spacing w:after="0" w:line="124"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For the three and six months ended June 30, 2022, van den Boom &amp; Associates rendered contracted services totaling approximately $0.2 million and $0.4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2" w:lineRule="exact"/>
        <w:rPr>
          <w:sz w:val="20"/>
          <w:szCs w:val="20"/>
          <w:color w:val="auto"/>
        </w:rPr>
      </w:pPr>
    </w:p>
    <w:p>
      <w:pPr>
        <w:ind w:right="220" w:firstLine="749"/>
        <w:spacing w:after="0" w:line="239" w:lineRule="auto"/>
        <w:rPr>
          <w:sz w:val="20"/>
          <w:szCs w:val="20"/>
          <w:color w:val="auto"/>
        </w:rPr>
      </w:pPr>
      <w:r>
        <w:rPr>
          <w:rFonts w:ascii="Arial" w:cs="Arial" w:eastAsia="Arial" w:hAnsi="Arial"/>
          <w:sz w:val="18"/>
          <w:szCs w:val="18"/>
          <w:color w:val="auto"/>
        </w:rPr>
        <w:t>There were no other significant updates not already disclosed in the Company’s audited financial statements for the years ended December 31, 2021 and 2020 to the recently issued accounting standards for the three and six months ended June 30, 2022.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Fair Value Measurements</w:t>
      </w:r>
    </w:p>
    <w:p>
      <w:pPr>
        <w:spacing w:after="0" w:line="216"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Level 1</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235" w:lineRule="exact"/>
        <w:rPr>
          <w:sz w:val="20"/>
          <w:szCs w:val="20"/>
          <w:color w:val="auto"/>
        </w:rPr>
      </w:pPr>
    </w:p>
    <w:p>
      <w:pPr>
        <w:ind w:left="760" w:right="52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—Quoted prices for similar assets and liabilities in active markets, quoted prices in markets that are not active, or inputs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either directly or indirectly, for substantially the full term of the asset or liability; and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—Prices or valuation techniques that require inputs that are both significant to the fair value measurement and unobservable (i.e.</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supported by little or no market activity).</w:t>
      </w:r>
    </w:p>
    <w:p>
      <w:pPr>
        <w:spacing w:after="0" w:line="196"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The carrying amounts of the Company’s financial instruments, including cash and cash equivalents, prepaid and other current assets, restricted cash, accounts payable, and accrued liabilities, approximate fair value due to their short maturities. Included in cash and cash equivalents at June 30, 2022 and December 31, 2021 are money market funds with a carrying value and fair value of $275.1 million and $302.2 million, respectively, based upon a Level 1 fair value assessment.</w:t>
      </w:r>
    </w:p>
    <w:p>
      <w:pPr>
        <w:spacing w:after="0" w:line="188"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None of the Company’s non-financial assets or liabilities are recorded at fair value on a non-recurring basis. No transfers between levels have occurred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Equipment</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870</w:t>
            </w:r>
          </w:p>
        </w:tc>
        <w:tc>
          <w:tcPr>
            <w:tcW w:w="80" w:type="dxa"/>
            <w:vAlign w:val="bottom"/>
            <w:shd w:val="clear" w:color="auto" w:fill="CFF0FC"/>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Computers and software</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r>
      <w:tr>
        <w:trPr>
          <w:trHeight w:val="196"/>
        </w:trPr>
        <w:tc>
          <w:tcPr>
            <w:tcW w:w="5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1,196</w:t>
            </w:r>
          </w:p>
        </w:tc>
        <w:tc>
          <w:tcPr>
            <w:tcW w:w="80" w:type="dxa"/>
            <w:vAlign w:val="bottom"/>
            <w:shd w:val="clear" w:color="auto" w:fill="CFF0FC"/>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(299 )</w:t>
            </w:r>
          </w:p>
        </w:tc>
        <w:tc>
          <w:tcPr>
            <w:tcW w:w="1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(169 )</w:t>
            </w:r>
          </w:p>
        </w:tc>
      </w:tr>
      <w:tr>
        <w:trPr>
          <w:trHeight w:val="236"/>
        </w:trPr>
        <w:tc>
          <w:tcPr>
            <w:tcW w:w="5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1,201</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Depreciation expense for the three and six months ended June 30, 2022 was $69,000 and $132,000, respectively. Depreciation expense for the three and six months ended June 30, 2021 was $26,000 and $49,000,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and Other Current Liabilities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3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payroll and other employee benefits</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1,278</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1,257</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legal and professional fees</w:t>
            </w:r>
          </w:p>
        </w:tc>
        <w:tc>
          <w:tcPr>
            <w:tcW w:w="1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w w:val="97"/>
              </w:rPr>
              <w:t>Accrued other general and administrative fees</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36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1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2,815</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399"/>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20" w:type="dxa"/>
            <w:vAlign w:val="bottom"/>
          </w:tcPr>
          <w:p>
            <w:pPr>
              <w:jc w:val="right"/>
              <w:ind w:right="127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-367665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-351155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43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12" w:lineRule="exact"/>
        <w:rPr>
          <w:sz w:val="20"/>
          <w:szCs w:val="20"/>
          <w:color w:val="auto"/>
        </w:rPr>
      </w:pPr>
    </w:p>
    <w:p>
      <w:pPr>
        <w:ind w:right="400" w:firstLine="749"/>
        <w:spacing w:after="0" w:line="324" w:lineRule="auto"/>
        <w:rPr>
          <w:sz w:val="20"/>
          <w:szCs w:val="20"/>
          <w:color w:val="auto"/>
        </w:rPr>
      </w:pPr>
      <w:r>
        <w:rPr>
          <w:rFonts w:ascii="Arial" w:cs="Arial" w:eastAsia="Arial" w:hAnsi="Arial"/>
          <w:sz w:val="16"/>
          <w:szCs w:val="16"/>
          <w:color w:val="auto"/>
        </w:rPr>
        <w:t>In January 2020 and February 2021, the Company issued, at each date, 2,848,486 shares of Series A convertible preferred stock at a price of $8.25 per share resulting in gross proceeds of $23.5 million, at each date, and incurred issuance costs of $0.2 million and $5,000, respectively.</w:t>
      </w:r>
    </w:p>
    <w:p>
      <w:pPr>
        <w:spacing w:after="0" w:line="124"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In March 2021, the Company issued 3,874,793 shares of Series B convertible preferred stock, at a price of $27.4337 per share, resulting in net proceeds of $106.1 million excluding issuance costs of $0.2 million.</w:t>
      </w:r>
    </w:p>
    <w:p>
      <w:pPr>
        <w:spacing w:after="0" w:line="171"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In September 2021, upon completion of the IPO, all of the Company’s shares of convertible preferred stock converted into 26,228,089 shares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9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options granted and outstanding</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4,505,258</w:t>
            </w:r>
          </w:p>
        </w:tc>
        <w:tc>
          <w:tcPr>
            <w:tcW w:w="18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3,771,516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line="162" w:lineRule="exact"/>
              <w:rPr>
                <w:sz w:val="20"/>
                <w:szCs w:val="20"/>
                <w:color w:val="auto"/>
              </w:rPr>
            </w:pPr>
            <w:r>
              <w:rPr>
                <w:rFonts w:ascii="Arial" w:cs="Arial" w:eastAsia="Arial" w:hAnsi="Arial"/>
                <w:sz w:val="18"/>
                <w:szCs w:val="18"/>
                <w:color w:val="auto"/>
              </w:rPr>
              <w:t>Shares available for future issuance under the 2021</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5,760,661</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4,384,274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Incentive Award Plan</w:t>
            </w:r>
          </w:p>
        </w:tc>
        <w:tc>
          <w:tcPr>
            <w:tcW w:w="122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Shares available for future issuance under the 2021</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777,844</w:t>
            </w:r>
          </w:p>
        </w:tc>
        <w:tc>
          <w:tcPr>
            <w:tcW w:w="180" w:type="dxa"/>
            <w:vAlign w:val="bottom"/>
            <w:vMerge w:val="restart"/>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380,000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Employee Stock Purchase Plan</w:t>
            </w: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 common stock reserved for future issuance</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11,043,763</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8,535,790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-159385</wp:posOffset>
            </wp:positionV>
            <wp:extent cx="514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98"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Since inception, the Company has issued 2,820,560 shares of restricted common stock at a price of $0.0001 per share to certain founders of the Company (Founders Stock). The Company maintains a repurchase right whereby the shares of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June 30, 2022 and December 31, 2021 were 250,230 and 495,170 shares, respectively. The amount recorded as liabilities associated with shares issued with repurchase rights were immaterial as of June 30, 2022 and December 31, 2021.</w:t>
      </w:r>
    </w:p>
    <w:p>
      <w:pPr>
        <w:spacing w:after="0" w:line="189"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color w:val="auto"/>
        </w:rPr>
        <w:t>For the six months ended June 30, 2022 and 2021, 244,940 and 243,631 shares vested in each period and the Company recognized $0.1 million of stock-based compensation expense for each period related to the awards, respectively. As of June 30, 2022, the total unrecognized compensation expense related to unvested Founders Stock was $0.2 million and is expected to be recognized over a weighted-average period of approximately 0.6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Incentive Plans and Stock-Based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September 2021, the Company's Board of Directors adopted, and its stockholders approved, the 2021 Incentive Award Plan (the 2021 Plan).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Upon the adoption of the 2021 Plan, the Company restricted the grant of future equity awards under the 2020 Equity Incentive Plan (the 2020 Plan).</w:t>
      </w:r>
    </w:p>
    <w:p>
      <w:pPr>
        <w:spacing w:after="0" w:line="207" w:lineRule="exact"/>
        <w:rPr>
          <w:sz w:val="20"/>
          <w:szCs w:val="20"/>
          <w:color w:val="auto"/>
        </w:rPr>
      </w:pPr>
    </w:p>
    <w:p>
      <w:pPr>
        <w:ind w:right="140" w:firstLine="749"/>
        <w:spacing w:after="0" w:line="266" w:lineRule="auto"/>
        <w:rPr>
          <w:sz w:val="20"/>
          <w:szCs w:val="20"/>
          <w:color w:val="auto"/>
        </w:rPr>
      </w:pPr>
      <w:r>
        <w:rPr>
          <w:rFonts w:ascii="Arial" w:cs="Arial" w:eastAsia="Arial" w:hAnsi="Arial"/>
          <w:sz w:val="16"/>
          <w:szCs w:val="16"/>
          <w:color w:val="auto"/>
        </w:rPr>
        <w:t>The 2021 Plan provides for the grants of stock options and other equity-based awards to employees, non-employee directors, and consultants of the Company. A total of 5,570,000 shares of the Company’s common stock were initially reserved for issuance pursuant to the 2021 Plan. The number of shares reserved under the 2021 Plan also included 1,032,150 shares of the Company’s common stock that remained available for issuance under the 2020 Plan as of immediately prior to the effectiveness of the 2021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will automatically increase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ind w:firstLine="749"/>
        <w:spacing w:after="0" w:line="276" w:lineRule="auto"/>
        <w:rPr>
          <w:sz w:val="20"/>
          <w:szCs w:val="20"/>
          <w:color w:val="auto"/>
        </w:rPr>
      </w:pPr>
      <w:r>
        <w:rPr>
          <w:rFonts w:ascii="Arial" w:cs="Arial" w:eastAsia="Arial" w:hAnsi="Arial"/>
          <w:sz w:val="16"/>
          <w:szCs w:val="16"/>
          <w:color w:val="auto"/>
        </w:rPr>
        <w:t>The options granted under the 2020 Plan and the 2021 Plan are exercisable at various dates as determined upon grant and will expire no more than ten years from their date of grant. The exercise price of each option shall be determined by the Company’s Board of Directors based on the fair market value of the Company’s stock on the date of the option grant. The exercise price shall not be less than 100% of the fair market value of the Company’s common stock at the time the option is granted. Most option grants generally vest 25% on the first anniversary of the original vesting commencement date, with the balance vesting monthly over the remaining three years and early exercise is permitted. The vesting period generally occurs over four years unless there is a specific performance vesting trigger at which time those shares will vest when the performance trigger is probable to occur.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Company’s stock option activity for the period ended June 30, 2022 is as follows: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Price per Share</w:t>
            </w: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Intrinsic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3,771,516</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w:t>
            </w:r>
          </w:p>
        </w:tc>
        <w:tc>
          <w:tcPr>
            <w:tcW w:w="18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28,901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866,798</w:t>
            </w:r>
          </w:p>
        </w:tc>
        <w:tc>
          <w:tcPr>
            <w:tcW w:w="20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8.57</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(16,680 )</w:t>
            </w:r>
          </w:p>
        </w:tc>
        <w:tc>
          <w:tcPr>
            <w:tcW w:w="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(116,376 )</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June 30, 2022</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4,505,258</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8.79</w:t>
            </w:r>
          </w:p>
        </w:tc>
        <w:tc>
          <w:tcPr>
            <w:tcW w:w="124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8.7</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11,748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line="182" w:lineRule="exact"/>
              <w:rPr>
                <w:sz w:val="20"/>
                <w:szCs w:val="20"/>
                <w:color w:val="auto"/>
              </w:rPr>
            </w:pPr>
            <w:r>
              <w:rPr>
                <w:rFonts w:ascii="Arial" w:cs="Arial" w:eastAsia="Arial" w:hAnsi="Arial"/>
                <w:sz w:val="18"/>
                <w:szCs w:val="18"/>
                <w:color w:val="auto"/>
              </w:rPr>
              <w:t>Exercisable at June 30, 2022</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1,184,526</w:t>
            </w:r>
          </w:p>
        </w:tc>
        <w:tc>
          <w:tcPr>
            <w:tcW w:w="200" w:type="dxa"/>
            <w:vAlign w:val="bottom"/>
          </w:tcPr>
          <w:p>
            <w:pPr>
              <w:spacing w:after="0"/>
              <w:rPr>
                <w:sz w:val="15"/>
                <w:szCs w:val="15"/>
                <w:color w:val="auto"/>
              </w:rPr>
            </w:pPr>
          </w:p>
        </w:tc>
        <w:tc>
          <w:tcPr>
            <w:tcW w:w="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7.45</w:t>
            </w:r>
          </w:p>
        </w:tc>
        <w:tc>
          <w:tcPr>
            <w:tcW w:w="12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7.5</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4,154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FF0FC"/>
          </w:tcPr>
          <w:p>
            <w:pPr>
              <w:spacing w:after="0" w:line="142" w:lineRule="exact"/>
              <w:rPr>
                <w:sz w:val="20"/>
                <w:szCs w:val="20"/>
                <w:color w:val="auto"/>
              </w:rPr>
            </w:pPr>
            <w:r>
              <w:rPr>
                <w:rFonts w:ascii="Arial" w:cs="Arial" w:eastAsia="Arial" w:hAnsi="Arial"/>
                <w:sz w:val="16"/>
                <w:szCs w:val="16"/>
                <w:color w:val="auto"/>
              </w:rPr>
              <w:t>Vested and expected to vest as of June 30,</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4,505,258</w:t>
            </w:r>
          </w:p>
        </w:tc>
        <w:tc>
          <w:tcPr>
            <w:tcW w:w="2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11,748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18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vMerge w:val="continue"/>
            <w:shd w:val="clear" w:color="auto" w:fill="CFF0FC"/>
          </w:tcPr>
          <w:p>
            <w:pPr>
              <w:spacing w:after="0"/>
              <w:rPr>
                <w:sz w:val="18"/>
                <w:szCs w:val="18"/>
                <w:color w:val="auto"/>
              </w:rPr>
            </w:pPr>
          </w:p>
        </w:tc>
        <w:tc>
          <w:tcPr>
            <w:tcW w:w="880" w:type="dxa"/>
            <w:vAlign w:val="bottom"/>
            <w:tcBorders>
              <w:bottom w:val="single" w:sz="8" w:color="CFF0FC"/>
            </w:tcBorders>
            <w:vMerge w:val="continue"/>
            <w:shd w:val="clear" w:color="auto" w:fill="CFF0FC"/>
          </w:tcPr>
          <w:p>
            <w:pPr>
              <w:spacing w:after="0"/>
              <w:rPr>
                <w:sz w:val="18"/>
                <w:szCs w:val="18"/>
                <w:color w:val="auto"/>
              </w:rPr>
            </w:pPr>
          </w:p>
        </w:tc>
        <w:tc>
          <w:tcPr>
            <w:tcW w:w="1240" w:type="dxa"/>
            <w:vAlign w:val="bottom"/>
            <w:tcBorders>
              <w:bottom w:val="single" w:sz="8" w:color="CFF0FC"/>
            </w:tcBorders>
            <w:gridSpan w:val="2"/>
            <w:vMerge w:val="continue"/>
            <w:shd w:val="clear" w:color="auto" w:fill="CFF0FC"/>
          </w:tcPr>
          <w:p>
            <w:pPr>
              <w:spacing w:after="0"/>
              <w:rPr>
                <w:sz w:val="18"/>
                <w:szCs w:val="18"/>
                <w:color w:val="auto"/>
              </w:rPr>
            </w:pPr>
          </w:p>
        </w:tc>
        <w:tc>
          <w:tcPr>
            <w:tcW w:w="320" w:type="dxa"/>
            <w:vAlign w:val="bottom"/>
            <w:tcBorders>
              <w:bottom w:val="single" w:sz="8" w:color="CFF0FC"/>
            </w:tcBorders>
            <w:gridSpan w:val="2"/>
            <w:vMerge w:val="continue"/>
            <w:shd w:val="clear" w:color="auto" w:fill="CFF0FC"/>
          </w:tcPr>
          <w:p>
            <w:pPr>
              <w:spacing w:after="0"/>
              <w:rPr>
                <w:sz w:val="18"/>
                <w:szCs w:val="18"/>
                <w:color w:val="auto"/>
              </w:rPr>
            </w:pPr>
          </w:p>
        </w:tc>
        <w:tc>
          <w:tcPr>
            <w:tcW w:w="840" w:type="dxa"/>
            <w:vAlign w:val="bottom"/>
            <w:tcBorders>
              <w:bottom w:val="single" w:sz="8" w:color="CFF0FC"/>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-419735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-401955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4"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As of June 30, 2022, 98,879 performance-based stock options were both outstanding and unvested, with total unrecognized stock-based compensation expense of $0.5 million. The achievement of the performance conditions for these options was deemed probable to occur as of June 30, 2022, therefore the Company recognized $0.9 million in expense over the requisite service period related to these awards for the six months ended June 30, 2022.</w:t>
      </w:r>
    </w:p>
    <w:p>
      <w:pPr>
        <w:spacing w:after="0" w:line="188"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The achievement of performance conditions for an additional 96,341 performance-based stock options were met during the three months ended June 30, 2022 and vested. The Company recognized $0.6 million of expense related to these awards for the three months ended June 30, 2022 and $1.2 million for the six months ended June 30,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jc w:val="both"/>
        <w:ind w:right="160" w:firstLine="749"/>
        <w:spacing w:after="0" w:line="248" w:lineRule="auto"/>
        <w:rPr>
          <w:sz w:val="20"/>
          <w:szCs w:val="20"/>
          <w:color w:val="auto"/>
        </w:rPr>
      </w:pPr>
      <w:r>
        <w:rPr>
          <w:rFonts w:ascii="Arial" w:cs="Arial" w:eastAsia="Arial" w:hAnsi="Arial"/>
          <w:sz w:val="18"/>
          <w:szCs w:val="18"/>
          <w:color w:val="auto"/>
        </w:rPr>
        <w:t>The Company estimated the fair value of stock options using the Black-Scholes valuation model. The Company accounts for any forfeitures of options when they occur. Previously recognized compensation expense for an award is reversed in the period that the award is forfeited. The fair value of stock options was estimated using the following assumptions:</w:t>
      </w:r>
    </w:p>
    <w:p>
      <w:pPr>
        <w:spacing w:after="0" w:line="376"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444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454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555"/>
              <w:spacing w:after="0" w:line="155"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515"/>
              <w:spacing w:after="0" w:line="155"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3"/>
                <w:szCs w:val="13"/>
                <w:color w:val="auto"/>
              </w:rPr>
            </w:pPr>
          </w:p>
        </w:tc>
      </w:tr>
      <w:tr>
        <w:trPr>
          <w:trHeight w:val="183"/>
        </w:trPr>
        <w:tc>
          <w:tcPr>
            <w:tcW w:w="454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Stock Options:</w:t>
            </w:r>
          </w:p>
        </w:tc>
        <w:tc>
          <w:tcPr>
            <w:tcW w:w="6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Stock price</w:t>
            </w:r>
          </w:p>
        </w:tc>
        <w:tc>
          <w:tcPr>
            <w:tcW w:w="156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0"/>
              </w:rPr>
              <w:t>$5.38 - 12.31</w:t>
            </w:r>
          </w:p>
        </w:tc>
        <w:tc>
          <w:tcPr>
            <w:tcW w:w="1640" w:type="dxa"/>
            <w:vAlign w:val="bottom"/>
            <w:gridSpan w:val="3"/>
          </w:tcPr>
          <w:p>
            <w:pPr>
              <w:jc w:val="center"/>
              <w:ind w:left="30"/>
              <w:spacing w:after="0" w:line="189" w:lineRule="exact"/>
              <w:rPr>
                <w:sz w:val="20"/>
                <w:szCs w:val="20"/>
                <w:color w:val="auto"/>
              </w:rPr>
            </w:pPr>
            <w:r>
              <w:rPr>
                <w:rFonts w:ascii="Arial" w:cs="Arial" w:eastAsia="Arial" w:hAnsi="Arial"/>
                <w:sz w:val="18"/>
                <w:szCs w:val="18"/>
                <w:color w:val="auto"/>
                <w:w w:val="90"/>
              </w:rPr>
              <w:t>$0.99 - 10.75</w:t>
            </w:r>
          </w:p>
        </w:tc>
        <w:tc>
          <w:tcPr>
            <w:tcW w:w="120" w:type="dxa"/>
            <w:vAlign w:val="bottom"/>
          </w:tcPr>
          <w:p>
            <w:pPr>
              <w:spacing w:after="0"/>
              <w:rPr>
                <w:sz w:val="16"/>
                <w:szCs w:val="16"/>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Risk-free rate of interest</w:t>
            </w: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w:t>
            </w:r>
          </w:p>
        </w:tc>
        <w:tc>
          <w:tcPr>
            <w:tcW w:w="920" w:type="dxa"/>
            <w:vAlign w:val="bottom"/>
            <w:shd w:val="clear" w:color="auto" w:fill="CFF0FC"/>
          </w:tcPr>
          <w:p>
            <w:pPr>
              <w:ind w:left="40"/>
              <w:spacing w:after="0" w:line="189" w:lineRule="exact"/>
              <w:rPr>
                <w:sz w:val="20"/>
                <w:szCs w:val="20"/>
                <w:color w:val="auto"/>
              </w:rPr>
            </w:pPr>
            <w:r>
              <w:rPr>
                <w:rFonts w:ascii="Arial" w:cs="Arial" w:eastAsia="Arial" w:hAnsi="Arial"/>
                <w:sz w:val="18"/>
                <w:szCs w:val="18"/>
                <w:color w:val="auto"/>
              </w:rPr>
              <w:t>- 3.6%</w:t>
            </w: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0.8</w:t>
            </w:r>
          </w:p>
        </w:tc>
        <w:tc>
          <w:tcPr>
            <w:tcW w:w="920" w:type="dxa"/>
            <w:vAlign w:val="bottom"/>
            <w:shd w:val="clear" w:color="auto" w:fill="CFF0FC"/>
          </w:tcPr>
          <w:p>
            <w:pPr>
              <w:ind w:left="60"/>
              <w:spacing w:after="0" w:line="189" w:lineRule="exact"/>
              <w:rPr>
                <w:sz w:val="20"/>
                <w:szCs w:val="20"/>
                <w:color w:val="auto"/>
              </w:rPr>
            </w:pPr>
            <w:r>
              <w:rPr>
                <w:rFonts w:ascii="Arial" w:cs="Arial" w:eastAsia="Arial" w:hAnsi="Arial"/>
                <w:sz w:val="18"/>
                <w:szCs w:val="18"/>
                <w:color w:val="auto"/>
              </w:rPr>
              <w:t>- 1.1%</w:t>
            </w:r>
          </w:p>
        </w:tc>
        <w:tc>
          <w:tcPr>
            <w:tcW w:w="120" w:type="dxa"/>
            <w:vAlign w:val="bottom"/>
            <w:shd w:val="clear" w:color="auto" w:fill="CFF0FC"/>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Expected term (years)</w:t>
            </w:r>
          </w:p>
        </w:tc>
        <w:tc>
          <w:tcPr>
            <w:tcW w:w="156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0"/>
              </w:rPr>
              <w:t>5.1 - 6.1</w:t>
            </w:r>
          </w:p>
        </w:tc>
        <w:tc>
          <w:tcPr>
            <w:tcW w:w="1640" w:type="dxa"/>
            <w:vAlign w:val="bottom"/>
            <w:gridSpan w:val="3"/>
          </w:tcPr>
          <w:p>
            <w:pPr>
              <w:jc w:val="center"/>
              <w:ind w:left="30"/>
              <w:spacing w:after="0" w:line="189" w:lineRule="exact"/>
              <w:rPr>
                <w:sz w:val="20"/>
                <w:szCs w:val="20"/>
                <w:color w:val="auto"/>
              </w:rPr>
            </w:pPr>
            <w:r>
              <w:rPr>
                <w:rFonts w:ascii="Arial" w:cs="Arial" w:eastAsia="Arial" w:hAnsi="Arial"/>
                <w:sz w:val="18"/>
                <w:szCs w:val="18"/>
                <w:color w:val="auto"/>
                <w:w w:val="90"/>
              </w:rPr>
              <w:t>5.0 - 6.1</w:t>
            </w:r>
          </w:p>
        </w:tc>
        <w:tc>
          <w:tcPr>
            <w:tcW w:w="120" w:type="dxa"/>
            <w:vAlign w:val="bottom"/>
          </w:tcPr>
          <w:p>
            <w:pPr>
              <w:spacing w:after="0"/>
              <w:rPr>
                <w:sz w:val="16"/>
                <w:szCs w:val="16"/>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Expected stock price volatility</w:t>
            </w: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86.4</w:t>
            </w:r>
          </w:p>
        </w:tc>
        <w:tc>
          <w:tcPr>
            <w:tcW w:w="920" w:type="dxa"/>
            <w:vAlign w:val="bottom"/>
            <w:shd w:val="clear" w:color="auto" w:fill="CFF0FC"/>
          </w:tcPr>
          <w:p>
            <w:pPr>
              <w:ind w:left="40"/>
              <w:spacing w:after="0" w:line="189" w:lineRule="exact"/>
              <w:rPr>
                <w:sz w:val="20"/>
                <w:szCs w:val="20"/>
                <w:color w:val="auto"/>
              </w:rPr>
            </w:pPr>
            <w:r>
              <w:rPr>
                <w:rFonts w:ascii="Arial" w:cs="Arial" w:eastAsia="Arial" w:hAnsi="Arial"/>
                <w:sz w:val="18"/>
                <w:szCs w:val="18"/>
                <w:color w:val="auto"/>
              </w:rPr>
              <w:t>- 90.4%</w:t>
            </w: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98.9</w:t>
            </w:r>
          </w:p>
        </w:tc>
        <w:tc>
          <w:tcPr>
            <w:tcW w:w="920" w:type="dxa"/>
            <w:vAlign w:val="bottom"/>
            <w:shd w:val="clear" w:color="auto" w:fill="CFF0FC"/>
          </w:tcPr>
          <w:p>
            <w:pPr>
              <w:ind w:left="60"/>
              <w:spacing w:after="0" w:line="189" w:lineRule="exact"/>
              <w:rPr>
                <w:sz w:val="20"/>
                <w:szCs w:val="20"/>
                <w:color w:val="auto"/>
              </w:rPr>
            </w:pPr>
            <w:r>
              <w:rPr>
                <w:rFonts w:ascii="Arial" w:cs="Arial" w:eastAsia="Arial" w:hAnsi="Arial"/>
                <w:sz w:val="18"/>
                <w:szCs w:val="18"/>
                <w:color w:val="auto"/>
              </w:rPr>
              <w:t>- 99.9%</w:t>
            </w:r>
          </w:p>
        </w:tc>
        <w:tc>
          <w:tcPr>
            <w:tcW w:w="120" w:type="dxa"/>
            <w:vAlign w:val="bottom"/>
            <w:shd w:val="clear" w:color="auto" w:fill="CFF0FC"/>
          </w:tcPr>
          <w:p>
            <w:pPr>
              <w:spacing w:after="0"/>
              <w:rPr>
                <w:sz w:val="16"/>
                <w:szCs w:val="16"/>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Dividend yield</w:t>
            </w:r>
          </w:p>
        </w:tc>
        <w:tc>
          <w:tcPr>
            <w:tcW w:w="640" w:type="dxa"/>
            <w:vAlign w:val="bottom"/>
          </w:tcPr>
          <w:p>
            <w:pPr>
              <w:spacing w:after="0"/>
              <w:rPr>
                <w:sz w:val="20"/>
                <w:szCs w:val="20"/>
                <w:color w:val="auto"/>
              </w:rPr>
            </w:pPr>
          </w:p>
        </w:tc>
        <w:tc>
          <w:tcPr>
            <w:tcW w:w="920" w:type="dxa"/>
            <w:vAlign w:val="bottom"/>
          </w:tcPr>
          <w:p>
            <w:pPr>
              <w:jc w:val="center"/>
              <w:ind w:right="53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center"/>
              <w:ind w:right="53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bl>
    <w:p>
      <w:pPr>
        <w:spacing w:after="0" w:line="160" w:lineRule="exact"/>
        <w:rPr>
          <w:sz w:val="20"/>
          <w:szCs w:val="20"/>
          <w:color w:val="auto"/>
        </w:rPr>
      </w:pPr>
    </w:p>
    <w:p>
      <w:pPr>
        <w:ind w:right="760" w:firstLine="749"/>
        <w:spacing w:after="0" w:line="261" w:lineRule="auto"/>
        <w:rPr>
          <w:sz w:val="20"/>
          <w:szCs w:val="20"/>
          <w:color w:val="auto"/>
        </w:rPr>
      </w:pPr>
      <w:r>
        <w:rPr>
          <w:rFonts w:ascii="Arial" w:cs="Arial" w:eastAsia="Arial" w:hAnsi="Arial"/>
          <w:sz w:val="18"/>
          <w:szCs w:val="18"/>
          <w:color w:val="auto"/>
        </w:rPr>
        <w:t>Stock-based compensation expense recognized for all equity awards, including Founder's Stock, has been reported in the statements of operations and comprehensive loss as follows (in thousands):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96"/>
        </w:trPr>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1,602</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3,080</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1,085</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3,580</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w:t>
            </w:r>
          </w:p>
        </w:tc>
        <w:tc>
          <w:tcPr>
            <w:tcW w:w="100" w:type="dxa"/>
            <w:vAlign w:val="bottom"/>
          </w:tcPr>
          <w:p>
            <w:pPr>
              <w:spacing w:after="0"/>
              <w:rPr>
                <w:sz w:val="17"/>
                <w:szCs w:val="17"/>
                <w:color w:val="auto"/>
              </w:rPr>
            </w:pPr>
          </w:p>
        </w:tc>
      </w:tr>
      <w:tr>
        <w:trPr>
          <w:trHeight w:val="236"/>
        </w:trPr>
        <w:tc>
          <w:tcPr>
            <w:tcW w:w="3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2,687</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338</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6,660</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The weighted-average grant date fair value of employee option grants for the six months ended June 30, 2022 and 2021 was $6.40 and $2.67 per share, respectively.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Forfeitures resulting in the reversal of compensation expense were immaterial for the three and six months ended June 30, 2022 and 2021.</w:t>
      </w:r>
    </w:p>
    <w:p>
      <w:pPr>
        <w:spacing w:after="0" w:line="210"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As of June 30, 2022, the unrecognized compensation cost related to outstanding employee and nonemployee options was $21.8 million, and is expected to be recognized as expense over a weighted-average period of approximately 2.5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80" w:firstLine="749"/>
        <w:spacing w:after="0" w:line="268" w:lineRule="auto"/>
        <w:rPr>
          <w:sz w:val="20"/>
          <w:szCs w:val="20"/>
          <w:color w:val="auto"/>
        </w:rPr>
      </w:pPr>
      <w:r>
        <w:rPr>
          <w:rFonts w:ascii="Arial" w:cs="Arial" w:eastAsia="Arial" w:hAnsi="Arial"/>
          <w:sz w:val="16"/>
          <w:szCs w:val="16"/>
          <w:color w:val="auto"/>
        </w:rPr>
        <w:t>In September 2021, the Company’s Board of Directors approved and adopted the 2021 Employee Stock Purchase Plan (ESPP). The ESPP became effective on the business day immediately prior to the effective date of the Company’s first registration statement. A total of 380,000 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w:t>
      </w:r>
    </w:p>
    <w:p>
      <w:pPr>
        <w:spacing w:after="0" w:line="1" w:lineRule="exact"/>
        <w:rPr>
          <w:sz w:val="20"/>
          <w:szCs w:val="20"/>
          <w:color w:val="auto"/>
        </w:rPr>
      </w:pPr>
    </w:p>
    <w:p>
      <w:pPr>
        <w:ind w:right="140" w:firstLine="8"/>
        <w:spacing w:after="0" w:line="23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smaller amount as determined by the Company’s Board of Directors.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six months, with new offering periods commencing every six months on or about the dates of March 15 and September 15 of each year. During the six months ended June 30, 2022, the Company issued 27,518 shares of common stock in connection with the ESPP.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212"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Certain individuals were granted the ability to early exercise their stock options prior to the IPO.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As of June 30, 2022 and December 31, 2021, 427,041 and 599,878 unvested shares issued under early exercise provisions were subject to repurchase by the Company, respectively. As of June 30, 2022 and December 31, 2021, the Company recorded $0.3 million and $0.4 million, respectively, associated with shares issued with repurchase rights in other long-term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the basic and diluted net loss per share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4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(15,095 )</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(5,512 )</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(29,921 )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(9,721 )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7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740" w:type="dxa"/>
            <w:vAlign w:val="bottom"/>
          </w:tcPr>
          <w:p>
            <w:pPr>
              <w:spacing w:after="0" w:line="162" w:lineRule="exact"/>
              <w:rPr>
                <w:sz w:val="20"/>
                <w:szCs w:val="20"/>
                <w:color w:val="auto"/>
              </w:rPr>
            </w:pPr>
            <w:r>
              <w:rPr>
                <w:rFonts w:ascii="Arial" w:cs="Arial" w:eastAsia="Arial" w:hAnsi="Arial"/>
                <w:sz w:val="18"/>
                <w:szCs w:val="18"/>
                <w:color w:val="auto"/>
              </w:rPr>
              <w:t>Weighted average shares used to compute net loss</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41,777,206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2,267,113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41,665,155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9"/>
              </w:rPr>
              <w:t>2,139,889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740" w:type="dxa"/>
            <w:vAlign w:val="bottom"/>
          </w:tcPr>
          <w:p>
            <w:pPr>
              <w:ind w:left="140"/>
              <w:spacing w:after="0" w:line="156" w:lineRule="exact"/>
              <w:rPr>
                <w:sz w:val="20"/>
                <w:szCs w:val="20"/>
                <w:color w:val="auto"/>
              </w:rPr>
            </w:pPr>
            <w:r>
              <w:rPr>
                <w:rFonts w:ascii="Arial" w:cs="Arial" w:eastAsia="Arial" w:hAnsi="Arial"/>
                <w:sz w:val="18"/>
                <w:szCs w:val="18"/>
                <w:color w:val="auto"/>
              </w:rPr>
              <w:t>per common share, basic and diluted</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(0.36</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(2.43</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(0.72</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718"/>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7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-359410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-342265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-359410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-342265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-359410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-342265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-359410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-342265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ind w:right="400" w:firstLine="749"/>
        <w:spacing w:after="0" w:line="261"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rPr>
              <w:t>As of June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3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Convertible preferred stock</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10,097,839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Unvested restricted common stock subject to repurchase</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250,230</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741,534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Unvested common stock upon early exercise of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427,041</w:t>
            </w: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771,153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w:t>
            </w:r>
          </w:p>
        </w:tc>
        <w:tc>
          <w:tcPr>
            <w:tcW w:w="1140" w:type="dxa"/>
            <w:vAlign w:val="bottom"/>
            <w:vMerge w:val="continue"/>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4,505,258</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2,586,835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5,182,529</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14,197,361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16"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The Company has leases for its office and laboratory space, including its corporate headquarters, with terms that expire in 2033. The Company has two options to extend the term of the operating lease for a period of three years each. However, as the Company was not reasonably certain to exercise either of those options at lease commencement, neither option was recognized as part of the associated operating lease Right of Use (ROU) asset or liability.</w:t>
      </w:r>
    </w:p>
    <w:p>
      <w:pPr>
        <w:spacing w:after="0" w:line="188"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March 2022, the Company entered into an agreement (the Expansion Lease), for an additional office and laboratory space. The Expansion Lease is expected to commence in the second quarter of 2023 and projected lease payments over the life of the lease are expected to be $5.5 million with a lease expiration of 120 months after the commencement of the Expansion Lease. The Company has an option to renew the Expansion Lease and its existing operating lease, which has the same lessor and has been amended to have the same lease term as the Expansion Lease for two additional thirty-six month periods.</w:t>
      </w:r>
    </w:p>
    <w:p>
      <w:pPr>
        <w:spacing w:after="0" w:line="189"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In connection with the Company's operating leases, the Company paid a security deposit of $71,000 and is required to maintain a letter of credit of $1.0 million until 2027 at which time it can be reduced to $0.5 million throughout the end of the lease term.</w:t>
      </w:r>
    </w:p>
    <w:p>
      <w:pPr>
        <w:spacing w:after="0" w:line="17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The Company's operating lease cost was $0.1 million and $0.1 million for the three months ended June 30, 2022 and 2021, respectively, and $0.2 million and $0.1 million for the six months ended June 30, 2022 and 2021, respectively. Cash paid for amounts included in the measurement of lease liabilities was $0.1 million and $0.1 million for the three months ended June 30, 2022 and 2021, respectively, and $0.1 million and $0.1 million for the six months ended June 30, 2022 and 2021, respectively.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Maturities of lease liabilities, weighted-average remaining term and weighted-average discount rate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4"/>
          </w:tcPr>
          <w:p>
            <w:pPr>
              <w:jc w:val="right"/>
              <w:ind w:right="1880"/>
              <w:spacing w:after="0"/>
              <w:rPr>
                <w:sz w:val="20"/>
                <w:szCs w:val="20"/>
                <w:color w:val="auto"/>
              </w:rPr>
            </w:pPr>
            <w:r>
              <w:rPr>
                <w:rFonts w:ascii="Arial" w:cs="Arial" w:eastAsia="Arial" w:hAnsi="Arial"/>
                <w:sz w:val="14"/>
                <w:szCs w:val="14"/>
                <w:b w:val="1"/>
                <w:bCs w:val="1"/>
                <w:color w:val="auto"/>
                <w:w w:val="88"/>
              </w:rPr>
              <w:t>As of June 30,</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5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2022 (remaining six months)</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2023</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299</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2024</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309</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2025</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317</w:t>
            </w:r>
          </w:p>
        </w:tc>
        <w:tc>
          <w:tcPr>
            <w:tcW w:w="80" w:type="dxa"/>
            <w:vAlign w:val="bottom"/>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2026</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56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2,378</w:t>
            </w:r>
          </w:p>
        </w:tc>
        <w:tc>
          <w:tcPr>
            <w:tcW w:w="80" w:type="dxa"/>
            <w:vAlign w:val="bottom"/>
            <w:tcBorders>
              <w:bottom w:val="single" w:sz="8" w:color="CFF0FC"/>
            </w:tcBorders>
            <w:shd w:val="clear" w:color="auto" w:fill="CFF0FC"/>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560" w:type="dxa"/>
            <w:vAlign w:val="bottom"/>
            <w:gridSpan w:val="2"/>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3,777</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65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(1,105 )</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56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Present value of lease liabilities</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2,672</w:t>
            </w:r>
          </w:p>
        </w:tc>
        <w:tc>
          <w:tcPr>
            <w:tcW w:w="80" w:type="dxa"/>
            <w:vAlign w:val="bottom"/>
            <w:tcBorders>
              <w:top w:val="single" w:sz="8" w:color="CFF0FC"/>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5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lease liabilities</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(123 )</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56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Lease liabilities, noncurrent</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2,549</w:t>
            </w:r>
          </w:p>
        </w:tc>
        <w:tc>
          <w:tcPr>
            <w:tcW w:w="80" w:type="dxa"/>
            <w:vAlign w:val="bottom"/>
            <w:tcBorders>
              <w:top w:val="single" w:sz="8" w:color="CFF0FC"/>
            </w:tcBorders>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4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88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3"/>
          </w:tcPr>
          <w:p>
            <w:pPr>
              <w:jc w:val="right"/>
              <w:ind w:right="1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56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Weighted-average remaining lease term</w:t>
            </w:r>
          </w:p>
        </w:tc>
        <w:tc>
          <w:tcPr>
            <w:tcW w:w="880" w:type="dxa"/>
            <w:vAlign w:val="bottom"/>
            <w:shd w:val="clear" w:color="auto" w:fill="CFF0FC"/>
          </w:tcPr>
          <w:p>
            <w:pPr>
              <w:spacing w:after="0"/>
              <w:rPr>
                <w:sz w:val="13"/>
                <w:szCs w:val="13"/>
                <w:color w:val="auto"/>
              </w:rPr>
            </w:pPr>
          </w:p>
        </w:tc>
        <w:tc>
          <w:tcPr>
            <w:tcW w:w="34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w w:val="85"/>
              </w:rPr>
              <w:t>11.0</w:t>
            </w:r>
          </w:p>
        </w:tc>
        <w:tc>
          <w:tcPr>
            <w:tcW w:w="18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(years) - operating leases</w:t>
            </w:r>
          </w:p>
        </w:tc>
        <w:tc>
          <w:tcPr>
            <w:tcW w:w="34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6560" w:type="dxa"/>
            <w:vAlign w:val="bottom"/>
            <w:gridSpan w:val="2"/>
          </w:tcPr>
          <w:p>
            <w:pPr>
              <w:spacing w:after="0" w:line="162" w:lineRule="exact"/>
              <w:rPr>
                <w:sz w:val="20"/>
                <w:szCs w:val="20"/>
                <w:color w:val="auto"/>
              </w:rPr>
            </w:pPr>
            <w:r>
              <w:rPr>
                <w:rFonts w:ascii="Arial" w:cs="Arial" w:eastAsia="Arial" w:hAnsi="Arial"/>
                <w:sz w:val="18"/>
                <w:szCs w:val="18"/>
                <w:color w:val="auto"/>
              </w:rPr>
              <w:t>Weighted-average incremental borrowing</w:t>
            </w:r>
          </w:p>
        </w:tc>
        <w:tc>
          <w:tcPr>
            <w:tcW w:w="520" w:type="dxa"/>
            <w:vAlign w:val="bottom"/>
            <w:gridSpan w:val="3"/>
            <w:vMerge w:val="restart"/>
          </w:tcPr>
          <w:p>
            <w:pPr>
              <w:ind w:left="20"/>
              <w:spacing w:after="0"/>
              <w:rPr>
                <w:sz w:val="20"/>
                <w:szCs w:val="20"/>
                <w:color w:val="auto"/>
              </w:rPr>
            </w:pPr>
            <w:r>
              <w:rPr>
                <w:rFonts w:ascii="Arial" w:cs="Arial" w:eastAsia="Arial" w:hAnsi="Arial"/>
                <w:sz w:val="18"/>
                <w:szCs w:val="18"/>
                <w:color w:val="auto"/>
                <w:w w:val="85"/>
              </w:rPr>
              <w:t>6.50 %</w:t>
            </w:r>
          </w:p>
        </w:tc>
        <w:tc>
          <w:tcPr>
            <w:tcW w:w="2740" w:type="dxa"/>
            <w:vAlign w:val="bottom"/>
            <w:gridSpan w:val="4"/>
            <w:vMerge w:val="restart"/>
          </w:tcPr>
          <w:p>
            <w:pPr>
              <w:jc w:val="right"/>
              <w:ind w:right="1320"/>
              <w:spacing w:after="0"/>
              <w:rPr>
                <w:sz w:val="20"/>
                <w:szCs w:val="20"/>
                <w:color w:val="auto"/>
              </w:rPr>
            </w:pPr>
            <w:r>
              <w:rPr>
                <w:rFonts w:ascii="Arial" w:cs="Arial" w:eastAsia="Arial" w:hAnsi="Arial"/>
                <w:sz w:val="18"/>
                <w:szCs w:val="18"/>
                <w:color w:val="auto"/>
              </w:rPr>
              <w:t>7.50 %</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6560" w:type="dxa"/>
            <w:vAlign w:val="bottom"/>
            <w:gridSpan w:val="2"/>
          </w:tcPr>
          <w:p>
            <w:pPr>
              <w:ind w:left="140"/>
              <w:spacing w:after="0"/>
              <w:rPr>
                <w:sz w:val="20"/>
                <w:szCs w:val="20"/>
                <w:color w:val="auto"/>
              </w:rPr>
            </w:pPr>
            <w:r>
              <w:rPr>
                <w:rFonts w:ascii="Arial" w:cs="Arial" w:eastAsia="Arial" w:hAnsi="Arial"/>
                <w:sz w:val="18"/>
                <w:szCs w:val="18"/>
                <w:color w:val="auto"/>
              </w:rPr>
              <w:t>rate - operating leases</w:t>
            </w:r>
          </w:p>
        </w:tc>
        <w:tc>
          <w:tcPr>
            <w:tcW w:w="520" w:type="dxa"/>
            <w:vAlign w:val="bottom"/>
            <w:gridSpan w:val="3"/>
            <w:vMerge w:val="continue"/>
          </w:tcPr>
          <w:p>
            <w:pPr>
              <w:spacing w:after="0"/>
              <w:rPr>
                <w:sz w:val="20"/>
                <w:szCs w:val="20"/>
                <w:color w:val="auto"/>
              </w:rPr>
            </w:pPr>
          </w:p>
        </w:tc>
        <w:tc>
          <w:tcPr>
            <w:tcW w:w="27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420" w:type="dxa"/>
            <w:vAlign w:val="bottom"/>
          </w:tcPr>
          <w:p>
            <w:pPr>
              <w:spacing w:after="0"/>
              <w:rPr>
                <w:sz w:val="24"/>
                <w:szCs w:val="24"/>
                <w:color w:val="auto"/>
              </w:rPr>
            </w:pPr>
          </w:p>
        </w:tc>
        <w:tc>
          <w:tcPr>
            <w:tcW w:w="5680" w:type="dxa"/>
            <w:vAlign w:val="bottom"/>
          </w:tcPr>
          <w:p>
            <w:pPr>
              <w:ind w:left="4120"/>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420" w:type="dxa"/>
            <w:vAlign w:val="bottom"/>
            <w:tcBorders>
              <w:bottom w:val="single" w:sz="8" w:color="9A9A9A"/>
            </w:tcBorders>
          </w:tcPr>
          <w:p>
            <w:pPr>
              <w:spacing w:after="0"/>
              <w:rPr>
                <w:sz w:val="8"/>
                <w:szCs w:val="8"/>
                <w:color w:val="auto"/>
              </w:rPr>
            </w:pPr>
          </w:p>
        </w:tc>
        <w:tc>
          <w:tcPr>
            <w:tcW w:w="56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-1873885</wp:posOffset>
            </wp:positionV>
            <wp:extent cx="514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-1607820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-1342390</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i w:val="1"/>
          <w:iCs w:val="1"/>
          <w:color w:val="auto"/>
        </w:rPr>
        <w:t>The following discussion and analysis and the unaudited interim financial statements included in this Quarterly Report on Form 10-Q should be read in conjunction with the financial statements and notes thereto for the year ended December 31, 2021 and the related Management’s Discussion and Analysis of Financial Condition and Results of Operations, both of which are contained in the Annual Report on Form 10-K for the year ended December 31, 2021 (the 2021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the COVID-19 pandemic on our business,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ind w:firstLine="794"/>
        <w:spacing w:after="0" w:line="252" w:lineRule="auto"/>
        <w:rPr>
          <w:sz w:val="20"/>
          <w:szCs w:val="20"/>
          <w:color w:val="auto"/>
        </w:rPr>
      </w:pPr>
      <w:r>
        <w:rPr>
          <w:rFonts w:ascii="Arial" w:cs="Arial" w:eastAsia="Arial" w:hAnsi="Arial"/>
          <w:sz w:val="17"/>
          <w:szCs w:val="17"/>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749"/>
        <w:spacing w:after="0" w:line="265" w:lineRule="auto"/>
        <w:rPr>
          <w:sz w:val="20"/>
          <w:szCs w:val="20"/>
          <w:color w:val="auto"/>
        </w:rPr>
      </w:pPr>
      <w:r>
        <w:rPr>
          <w:rFonts w:ascii="Arial" w:cs="Arial" w:eastAsia="Arial" w:hAnsi="Arial"/>
          <w:sz w:val="16"/>
          <w:szCs w:val="16"/>
          <w:color w:val="auto"/>
        </w:rPr>
        <w:t>We are a precision oncology company focused on developing purpose-built therapies to overcome tumor resistance and improve outcomes for patients with cancer. We are using our proprietary SNÅP platform, which is optimized to enable rapid and precise refinement of structural design through iterative molecular SNÅPshots, in order to generate next-generation product candidates that are specifically designed to address acquired drug resistance and provide alternative treatment options. We are initially focused on developing a pipeline of selective inhibitors of the Fibroblast Growth Factor Receptor (FGFR) family members, which are altered in approximately 7% of all cancers. We are advancing multiple product candidates toward the clinic including our lead product candidate TYRA-300, an FGFR3 inhibitor with an initial focus on patients with metastatic urothelial carcinoma of the bladder and urinary tract. Our second product candidate, TYRA-200, is an FGFR2 inhibitor with an initial focus on patients with an intrahepatic cholangiocarcinoma who have developed drug resistance mutations to existing FGFR inhibitors due to activating mutations and gene alterations in FGFR2. We submitted an Investigational New Drug application (IND) with the U.S. Food and Drug Administration (FDA) for TYRA-300 in June 2022 and received clearance in July 2022 to proceed with our Phase 1/2 clinical study of TYRA-300 (SURF301), a two-part study designed to determine the optimal and maximum tolerated doses (MTD) and the recommended Phase 2 dose (RP2D) of TYRA-300, as well as to evaluate the preliminary antitumor activity of TYRA-300. We anticipate submitting an IND with the FDA for TYRA-200 in the second half of 2022. In addition, we have pipeline development programs targeting FGFR3-related achondroplasia and other FGFR3-related skeletal dysplasias, FGFR4-related cancers, and REarranged during Transfection kinase (RET).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 w:name="page15"/>
    <w:bookmarkEnd w:id="14"/>
    <w:p>
      <w:pPr>
        <w:ind w:right="40" w:firstLine="749"/>
        <w:spacing w:after="0" w:line="239" w:lineRule="auto"/>
        <w:rPr>
          <w:sz w:val="20"/>
          <w:szCs w:val="20"/>
          <w:color w:val="auto"/>
        </w:rPr>
      </w:pPr>
      <w:r>
        <w:rPr>
          <w:rFonts w:ascii="Arial" w:cs="Arial" w:eastAsia="Arial" w:hAnsi="Arial"/>
          <w:sz w:val="18"/>
          <w:szCs w:val="18"/>
          <w:color w:val="auto"/>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six months ended June 30, 2022 and 2021 were $29.9 million and $9.7 million, respectively. As of June 30, 2022, we had an accumulated deficit of $70.3 million. As of June 30, 2022, we had cash and cash equivalents of $275.1 million.</w:t>
      </w:r>
    </w:p>
    <w:p>
      <w:pPr>
        <w:spacing w:after="0" w:line="191"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planned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p>
    <w:p>
      <w:pPr>
        <w:spacing w:after="0" w:line="159" w:lineRule="exact"/>
        <w:rPr>
          <w:sz w:val="20"/>
          <w:szCs w:val="20"/>
          <w:color w:val="auto"/>
        </w:rPr>
      </w:pPr>
    </w:p>
    <w:p>
      <w:pPr>
        <w:ind w:right="80" w:firstLine="749"/>
        <w:spacing w:after="0" w:line="270" w:lineRule="auto"/>
        <w:rPr>
          <w:sz w:val="20"/>
          <w:szCs w:val="20"/>
          <w:color w:val="auto"/>
        </w:rPr>
      </w:pPr>
      <w:r>
        <w:rPr>
          <w:rFonts w:ascii="Arial" w:cs="Arial" w:eastAsia="Arial" w:hAnsi="Arial"/>
          <w:sz w:val="16"/>
          <w:szCs w:val="16"/>
          <w:color w:val="auto"/>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p>
    <w:p>
      <w:pPr>
        <w:spacing w:after="0" w:line="171"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The global COVID-19 pandemic continues to evolve, and we will continue to monitor the COVID-19 situation closely. The extent of the impact of the COVID-19 pandemic on our business, operations and development timelines and plans remains uncertain, and will depend on certain developments, including the duration and spread of the pandemic and its impact on our development activities, contract research organizations (CROs), third-party manufacturers and other third parties with whom we do business, as well as its impact on regulatory authorities and our key scientific and management personnel.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To date, our research and development expenses consist primarily of external and internal costs related to the development of our SNÅP platform and our product candidates and development programs. Our research and development expenses primarily include:</w:t>
      </w:r>
    </w:p>
    <w:p>
      <w:pPr>
        <w:spacing w:after="0" w:line="171" w:lineRule="exact"/>
        <w:rPr>
          <w:sz w:val="20"/>
          <w:szCs w:val="20"/>
          <w:color w:val="auto"/>
        </w:rPr>
      </w:pPr>
    </w:p>
    <w:p>
      <w:pPr>
        <w:ind w:left="1080" w:hanging="323"/>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costs, including:</w:t>
      </w:r>
    </w:p>
    <w:p>
      <w:pPr>
        <w:spacing w:after="0" w:line="211" w:lineRule="exact"/>
        <w:rPr>
          <w:rFonts w:ascii="Arial" w:cs="Arial" w:eastAsia="Arial" w:hAnsi="Arial"/>
          <w:sz w:val="18"/>
          <w:szCs w:val="18"/>
          <w:color w:val="auto"/>
        </w:rPr>
      </w:pPr>
    </w:p>
    <w:p>
      <w:pPr>
        <w:ind w:left="1380" w:right="400" w:hanging="308"/>
        <w:spacing w:after="0" w:line="248"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incurred in connection with conducting clinical trials, including investigator grants and site payments for time and pass-through expenses and expenses incurred under agreements with CROs, central laboratories and other vendors and service providers engaged to conduct our trials;</w:t>
      </w:r>
    </w:p>
    <w:p>
      <w:pPr>
        <w:spacing w:after="0" w:line="181" w:lineRule="exact"/>
        <w:rPr>
          <w:rFonts w:ascii="Arial" w:cs="Arial" w:eastAsia="Arial" w:hAnsi="Arial"/>
          <w:sz w:val="18"/>
          <w:szCs w:val="18"/>
          <w:color w:val="auto"/>
        </w:rPr>
      </w:pPr>
    </w:p>
    <w:p>
      <w:pPr>
        <w:ind w:left="1380" w:right="120" w:hanging="308"/>
        <w:spacing w:after="0" w:line="261"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product candidates, including under agreements with third parties, such as consultants and CROs;</w:t>
      </w:r>
    </w:p>
    <w:p>
      <w:pPr>
        <w:spacing w:after="0" w:line="170" w:lineRule="exact"/>
        <w:rPr>
          <w:rFonts w:ascii="Arial" w:cs="Arial" w:eastAsia="Arial" w:hAnsi="Arial"/>
          <w:sz w:val="18"/>
          <w:szCs w:val="18"/>
          <w:color w:val="auto"/>
        </w:rPr>
      </w:pPr>
    </w:p>
    <w:p>
      <w:pPr>
        <w:ind w:left="1380" w:hanging="308"/>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costs associated with consultants for chemistry, manufacturing and controls, or CMC development, and other services; and</w:t>
      </w:r>
    </w:p>
    <w:p>
      <w:pPr>
        <w:spacing w:after="0" w:line="211" w:lineRule="exact"/>
        <w:rPr>
          <w:rFonts w:ascii="Arial" w:cs="Arial" w:eastAsia="Arial" w:hAnsi="Arial"/>
          <w:sz w:val="18"/>
          <w:szCs w:val="18"/>
          <w:color w:val="auto"/>
        </w:rPr>
      </w:pPr>
    </w:p>
    <w:p>
      <w:pPr>
        <w:ind w:left="1380" w:right="800" w:hanging="308"/>
        <w:spacing w:after="0" w:line="244"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cost of manufacturing compounds for use in our preclinical studies, including under agreements with third parties, such as consultants and third-party manufacturers; and</w:t>
      </w: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left="1120" w:hanging="363"/>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211" w:lineRule="exact"/>
        <w:rPr>
          <w:rFonts w:ascii="Arial" w:cs="Arial" w:eastAsia="Arial" w:hAnsi="Arial"/>
          <w:sz w:val="18"/>
          <w:szCs w:val="18"/>
          <w:color w:val="auto"/>
        </w:rPr>
      </w:pPr>
    </w:p>
    <w:p>
      <w:pPr>
        <w:ind w:left="1380" w:right="20" w:hanging="308"/>
        <w:spacing w:after="0" w:line="261"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170" w:lineRule="exact"/>
        <w:rPr>
          <w:rFonts w:ascii="Arial" w:cs="Arial" w:eastAsia="Arial" w:hAnsi="Arial"/>
          <w:sz w:val="18"/>
          <w:szCs w:val="18"/>
          <w:color w:val="auto"/>
        </w:rPr>
      </w:pPr>
    </w:p>
    <w:p>
      <w:pPr>
        <w:ind w:left="1380" w:hanging="308"/>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211" w:lineRule="exact"/>
        <w:rPr>
          <w:rFonts w:ascii="Arial" w:cs="Arial" w:eastAsia="Arial" w:hAnsi="Arial"/>
          <w:sz w:val="18"/>
          <w:szCs w:val="18"/>
          <w:color w:val="auto"/>
        </w:rPr>
      </w:pPr>
    </w:p>
    <w:p>
      <w:pPr>
        <w:ind w:left="1380" w:hanging="308"/>
        <w:spacing w:after="0"/>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allocated expenses for rent and maintenance of facilities, and supplies.</w:t>
      </w:r>
    </w:p>
    <w:p>
      <w:pPr>
        <w:spacing w:after="0" w:line="223" w:lineRule="exact"/>
        <w:rPr>
          <w:sz w:val="20"/>
          <w:szCs w:val="20"/>
          <w:color w:val="auto"/>
        </w:rPr>
      </w:pPr>
    </w:p>
    <w:p>
      <w:pPr>
        <w:ind w:right="200" w:firstLine="749"/>
        <w:spacing w:after="0" w:line="241" w:lineRule="auto"/>
        <w:rPr>
          <w:sz w:val="20"/>
          <w:szCs w:val="20"/>
          <w:color w:val="auto"/>
        </w:rPr>
      </w:pPr>
      <w:r>
        <w:rPr>
          <w:rFonts w:ascii="Arial" w:cs="Arial" w:eastAsia="Arial" w:hAnsi="Arial"/>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p>
    <w:p>
      <w:pPr>
        <w:spacing w:after="0" w:line="189"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research and development expenses may vary significantly based on a wide variety of factors such as:</w:t>
      </w:r>
    </w:p>
    <w:p>
      <w:pPr>
        <w:spacing w:after="0" w:line="212" w:lineRule="exact"/>
        <w:rPr>
          <w:sz w:val="20"/>
          <w:szCs w:val="20"/>
          <w:color w:val="auto"/>
        </w:rPr>
      </w:pPr>
    </w:p>
    <w:p>
      <w:pPr>
        <w:ind w:left="1080" w:hanging="32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and scope, rate of progress, expense and results of our discovery and preclinical development activities and clinical trials;</w:t>
      </w:r>
    </w:p>
    <w:p>
      <w:pPr>
        <w:spacing w:after="0" w:line="223" w:lineRule="exact"/>
        <w:rPr>
          <w:rFonts w:ascii="Arial" w:cs="Arial" w:eastAsia="Arial" w:hAnsi="Arial"/>
          <w:sz w:val="17"/>
          <w:szCs w:val="17"/>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receipt, and terms of any approvals from applicable regulatory authorities including the FDA and non-U.S. regulators;</w:t>
      </w:r>
    </w:p>
    <w:p>
      <w:pPr>
        <w:spacing w:after="0" w:line="223" w:lineRule="exact"/>
        <w:rPr>
          <w:rFonts w:ascii="Arial" w:cs="Arial" w:eastAsia="Arial" w:hAnsi="Arial"/>
          <w:sz w:val="17"/>
          <w:szCs w:val="17"/>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11" w:lineRule="exact"/>
        <w:rPr>
          <w:rFonts w:ascii="Arial" w:cs="Arial" w:eastAsia="Arial" w:hAnsi="Arial"/>
          <w:sz w:val="18"/>
          <w:szCs w:val="18"/>
          <w:color w:val="auto"/>
        </w:rPr>
      </w:pPr>
    </w:p>
    <w:p>
      <w:pPr>
        <w:ind w:left="1080" w:right="380" w:hanging="323"/>
        <w:spacing w:after="0" w:line="261"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in light of the COVID-19 pandemic environment; and</w:t>
      </w:r>
    </w:p>
    <w:p>
      <w:pPr>
        <w:spacing w:after="0" w:line="170" w:lineRule="exact"/>
        <w:rPr>
          <w:rFonts w:ascii="Arial" w:cs="Arial" w:eastAsia="Arial" w:hAnsi="Arial"/>
          <w:sz w:val="18"/>
          <w:szCs w:val="18"/>
          <w:color w:val="auto"/>
        </w:rPr>
      </w:pPr>
    </w:p>
    <w:p>
      <w:pPr>
        <w:ind w:left="1080" w:hanging="323"/>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212"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71"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SEC, requirements, director and officer insurance costs, and investor and public relations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700" w:type="dxa"/>
            <w:vAlign w:val="bottom"/>
          </w:tcPr>
          <w:p>
            <w:pPr>
              <w:spacing w:after="0"/>
              <w:rPr>
                <w:sz w:val="17"/>
                <w:szCs w:val="17"/>
                <w:color w:val="auto"/>
              </w:rPr>
            </w:pPr>
          </w:p>
        </w:tc>
        <w:tc>
          <w:tcPr>
            <w:tcW w:w="3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12,047</w:t>
            </w:r>
          </w:p>
        </w:tc>
        <w:tc>
          <w:tcPr>
            <w:tcW w:w="2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4,381</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7,666</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3,381</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1,127</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2,254</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58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15,428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5,508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9,920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(15,428 )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(5,508 )</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(9,920 )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tcPr>
          <w:p>
            <w:pPr>
              <w:ind w:left="180"/>
              <w:spacing w:after="0" w:line="202" w:lineRule="exact"/>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(13 )</w:t>
            </w:r>
          </w:p>
        </w:tc>
        <w:tc>
          <w:tcPr>
            <w:tcW w:w="300" w:type="dxa"/>
            <w:vAlign w:val="bottom"/>
          </w:tcPr>
          <w:p>
            <w:pPr>
              <w:spacing w:after="0"/>
              <w:rPr>
                <w:sz w:val="17"/>
                <w:szCs w:val="17"/>
                <w:color w:val="auto"/>
              </w:rPr>
            </w:pPr>
          </w:p>
        </w:tc>
        <w:tc>
          <w:tcPr>
            <w:tcW w:w="11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(8 )</w:t>
            </w:r>
          </w:p>
        </w:tc>
        <w:tc>
          <w:tcPr>
            <w:tcW w:w="2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5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58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(15,095 )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(5,512 )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(9,583 )</w:t>
            </w:r>
          </w:p>
        </w:tc>
        <w:tc>
          <w:tcPr>
            <w:tcW w:w="16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33"/>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-1290955</wp:posOffset>
            </wp:positionV>
            <wp:extent cx="514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-1290955</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-1290955</wp:posOffset>
            </wp:positionV>
            <wp:extent cx="431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-502285</wp:posOffset>
            </wp:positionV>
            <wp:extent cx="514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-502285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-502285</wp:posOffset>
            </wp:positionV>
            <wp:extent cx="431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jc w:val="both"/>
        <w:ind w:right="160" w:firstLine="749"/>
        <w:spacing w:after="0" w:line="270" w:lineRule="auto"/>
        <w:rPr>
          <w:sz w:val="20"/>
          <w:szCs w:val="20"/>
          <w:color w:val="auto"/>
        </w:rPr>
      </w:pPr>
      <w:r>
        <w:rPr>
          <w:rFonts w:ascii="Arial" w:cs="Arial" w:eastAsia="Arial" w:hAnsi="Arial"/>
          <w:sz w:val="17"/>
          <w:szCs w:val="17"/>
          <w:color w:val="auto"/>
        </w:rPr>
        <w:t>Research and development expenses were $12.0 million and $4.4 million for the three months ended June 30, 2022 and 2021, respectively. The increase of $7.6 million was primarily due to additional spend to support the advancement of TYRA-300, TYRA-200 and our SNÅP platform, including $2.5 million of higher personnel-related costs, which included $1.4 million of non-cash stock-based compensation costs.</w:t>
      </w:r>
    </w:p>
    <w:p>
      <w:pPr>
        <w:spacing w:after="0" w:line="164"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three months ended June 30, 2022 and 2021 (in thousands):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0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External research and development expense by</w:t>
            </w:r>
          </w:p>
        </w:tc>
        <w:tc>
          <w:tcPr>
            <w:tcW w:w="86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program</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TYRA-300</w:t>
            </w:r>
          </w:p>
        </w:tc>
        <w:tc>
          <w:tcPr>
            <w:tcW w:w="860" w:type="dxa"/>
            <w:vAlign w:val="bottom"/>
          </w:tcPr>
          <w:p>
            <w:pPr>
              <w:jc w:val="right"/>
              <w:ind w:right="679"/>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3,060</w:t>
            </w:r>
          </w:p>
        </w:tc>
        <w:tc>
          <w:tcPr>
            <w:tcW w:w="11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1,478</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TYRA-200</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1,857</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835</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FGFR3 ACH</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RET</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FGFR4</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development programs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Unallocated research and development expense</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research and development</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Personnel-related expenses</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1,939</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80" w:type="dxa"/>
            <w:vAlign w:val="bottom"/>
          </w:tcPr>
          <w:p>
            <w:pPr>
              <w:spacing w:after="0"/>
              <w:rPr>
                <w:sz w:val="17"/>
                <w:szCs w:val="17"/>
                <w:color w:val="auto"/>
              </w:rPr>
            </w:pPr>
          </w:p>
        </w:tc>
      </w:tr>
      <w:tr>
        <w:trPr>
          <w:trHeight w:val="203"/>
        </w:trPr>
        <w:tc>
          <w:tcPr>
            <w:tcW w:w="48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8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1,602</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w:t>
            </w:r>
          </w:p>
        </w:tc>
        <w:tc>
          <w:tcPr>
            <w:tcW w:w="860" w:type="dxa"/>
            <w:vAlign w:val="bottom"/>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87"/>
              </w:rPr>
              <w:t>12,047</w:t>
            </w:r>
          </w:p>
        </w:tc>
        <w:tc>
          <w:tcPr>
            <w:tcW w:w="1120" w:type="dxa"/>
            <w:vAlign w:val="bottom"/>
            <w:gridSpan w:val="2"/>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4,381</w:t>
            </w:r>
          </w:p>
        </w:tc>
        <w:tc>
          <w:tcPr>
            <w:tcW w:w="8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-159385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right="240" w:firstLine="749"/>
        <w:spacing w:after="0" w:line="243" w:lineRule="auto"/>
        <w:rPr>
          <w:sz w:val="20"/>
          <w:szCs w:val="20"/>
          <w:color w:val="auto"/>
        </w:rPr>
      </w:pPr>
      <w:r>
        <w:rPr>
          <w:rFonts w:ascii="Arial" w:cs="Arial" w:eastAsia="Arial" w:hAnsi="Arial"/>
          <w:sz w:val="18"/>
          <w:szCs w:val="18"/>
          <w:color w:val="auto"/>
        </w:rPr>
        <w:t>General and administrative expenses were $3.4 million and $1.1 million for the three months ended June 30, 2022 and 2021, respectively. The increase of $2.3 million was primarily due to increases of $1.2 million in personnel-related expenses, including $0.9 million in non-cash stock-based compensation costs, $0.7 million in other operating expenses and $0.4 million in professional services related to legal, accounting, and other consulting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700" w:type="dxa"/>
            <w:vAlign w:val="bottom"/>
          </w:tcPr>
          <w:p>
            <w:pPr>
              <w:spacing w:after="0"/>
              <w:rPr>
                <w:sz w:val="17"/>
                <w:szCs w:val="17"/>
                <w:color w:val="auto"/>
              </w:rPr>
            </w:pPr>
          </w:p>
        </w:tc>
        <w:tc>
          <w:tcPr>
            <w:tcW w:w="3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21,692</w:t>
            </w:r>
          </w:p>
        </w:tc>
        <w:tc>
          <w:tcPr>
            <w:tcW w:w="2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7,902</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13,790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8,570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1,816</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6,754</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54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30,262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9,718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20,544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(30,262 )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(9,718 )</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(20,544 )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(23 )</w:t>
            </w:r>
          </w:p>
        </w:tc>
        <w:tc>
          <w:tcPr>
            <w:tcW w:w="300" w:type="dxa"/>
            <w:vAlign w:val="bottom"/>
          </w:tcPr>
          <w:p>
            <w:pPr>
              <w:spacing w:after="0"/>
              <w:rPr>
                <w:sz w:val="17"/>
                <w:szCs w:val="17"/>
                <w:color w:val="auto"/>
              </w:rPr>
            </w:pPr>
          </w:p>
        </w:tc>
        <w:tc>
          <w:tcPr>
            <w:tcW w:w="11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(8 )</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(15 )</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5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341</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540" w:type="dxa"/>
            <w:vAlign w:val="bottom"/>
          </w:tcPr>
          <w:p>
            <w:pPr>
              <w:spacing w:after="0" w:line="196" w:lineRule="exact"/>
              <w:rPr>
                <w:sz w:val="20"/>
                <w:szCs w:val="20"/>
                <w:color w:val="auto"/>
              </w:rPr>
            </w:pPr>
            <w:r>
              <w:rPr>
                <w:rFonts w:ascii="Arial" w:cs="Arial" w:eastAsia="Arial" w:hAnsi="Arial"/>
                <w:sz w:val="18"/>
                <w:szCs w:val="18"/>
                <w:color w:val="auto"/>
              </w:rPr>
              <w:t>Net loss and comprehensive loss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(29,921 )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(9,721 )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(20,200 )</w:t>
            </w:r>
          </w:p>
        </w:tc>
        <w:tc>
          <w:tcPr>
            <w:tcW w:w="16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713"/>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-1290955</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-1290955</wp:posOffset>
            </wp:positionV>
            <wp:extent cx="431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-1290955</wp:posOffset>
            </wp:positionV>
            <wp:extent cx="431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-502285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-502285</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-502285</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right="140" w:firstLine="749"/>
        <w:spacing w:after="0" w:line="270" w:lineRule="auto"/>
        <w:rPr>
          <w:sz w:val="20"/>
          <w:szCs w:val="20"/>
          <w:color w:val="auto"/>
        </w:rPr>
      </w:pPr>
      <w:r>
        <w:rPr>
          <w:rFonts w:ascii="Arial" w:cs="Arial" w:eastAsia="Arial" w:hAnsi="Arial"/>
          <w:sz w:val="17"/>
          <w:szCs w:val="17"/>
          <w:color w:val="auto"/>
        </w:rPr>
        <w:t>Research and development expenses were $21.7 million and $7.9 million for the six months ended June 30, 2022 and 2021, respectively. The increase of $13.8 million was primarily due to additional spend to support the advancement of TYRA-300, TYRA-200 and our SNÅP platform, including $4.7 million of higher personnel-related costs, which included $2.8 million of non-cash stock-based compensation costs.</w:t>
      </w:r>
    </w:p>
    <w:p>
      <w:pPr>
        <w:spacing w:after="0" w:line="164"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The following table summarizes our research and development expenses by development program for the six months ended June 30, 2022 and 2021 (in thousands):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0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External research and development expense by</w:t>
            </w:r>
          </w:p>
        </w:tc>
        <w:tc>
          <w:tcPr>
            <w:tcW w:w="86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program</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TYRA-300</w:t>
            </w:r>
          </w:p>
        </w:tc>
        <w:tc>
          <w:tcPr>
            <w:tcW w:w="860" w:type="dxa"/>
            <w:vAlign w:val="bottom"/>
          </w:tcPr>
          <w:p>
            <w:pPr>
              <w:jc w:val="right"/>
              <w:ind w:right="679"/>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5,352</w:t>
            </w:r>
          </w:p>
        </w:tc>
        <w:tc>
          <w:tcPr>
            <w:tcW w:w="11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2,818</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TYRA-200</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2,864</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1,391</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FGFR3 ACH</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1,392</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RET</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2,589</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817</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FGFR4</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development programs</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Unallocated research and development expense</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research and development</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1,296</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Personnel-related expenses</w:t>
            </w: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3,565</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1,761</w:t>
            </w:r>
          </w:p>
        </w:tc>
        <w:tc>
          <w:tcPr>
            <w:tcW w:w="80" w:type="dxa"/>
            <w:vAlign w:val="bottom"/>
          </w:tcPr>
          <w:p>
            <w:pPr>
              <w:spacing w:after="0"/>
              <w:rPr>
                <w:sz w:val="17"/>
                <w:szCs w:val="17"/>
                <w:color w:val="auto"/>
              </w:rPr>
            </w:pPr>
          </w:p>
        </w:tc>
      </w:tr>
      <w:tr>
        <w:trPr>
          <w:trHeight w:val="203"/>
        </w:trPr>
        <w:tc>
          <w:tcPr>
            <w:tcW w:w="48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8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3,080</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w:t>
            </w:r>
          </w:p>
        </w:tc>
        <w:tc>
          <w:tcPr>
            <w:tcW w:w="860" w:type="dxa"/>
            <w:vAlign w:val="bottom"/>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87"/>
              </w:rPr>
              <w:t>21,692</w:t>
            </w:r>
          </w:p>
        </w:tc>
        <w:tc>
          <w:tcPr>
            <w:tcW w:w="1120" w:type="dxa"/>
            <w:vAlign w:val="bottom"/>
            <w:gridSpan w:val="2"/>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7,902</w:t>
            </w:r>
          </w:p>
        </w:tc>
        <w:tc>
          <w:tcPr>
            <w:tcW w:w="8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-159385</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right="400" w:firstLine="749"/>
        <w:spacing w:after="0" w:line="243" w:lineRule="auto"/>
        <w:rPr>
          <w:sz w:val="20"/>
          <w:szCs w:val="20"/>
          <w:color w:val="auto"/>
        </w:rPr>
      </w:pPr>
      <w:r>
        <w:rPr>
          <w:rFonts w:ascii="Arial" w:cs="Arial" w:eastAsia="Arial" w:hAnsi="Arial"/>
          <w:sz w:val="18"/>
          <w:szCs w:val="18"/>
          <w:color w:val="auto"/>
        </w:rPr>
        <w:t>General and administrative expenses were $8.6 million and $1.8 million for the six months ended June 30, 2022 and 2021, respectively. The increase of $6.8 million was primarily due to increases of $4.5 million in personnel-related expenses, including $3.3 million in non-cash stock-based compensation costs, $1.1 million in professional services related to legal, accounting, and other consulting fees and $1.2 million in other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600" w:firstLine="749"/>
        <w:spacing w:after="0" w:line="248" w:lineRule="auto"/>
        <w:rPr>
          <w:sz w:val="20"/>
          <w:szCs w:val="20"/>
          <w:color w:val="auto"/>
        </w:rPr>
      </w:pPr>
      <w:r>
        <w:rPr>
          <w:rFonts w:ascii="Arial" w:cs="Arial" w:eastAsia="Arial" w:hAnsi="Arial"/>
          <w:sz w:val="18"/>
          <w:szCs w:val="18"/>
          <w:color w:val="auto"/>
        </w:rPr>
        <w:t>On September 17, 2021, we completed our IPO and issued 12,420,000 shares of common stock for net proceeds of approximately $181.2 million. Prior to our initial public offering, we funded our operations primarily through private placements of our convertible preferred stock with aggregate gross proceeds of $157.2 million.</w:t>
      </w:r>
    </w:p>
    <w:p>
      <w:pPr>
        <w:spacing w:after="0" w:line="18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Our primary uses of cash to date have been to fund our research and development activities, including with respect to TYRA-300 and TYRA-200 and other research programs, business planning, establishing and maintaining our intellectual property portfolio, hiring personnel, raising capital, and providing general and administrative support for these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82"/>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(26,093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(9,139</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(490 )</w:t>
            </w:r>
          </w:p>
        </w:tc>
        <w:tc>
          <w:tcPr>
            <w:tcW w:w="9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(300 )</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129,419</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460" w:type="dxa"/>
            <w:vAlign w:val="bottom"/>
          </w:tcPr>
          <w:p>
            <w:pPr>
              <w:spacing w:after="0" w:line="196" w:lineRule="exact"/>
              <w:rPr>
                <w:sz w:val="20"/>
                <w:szCs w:val="20"/>
                <w:color w:val="auto"/>
              </w:rPr>
            </w:pPr>
            <w:r>
              <w:rPr>
                <w:rFonts w:ascii="Arial" w:cs="Arial" w:eastAsia="Arial" w:hAnsi="Arial"/>
                <w:sz w:val="18"/>
                <w:szCs w:val="18"/>
                <w:color w:val="auto"/>
                <w:w w:val="99"/>
              </w:rPr>
              <w:t>Net cash (decrease) increase for the period</w:t>
            </w:r>
          </w:p>
        </w:tc>
        <w:tc>
          <w:tcPr>
            <w:tcW w:w="1920" w:type="dxa"/>
            <w:vAlign w:val="bottom"/>
            <w:gridSpan w:val="2"/>
          </w:tcPr>
          <w:p>
            <w:pPr>
              <w:jc w:val="right"/>
              <w:ind w:right="782"/>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w w:val="91"/>
              </w:rPr>
              <w:t>(26,318 )</w:t>
            </w:r>
          </w:p>
        </w:tc>
        <w:tc>
          <w:tcPr>
            <w:tcW w:w="920" w:type="dxa"/>
            <w:vAlign w:val="bottom"/>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2"/>
              </w:rPr>
              <w:t>119,980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color w:val="auto"/>
              </w:rPr>
              <w:t>18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-502285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-502285</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Operating Activities</w:t>
      </w:r>
    </w:p>
    <w:p>
      <w:pPr>
        <w:spacing w:after="0" w:line="212" w:lineRule="exact"/>
        <w:rPr>
          <w:sz w:val="20"/>
          <w:szCs w:val="20"/>
          <w:color w:val="auto"/>
        </w:rPr>
      </w:pPr>
    </w:p>
    <w:p>
      <w:pPr>
        <w:ind w:right="420" w:firstLine="749"/>
        <w:spacing w:after="0" w:line="248" w:lineRule="auto"/>
        <w:rPr>
          <w:sz w:val="20"/>
          <w:szCs w:val="20"/>
          <w:color w:val="auto"/>
        </w:rPr>
      </w:pPr>
      <w:r>
        <w:rPr>
          <w:rFonts w:ascii="Arial" w:cs="Arial" w:eastAsia="Arial" w:hAnsi="Arial"/>
          <w:sz w:val="18"/>
          <w:szCs w:val="18"/>
          <w:color w:val="auto"/>
        </w:rPr>
        <w:t>Net cash used in operating activities for the six months ended June 30, 2022 was $26.1 million, consisting primarily of our net loss of $29.9 million and net changes in operating assets and liabilities of $3.0 million, adjusted for $6.8 million of non-cash charges related to stock-based compensation expense and depreciation and amortization.</w:t>
      </w:r>
    </w:p>
    <w:p>
      <w:pPr>
        <w:spacing w:after="0" w:line="182" w:lineRule="exact"/>
        <w:rPr>
          <w:sz w:val="20"/>
          <w:szCs w:val="20"/>
          <w:color w:val="auto"/>
        </w:rPr>
      </w:pPr>
    </w:p>
    <w:p>
      <w:pPr>
        <w:jc w:val="both"/>
        <w:ind w:right="600" w:firstLine="749"/>
        <w:spacing w:after="0" w:line="324" w:lineRule="auto"/>
        <w:rPr>
          <w:sz w:val="20"/>
          <w:szCs w:val="20"/>
          <w:color w:val="auto"/>
        </w:rPr>
      </w:pPr>
      <w:r>
        <w:rPr>
          <w:rFonts w:ascii="Arial" w:cs="Arial" w:eastAsia="Arial" w:hAnsi="Arial"/>
          <w:sz w:val="16"/>
          <w:szCs w:val="16"/>
          <w:color w:val="auto"/>
        </w:rPr>
        <w:t>Net cash used in operating activities for the six months ended June 30, 2021 was $9.1 million, consisting primarily of our net loss of $9.7 million, adjusted for $0.6 million of non-cash charges. Non-cash charges consisted primarily of $0.5 million of stock-based compensation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2"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Net cash used in investing activities for the six months ended June 30, 2022 and 2021 was $0.5 million and $0.3 million, respectively, consisting of purchases of 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Net cash provided by financing activities was $0.3 million for the six months ended June 30, 2022, due to proceeds received from the issuance of common stock under benefit plans.</w:t>
      </w:r>
    </w:p>
    <w:p>
      <w:pPr>
        <w:spacing w:after="0" w:line="171" w:lineRule="exact"/>
        <w:rPr>
          <w:sz w:val="20"/>
          <w:szCs w:val="20"/>
          <w:color w:val="auto"/>
        </w:rPr>
      </w:pPr>
    </w:p>
    <w:p>
      <w:pPr>
        <w:ind w:right="20" w:firstLine="749"/>
        <w:spacing w:after="0" w:line="294" w:lineRule="auto"/>
        <w:rPr>
          <w:sz w:val="20"/>
          <w:szCs w:val="20"/>
          <w:color w:val="auto"/>
        </w:rPr>
      </w:pPr>
      <w:r>
        <w:rPr>
          <w:rFonts w:ascii="Arial" w:cs="Arial" w:eastAsia="Arial" w:hAnsi="Arial"/>
          <w:sz w:val="16"/>
          <w:szCs w:val="16"/>
          <w:color w:val="auto"/>
        </w:rPr>
        <w:t>Net cash provided by financing activities was $129.4 million for the six months ended June 30, 2021, due to net proceeds of $23.5 million from the second closing of our Series A convertible preferred stock, $106.1 million in net proceeds from the issuance of our Series B convertible preferred stock, and $0.5 million from the issuance of common stock under benefit plans, partially offset by $0.7 million in payments for deferred offering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1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080" w:right="20" w:hanging="323"/>
        <w:spacing w:after="0" w:line="24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81" w:lineRule="exact"/>
        <w:rPr>
          <w:rFonts w:ascii="Arial" w:cs="Arial" w:eastAsia="Arial" w:hAnsi="Arial"/>
          <w:sz w:val="18"/>
          <w:szCs w:val="18"/>
          <w:color w:val="auto"/>
        </w:rPr>
      </w:pPr>
    </w:p>
    <w:p>
      <w:pPr>
        <w:ind w:left="1080" w:right="340" w:hanging="323"/>
        <w:spacing w:after="0" w:line="26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manufacturing for current or future product candidates, including commercial scale manufacturing if any product candidate is approved;</w:t>
      </w:r>
    </w:p>
    <w:p>
      <w:pPr>
        <w:spacing w:after="0" w:line="170"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current or future product candidates;</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11" w:lineRule="exact"/>
        <w:rPr>
          <w:rFonts w:ascii="Arial" w:cs="Arial" w:eastAsia="Arial" w:hAnsi="Arial"/>
          <w:sz w:val="18"/>
          <w:szCs w:val="18"/>
          <w:color w:val="auto"/>
        </w:rPr>
      </w:pPr>
    </w:p>
    <w:p>
      <w:pPr>
        <w:ind w:left="1080" w:right="160" w:hanging="323"/>
        <w:spacing w:after="0" w:line="26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70" w:lineRule="exact"/>
        <w:rPr>
          <w:rFonts w:ascii="Arial" w:cs="Arial" w:eastAsia="Arial" w:hAnsi="Arial"/>
          <w:sz w:val="18"/>
          <w:szCs w:val="18"/>
          <w:color w:val="auto"/>
        </w:rPr>
      </w:pPr>
    </w:p>
    <w:p>
      <w:pPr>
        <w:ind w:left="1080" w:right="460" w:hanging="323"/>
        <w:spacing w:after="0" w:line="26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70" w:lineRule="exact"/>
        <w:rPr>
          <w:rFonts w:ascii="Arial" w:cs="Arial" w:eastAsia="Arial" w:hAnsi="Arial"/>
          <w:sz w:val="18"/>
          <w:szCs w:val="18"/>
          <w:color w:val="auto"/>
        </w:rPr>
      </w:pPr>
    </w:p>
    <w:p>
      <w:pPr>
        <w:ind w:left="1080" w:hanging="323"/>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and timing of establishing or securing sales and marketing capabilities if any current or future product candidate is approved;</w:t>
      </w:r>
    </w:p>
    <w:p>
      <w:pPr>
        <w:spacing w:after="0" w:line="223" w:lineRule="exact"/>
        <w:rPr>
          <w:rFonts w:ascii="Arial" w:cs="Arial" w:eastAsia="Arial" w:hAnsi="Arial"/>
          <w:sz w:val="17"/>
          <w:szCs w:val="17"/>
          <w:color w:val="auto"/>
        </w:rPr>
      </w:pPr>
    </w:p>
    <w:p>
      <w:pPr>
        <w:ind w:left="1080" w:hanging="323"/>
        <w:spacing w:after="0" w:line="24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ind w:left="1080" w:hanging="323"/>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 and</w:t>
      </w:r>
    </w:p>
    <w:p>
      <w:pPr>
        <w:spacing w:after="0" w:line="211" w:lineRule="exact"/>
        <w:rPr>
          <w:rFonts w:ascii="Arial" w:cs="Arial" w:eastAsia="Arial" w:hAnsi="Arial"/>
          <w:sz w:val="18"/>
          <w:szCs w:val="18"/>
          <w:color w:val="auto"/>
        </w:rPr>
      </w:pPr>
    </w:p>
    <w:p>
      <w:pPr>
        <w:ind w:left="1080" w:hanging="323"/>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or issues with any of the above, including the risk of each of which may be exacerbated by the ongoing COVID-19 pandemic.</w:t>
      </w:r>
    </w:p>
    <w:p>
      <w:pPr>
        <w:spacing w:after="0" w:line="223"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6" w:lineRule="exact"/>
        <w:rPr>
          <w:sz w:val="20"/>
          <w:szCs w:val="20"/>
          <w:color w:val="auto"/>
        </w:rPr>
      </w:pPr>
    </w:p>
    <w:p>
      <w:pPr>
        <w:jc w:val="both"/>
        <w:ind w:right="300" w:firstLine="749"/>
        <w:spacing w:after="0" w:line="248"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six months ended June 30, 2022 to the information regarding our contractual obligations that was disclosed in “Management’s Discussion and Analysis of Financial Condition and Results of Operations” included in the 2021 Annual Report.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contractual obligations and commitments as of June 30, 2022 (in thousands):</w:t>
      </w:r>
    </w:p>
    <w:p>
      <w:pPr>
        <w:spacing w:after="0" w:line="203"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Payments Due by Period</w:t>
            </w: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6"/>
              </w:rPr>
              <w:t>Remainder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2023-2024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2025-2026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3,777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and six months ended June 30, 2022, as compared to the critical accounting policies and estimates disclosed in “Management’s Discussion and Analysis of Financial Condition and Results of Operations” included in the 2021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See Note 2 to our financial statements included elsewhere in this Quarterly Report on Form 10-Q for recently issued accounting pronouncements that may potentially impact our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300" w:firstLine="749"/>
        <w:spacing w:after="0"/>
        <w:rPr>
          <w:sz w:val="20"/>
          <w:szCs w:val="20"/>
          <w:color w:val="auto"/>
        </w:rPr>
      </w:pPr>
      <w:r>
        <w:rPr>
          <w:rFonts w:ascii="Arial" w:cs="Arial" w:eastAsia="Arial" w:hAnsi="Arial"/>
          <w:sz w:val="18"/>
          <w:szCs w:val="18"/>
          <w:color w:val="auto"/>
        </w:rPr>
        <w:t>As of June 30, 2022,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2021 Annual Report.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ind w:right="160" w:firstLine="749"/>
        <w:spacing w:after="0" w:line="274"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Changes in Internal Control Over Financial Reporting</w:t>
      </w:r>
    </w:p>
    <w:p>
      <w:pPr>
        <w:spacing w:after="0" w:line="216"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Due to a transition period established by SEC rules applicable to newly public companies, our management is not required to evaluate the effectiveness of our internal control over financial reporting until the filing of our Annual Report on Form 10-K for the year ending December 31, 2022. As a result, this Quarterly Report on Form 10-Q does not address whether there have been any changes in our internal control over financial reporting.</w:t>
      </w: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100" w:firstLine="749"/>
        <w:spacing w:after="0" w:line="294"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have been no material changes to the risk factors disclosed in Item 1A of our 2021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16"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spacing w:after="0" w:line="180"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There has been no material change in the planned use of such proceeds from that described in our final prospectus filed with the SEC pursuant to Rule 424(b)(4) under the Securities Act on September 15,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gridSpan w:val="14"/>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rPr>
                <w:sz w:val="24"/>
                <w:szCs w:val="24"/>
                <w:color w:val="auto"/>
              </w:rPr>
            </w:pPr>
          </w:p>
        </w:tc>
        <w:tc>
          <w:tcPr>
            <w:tcW w:w="2940" w:type="dxa"/>
            <w:vAlign w:val="bottom"/>
            <w:gridSpan w:val="5"/>
          </w:tcPr>
          <w:p>
            <w:pPr>
              <w:ind w:left="44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16"/>
        </w:trPr>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8"/>
        </w:trPr>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5820" w:type="dxa"/>
            <w:vAlign w:val="bottom"/>
            <w:gridSpan w:val="21"/>
            <w:vMerge w:val="restart"/>
          </w:tcPr>
          <w:p>
            <w:pPr>
              <w:spacing w:after="0"/>
              <w:rPr>
                <w:rFonts w:ascii="Arial" w:cs="Arial" w:eastAsia="Arial" w:hAnsi="Arial"/>
                <w:sz w:val="18"/>
                <w:szCs w:val="18"/>
                <w:color w:val="0000FF"/>
              </w:rPr>
            </w:pPr>
            <w:hyperlink r:id="rId169">
              <w:r>
                <w:rPr>
                  <w:rFonts w:ascii="Arial" w:cs="Arial" w:eastAsia="Arial" w:hAnsi="Arial"/>
                  <w:sz w:val="18"/>
                  <w:szCs w:val="18"/>
                  <w:color w:val="0000FF"/>
                </w:rPr>
                <w:t>Amended and Restated Certificate of Incorporation</w:t>
              </w:r>
            </w:hyperlink>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82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spacing w:after="0" w:line="156" w:lineRule="exact"/>
              <w:rPr>
                <w:sz w:val="20"/>
                <w:szCs w:val="20"/>
                <w:color w:val="auto"/>
              </w:rPr>
            </w:pPr>
            <w:r>
              <w:rPr>
                <w:rFonts w:ascii="Arial" w:cs="Arial" w:eastAsia="Arial" w:hAnsi="Arial"/>
                <w:sz w:val="18"/>
                <w:szCs w:val="18"/>
                <w:color w:val="auto"/>
                <w:w w:val="99"/>
              </w:rPr>
              <w:t>8-K</w:t>
            </w:r>
          </w:p>
        </w:tc>
        <w:tc>
          <w:tcPr>
            <w:tcW w:w="100" w:type="dxa"/>
            <w:vAlign w:val="bottom"/>
            <w:vMerge w:val="continue"/>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8"/>
                <w:szCs w:val="18"/>
                <w:color w:val="auto"/>
                <w:w w:val="89"/>
              </w:rPr>
              <w:t>9/17/21</w:t>
            </w:r>
          </w:p>
        </w:tc>
        <w:tc>
          <w:tcPr>
            <w:tcW w:w="120" w:type="dxa"/>
            <w:vAlign w:val="bottom"/>
            <w:vMerge w:val="continue"/>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top w:val="single" w:sz="8" w:color="0000FF"/>
            </w:tcBorders>
            <w:gridSpan w:val="9"/>
          </w:tcPr>
          <w:p>
            <w:pPr>
              <w:spacing w:after="0"/>
              <w:rPr>
                <w:rFonts w:ascii="Arial" w:cs="Arial" w:eastAsia="Arial" w:hAnsi="Arial"/>
                <w:sz w:val="18"/>
                <w:szCs w:val="18"/>
                <w:color w:val="0000FF"/>
              </w:rPr>
            </w:pPr>
            <w:hyperlink r:id="rId170">
              <w:r>
                <w:rPr>
                  <w:rFonts w:ascii="Arial" w:cs="Arial" w:eastAsia="Arial" w:hAnsi="Arial"/>
                  <w:sz w:val="18"/>
                  <w:szCs w:val="18"/>
                  <w:color w:val="0000FF"/>
                </w:rPr>
                <w:t>Amended and Restated Bylaws</w:t>
              </w:r>
            </w:hyperlink>
          </w:p>
        </w:tc>
        <w:tc>
          <w:tcPr>
            <w:tcW w:w="214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9/17/21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12"/>
          </w:tcPr>
          <w:p>
            <w:pPr>
              <w:spacing w:after="0"/>
              <w:rPr>
                <w:rFonts w:ascii="Arial" w:cs="Arial" w:eastAsia="Arial" w:hAnsi="Arial"/>
                <w:sz w:val="18"/>
                <w:szCs w:val="18"/>
                <w:color w:val="0000FF"/>
                <w:w w:val="89"/>
              </w:rPr>
            </w:pPr>
            <w:hyperlink r:id="rId171">
              <w:r>
                <w:rPr>
                  <w:rFonts w:ascii="Arial" w:cs="Arial" w:eastAsia="Arial" w:hAnsi="Arial"/>
                  <w:sz w:val="18"/>
                  <w:szCs w:val="18"/>
                  <w:color w:val="0000FF"/>
                  <w:w w:val="89"/>
                </w:rPr>
                <w:t>Specimen stock certificate evidencing the shares of common stock</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8/20/21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1"/>
          </w:tcPr>
          <w:p>
            <w:pPr>
              <w:spacing w:after="0"/>
              <w:rPr>
                <w:rFonts w:ascii="Arial" w:cs="Arial" w:eastAsia="Arial" w:hAnsi="Arial"/>
                <w:sz w:val="18"/>
                <w:szCs w:val="18"/>
                <w:color w:val="0000FF"/>
                <w:w w:val="92"/>
              </w:rPr>
            </w:pPr>
            <w:hyperlink r:id="rId172">
              <w:r>
                <w:rPr>
                  <w:rFonts w:ascii="Arial" w:cs="Arial" w:eastAsia="Arial" w:hAnsi="Arial"/>
                  <w:sz w:val="18"/>
                  <w:szCs w:val="18"/>
                  <w:color w:val="0000FF"/>
                  <w:w w:val="92"/>
                </w:rPr>
                <w:t>Amended and Restated Investors’ Rights Agreement, dated March 5, 2021, by</w:t>
              </w:r>
            </w:hyperlink>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9/9/21</w:t>
            </w:r>
          </w:p>
        </w:tc>
        <w:tc>
          <w:tcPr>
            <w:tcW w:w="122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and among the Registrant and certain of its stockholders</w:t>
              </w:r>
            </w:hyperlink>
          </w:p>
        </w:tc>
        <w:tc>
          <w:tcPr>
            <w:tcW w:w="20" w:type="dxa"/>
            <w:vAlign w:val="bottom"/>
            <w:tcBorders>
              <w:top w:val="single" w:sz="8" w:color="0000FF"/>
              <w:bottom w:val="single" w:sz="8" w:color="0000EE"/>
            </w:tcBorders>
          </w:tcPr>
          <w:p>
            <w:pPr>
              <w:spacing w:after="0"/>
              <w:rPr>
                <w:sz w:val="13"/>
                <w:szCs w:val="13"/>
                <w:color w:val="auto"/>
              </w:rPr>
            </w:pPr>
          </w:p>
        </w:tc>
        <w:tc>
          <w:tcPr>
            <w:tcW w:w="16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11"/>
          </w:tcPr>
          <w:p>
            <w:pPr>
              <w:spacing w:after="0" w:line="169" w:lineRule="exact"/>
              <w:rPr>
                <w:rFonts w:ascii="Arial" w:cs="Arial" w:eastAsia="Arial" w:hAnsi="Arial"/>
                <w:sz w:val="18"/>
                <w:szCs w:val="18"/>
                <w:color w:val="0000FF"/>
                <w:w w:val="91"/>
              </w:rPr>
            </w:pPr>
            <w:hyperlink w:anchor="page26">
              <w:r>
                <w:rPr>
                  <w:rFonts w:ascii="Arial" w:cs="Arial" w:eastAsia="Arial" w:hAnsi="Arial"/>
                  <w:sz w:val="18"/>
                  <w:szCs w:val="18"/>
                  <w:color w:val="0000FF"/>
                  <w:w w:val="91"/>
                </w:rPr>
                <w:t>Employment Letter Agreement, dated May 16, 2022, by</w:t>
              </w:r>
            </w:hyperlink>
          </w:p>
        </w:tc>
        <w:tc>
          <w:tcPr>
            <w:tcW w:w="1760" w:type="dxa"/>
            <w:vAlign w:val="bottom"/>
            <w:gridSpan w:val="10"/>
          </w:tcPr>
          <w:p>
            <w:pPr>
              <w:ind w:left="20"/>
              <w:spacing w:after="0" w:line="169" w:lineRule="exact"/>
              <w:rPr>
                <w:rFonts w:ascii="Arial" w:cs="Arial" w:eastAsia="Arial" w:hAnsi="Arial"/>
                <w:sz w:val="18"/>
                <w:szCs w:val="18"/>
                <w:color w:val="0000FF"/>
                <w:w w:val="92"/>
              </w:rPr>
            </w:pPr>
            <w:hyperlink w:anchor="page26">
              <w:r>
                <w:rPr>
                  <w:rFonts w:ascii="Arial" w:cs="Arial" w:eastAsia="Arial" w:hAnsi="Arial"/>
                  <w:sz w:val="18"/>
                  <w:szCs w:val="18"/>
                  <w:color w:val="0000FF"/>
                  <w:w w:val="92"/>
                </w:rPr>
                <w:t>and between Ali Fawaz</w:t>
              </w:r>
            </w:hyperlink>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6"/>
              </w:rPr>
            </w:pPr>
            <w:hyperlink w:anchor="page26">
              <w:r>
                <w:rPr>
                  <w:rFonts w:ascii="Arial" w:cs="Arial" w:eastAsia="Arial" w:hAnsi="Arial"/>
                  <w:sz w:val="18"/>
                  <w:szCs w:val="18"/>
                  <w:color w:val="0000FF"/>
                  <w:w w:val="86"/>
                </w:rPr>
                <w:t>and the 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44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1"/>
          </w:tcPr>
          <w:p>
            <w:pPr>
              <w:spacing w:after="0" w:line="169" w:lineRule="exact"/>
              <w:rPr>
                <w:rFonts w:ascii="Arial" w:cs="Arial" w:eastAsia="Arial" w:hAnsi="Arial"/>
                <w:sz w:val="18"/>
                <w:szCs w:val="18"/>
                <w:color w:val="0000FF"/>
                <w:w w:val="94"/>
              </w:rPr>
            </w:pPr>
            <w:hyperlink w:anchor="page41">
              <w:r>
                <w:rPr>
                  <w:rFonts w:ascii="Arial" w:cs="Arial" w:eastAsia="Arial" w:hAnsi="Arial"/>
                  <w:sz w:val="18"/>
                  <w:szCs w:val="18"/>
                  <w:color w:val="0000FF"/>
                  <w:w w:val="94"/>
                </w:rPr>
                <w:t>Certification of Chief Executive Officer, as required by Rule 13a-14(a) or Rule</w:t>
              </w:r>
            </w:hyperlink>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w:anchor="page41">
              <w:r>
                <w:rPr>
                  <w:rFonts w:ascii="Arial" w:cs="Arial" w:eastAsia="Arial" w:hAnsi="Arial"/>
                  <w:sz w:val="18"/>
                  <w:szCs w:val="18"/>
                  <w:color w:val="0000FF"/>
                  <w:w w:val="93"/>
                </w:rPr>
                <w:t>15d-14(a), as adopted pursuant to Section 302 of the Sarbanes-Oxley Act of</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2002</w:t>
              </w:r>
            </w:hyperlink>
          </w:p>
        </w:tc>
        <w:tc>
          <w:tcPr>
            <w:tcW w:w="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1"/>
          </w:tcPr>
          <w:p>
            <w:pPr>
              <w:spacing w:after="0" w:line="169" w:lineRule="exact"/>
              <w:rPr>
                <w:rFonts w:ascii="Arial" w:cs="Arial" w:eastAsia="Arial" w:hAnsi="Arial"/>
                <w:sz w:val="18"/>
                <w:szCs w:val="18"/>
                <w:color w:val="0000FF"/>
                <w:w w:val="95"/>
              </w:rPr>
            </w:pPr>
            <w:hyperlink w:anchor="page42">
              <w:r>
                <w:rPr>
                  <w:rFonts w:ascii="Arial" w:cs="Arial" w:eastAsia="Arial" w:hAnsi="Arial"/>
                  <w:sz w:val="18"/>
                  <w:szCs w:val="18"/>
                  <w:color w:val="0000FF"/>
                  <w:w w:val="95"/>
                </w:rPr>
                <w:t>Certification of Chief Financial Officer, as required by Rule 13a-14(a) or Rule</w:t>
              </w:r>
            </w:hyperlink>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15d-14(a), as adopted pursuant to Section 302 of the Sarbanes-Oxley Act of</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2002</w:t>
              </w:r>
            </w:hyperlink>
          </w:p>
        </w:tc>
        <w:tc>
          <w:tcPr>
            <w:tcW w:w="60" w:type="dxa"/>
            <w:vAlign w:val="bottom"/>
            <w:tcBorders>
              <w:top w:val="single" w:sz="8" w:color="0000FF"/>
              <w:bottom w:val="single" w:sz="8" w:color="0000EE"/>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1"/>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Certification of Chief Executive Officer pursuant to Section 906 of the</w:t>
              </w:r>
            </w:hyperlink>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Sarbanes-Oxley Act of 2002</w:t>
              </w:r>
            </w:hyperlink>
          </w:p>
        </w:tc>
        <w:tc>
          <w:tcPr>
            <w:tcW w:w="6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gridSpan w:val="21"/>
          </w:tcPr>
          <w:p>
            <w:pPr>
              <w:spacing w:after="0" w:line="169" w:lineRule="exact"/>
              <w:rPr>
                <w:rFonts w:ascii="Arial" w:cs="Arial" w:eastAsia="Arial" w:hAnsi="Arial"/>
                <w:sz w:val="18"/>
                <w:szCs w:val="18"/>
                <w:color w:val="0000FF"/>
                <w:w w:val="92"/>
              </w:rPr>
            </w:pPr>
            <w:hyperlink w:anchor="page44">
              <w:r>
                <w:rPr>
                  <w:rFonts w:ascii="Arial" w:cs="Arial" w:eastAsia="Arial" w:hAnsi="Arial"/>
                  <w:sz w:val="18"/>
                  <w:szCs w:val="18"/>
                  <w:color w:val="0000FF"/>
                  <w:w w:val="92"/>
                </w:rPr>
                <w:t>Certification of Chief Financial Officer pursuant to Section 906 of the Sarbanes-</w:t>
              </w:r>
            </w:hyperlink>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w:anchor="page44">
              <w:r>
                <w:rPr>
                  <w:rFonts w:ascii="Arial" w:cs="Arial" w:eastAsia="Arial" w:hAnsi="Arial"/>
                  <w:sz w:val="18"/>
                  <w:szCs w:val="18"/>
                  <w:color w:val="0000FF"/>
                  <w:w w:val="92"/>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4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1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gridSpan w:val="21"/>
          </w:tcPr>
          <w:p>
            <w:pPr>
              <w:spacing w:after="0"/>
              <w:rPr>
                <w:sz w:val="20"/>
                <w:szCs w:val="20"/>
                <w:color w:val="auto"/>
              </w:rPr>
            </w:pPr>
            <w:r>
              <w:rPr>
                <w:rFonts w:ascii="Arial" w:cs="Arial" w:eastAsia="Arial" w:hAnsi="Arial"/>
                <w:sz w:val="18"/>
                <w:szCs w:val="18"/>
                <w:color w:val="auto"/>
              </w:rPr>
              <w:t>Inline XBRL Instance Document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582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4"/>
        </w:trPr>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5820" w:type="dxa"/>
            <w:vAlign w:val="bottom"/>
            <w:gridSpan w:val="21"/>
          </w:tcPr>
          <w:p>
            <w:pPr>
              <w:spacing w:after="0"/>
              <w:rPr>
                <w:sz w:val="20"/>
                <w:szCs w:val="20"/>
                <w:color w:val="auto"/>
              </w:rPr>
            </w:pPr>
            <w:r>
              <w:rPr>
                <w:rFonts w:ascii="Arial" w:cs="Arial" w:eastAsia="Arial" w:hAnsi="Arial"/>
                <w:sz w:val="18"/>
                <w:szCs w:val="18"/>
                <w:color w:val="auto"/>
              </w:rPr>
              <w:t>Inline XBRL Taxonomy Calculation Linkbase Document</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12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582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4"/>
        </w:trPr>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5820" w:type="dxa"/>
            <w:vAlign w:val="bottom"/>
            <w:gridSpan w:val="21"/>
          </w:tcPr>
          <w:p>
            <w:pPr>
              <w:spacing w:after="0"/>
              <w:rPr>
                <w:sz w:val="20"/>
                <w:szCs w:val="20"/>
                <w:color w:val="auto"/>
              </w:rPr>
            </w:pPr>
            <w:r>
              <w:rPr>
                <w:rFonts w:ascii="Arial" w:cs="Arial" w:eastAsia="Arial" w:hAnsi="Arial"/>
                <w:sz w:val="18"/>
                <w:szCs w:val="18"/>
                <w:color w:val="auto"/>
              </w:rPr>
              <w:t>Inline XBRL Taxonomy Label Linkbase Document</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12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5820" w:type="dxa"/>
            <w:vAlign w:val="bottom"/>
            <w:gridSpan w:val="21"/>
          </w:tcPr>
          <w:p>
            <w:pPr>
              <w:spacing w:after="0"/>
              <w:rPr>
                <w:sz w:val="20"/>
                <w:szCs w:val="20"/>
                <w:color w:val="auto"/>
              </w:rPr>
            </w:pPr>
            <w:r>
              <w:rPr>
                <w:rFonts w:ascii="Arial" w:cs="Arial" w:eastAsia="Arial" w:hAnsi="Arial"/>
                <w:sz w:val="18"/>
                <w:szCs w:val="18"/>
                <w:color w:val="auto"/>
              </w:rPr>
              <w:t>Inline XBRL Presentation Linkbase Document</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4"/>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1"/>
          </w:tcPr>
          <w:p>
            <w:pPr>
              <w:spacing w:after="0"/>
              <w:rPr>
                <w:sz w:val="20"/>
                <w:szCs w:val="20"/>
                <w:color w:val="auto"/>
              </w:rPr>
            </w:pPr>
            <w:r>
              <w:rPr>
                <w:rFonts w:ascii="Arial" w:cs="Arial" w:eastAsia="Arial" w:hAnsi="Arial"/>
                <w:sz w:val="18"/>
                <w:szCs w:val="18"/>
                <w:color w:val="auto"/>
                <w:w w:val="92"/>
              </w:rPr>
              <w:t>Cover Page Interactive Data File (embedded within the Inline XBRL document)</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2" w:lineRule="exact"/>
        <w:rPr>
          <w:sz w:val="20"/>
          <w:szCs w:val="20"/>
          <w:color w:val="auto"/>
        </w:rPr>
      </w:pPr>
    </w:p>
    <w:p>
      <w:pPr>
        <w:ind w:right="40" w:firstLine="8"/>
        <w:spacing w:after="0" w:line="243" w:lineRule="auto"/>
        <w:tabs>
          <w:tab w:leader="none" w:pos="4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Arial" w:cs="Arial" w:eastAsia="Arial" w:hAnsi="Arial"/>
                <w:sz w:val="18"/>
                <w:szCs w:val="18"/>
                <w:b w:val="1"/>
                <w:bCs w:val="1"/>
                <w:color w:val="auto"/>
              </w:rPr>
              <w:t>TYRA BIOSCIENCES, INC.</w:t>
            </w:r>
          </w:p>
        </w:tc>
      </w:tr>
      <w:tr>
        <w:trPr>
          <w:trHeight w:val="378"/>
        </w:trPr>
        <w:tc>
          <w:tcPr>
            <w:tcW w:w="35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78"/>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Todd Harris, Ph.D.</w:t>
            </w:r>
          </w:p>
        </w:tc>
      </w:tr>
      <w:tr>
        <w:trPr>
          <w:trHeight w:val="203"/>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378"/>
        </w:trPr>
        <w:tc>
          <w:tcPr>
            <w:tcW w:w="35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78"/>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Esther van den Boom</w:t>
            </w:r>
          </w:p>
        </w:tc>
      </w:tr>
      <w:tr>
        <w:trPr>
          <w:trHeight w:val="203"/>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Accounting Officer)</w:t>
            </w:r>
          </w:p>
        </w:tc>
      </w:tr>
      <w:tr>
        <w:trPr>
          <w:trHeight w:val="405"/>
        </w:trPr>
        <w:tc>
          <w:tcPr>
            <w:tcW w:w="3540" w:type="dxa"/>
            <w:vAlign w:val="bottom"/>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5220" w:type="dxa"/>
            <w:vAlign w:val="bottom"/>
          </w:tcPr>
          <w:p>
            <w:pPr>
              <w:spacing w:after="0"/>
              <w:rPr>
                <w:sz w:val="24"/>
                <w:szCs w:val="24"/>
                <w:color w:val="auto"/>
              </w:rPr>
            </w:pPr>
          </w:p>
        </w:tc>
      </w:tr>
      <w:tr>
        <w:trPr>
          <w:trHeight w:val="102"/>
        </w:trPr>
        <w:tc>
          <w:tcPr>
            <w:tcW w:w="354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TYRA BIOSCIENCES,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26" w:lineRule="exact"/>
        <w:rPr>
          <w:sz w:val="20"/>
          <w:szCs w:val="20"/>
          <w:color w:val="auto"/>
        </w:rPr>
      </w:pPr>
    </w:p>
    <w:p>
      <w:pPr>
        <w:jc w:val="both"/>
        <w:ind w:firstLine="749"/>
        <w:spacing w:after="0" w:line="222"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this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May,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Tyra Biosciences,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Ali Fawaz (“</w:t>
      </w:r>
      <w:r>
        <w:rPr>
          <w:rFonts w:ascii="Arial" w:cs="Arial" w:eastAsia="Arial" w:hAnsi="Arial"/>
          <w:sz w:val="22"/>
          <w:szCs w:val="22"/>
          <w:u w:val="single" w:color="auto"/>
          <w:color w:val="auto"/>
        </w:rPr>
        <w:t>Executive</w:t>
      </w:r>
      <w:r>
        <w:rPr>
          <w:rFonts w:ascii="Arial" w:cs="Arial" w:eastAsia="Arial" w:hAnsi="Arial"/>
          <w:sz w:val="22"/>
          <w:szCs w:val="22"/>
          <w:color w:val="auto"/>
        </w:rPr>
        <w:t>” and, together with the Company, the “</w:t>
      </w:r>
      <w:r>
        <w:rPr>
          <w:rFonts w:ascii="Arial" w:cs="Arial" w:eastAsia="Arial" w:hAnsi="Arial"/>
          <w:sz w:val="22"/>
          <w:szCs w:val="22"/>
          <w:u w:val="single" w:color="auto"/>
          <w:color w:val="auto"/>
        </w:rPr>
        <w:t>Parties</w:t>
      </w:r>
      <w:r>
        <w:rPr>
          <w:rFonts w:ascii="Arial" w:cs="Arial" w:eastAsia="Arial" w:hAnsi="Arial"/>
          <w:sz w:val="22"/>
          <w:szCs w:val="22"/>
          <w:color w:val="auto"/>
        </w:rPr>
        <w:t xml:space="preserve">”). Capitalized terms used herein and not otherwise defined shall have those meanings set forth in </w:t>
      </w:r>
      <w:r>
        <w:rPr>
          <w:rFonts w:ascii="Arial" w:cs="Arial" w:eastAsia="Arial" w:hAnsi="Arial"/>
          <w:sz w:val="22"/>
          <w:szCs w:val="22"/>
          <w:u w:val="single" w:color="auto"/>
          <w:color w:val="auto"/>
        </w:rPr>
        <w:t>Appendix I</w:t>
      </w:r>
      <w:r>
        <w:rPr>
          <w:rFonts w:ascii="Arial" w:cs="Arial" w:eastAsia="Arial" w:hAnsi="Arial"/>
          <w:sz w:val="22"/>
          <w:szCs w:val="22"/>
          <w:color w:val="auto"/>
        </w:rPr>
        <w:t xml:space="preserve"> hereto.</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retain the services of Executive by engaging Executive to perform services as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the Company under the terms hereof; and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desires to provide services to the Company on the terms hereof.</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for other good and valuable consideration,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covenants and agreements set forth below, the receipt and sufficiency of which are hereby acknowledged, the Parties hereto agree as follows:</w:t>
      </w:r>
    </w:p>
    <w:p>
      <w:pPr>
        <w:spacing w:after="0" w:line="177" w:lineRule="exact"/>
        <w:rPr>
          <w:sz w:val="20"/>
          <w:szCs w:val="20"/>
          <w:color w:val="auto"/>
        </w:rPr>
      </w:pPr>
    </w:p>
    <w:p>
      <w:pPr>
        <w:ind w:left="1500" w:hanging="743"/>
        <w:spacing w:after="0"/>
        <w:tabs>
          <w:tab w:leader="none" w:pos="15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3000" w:hanging="1495"/>
        <w:spacing w:after="0"/>
        <w:tabs>
          <w:tab w:leader="none" w:pos="3000" w:val="left"/>
        </w:tabs>
        <w:numPr>
          <w:ilvl w:val="1"/>
          <w:numId w:val="13"/>
        </w:numPr>
        <w:rPr>
          <w:rFonts w:ascii="Arial" w:cs="Arial" w:eastAsia="Arial" w:hAnsi="Arial"/>
          <w:sz w:val="19"/>
          <w:szCs w:val="19"/>
          <w:b w:val="1"/>
          <w:bCs w:val="1"/>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Company shall employ Executive upon the terms and conditions provided herein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effective as of the Effective Date.</w:t>
      </w:r>
    </w:p>
    <w:p>
      <w:pPr>
        <w:spacing w:after="0" w:line="188" w:lineRule="exact"/>
        <w:rPr>
          <w:rFonts w:ascii="Arial" w:cs="Arial" w:eastAsia="Arial" w:hAnsi="Arial"/>
          <w:sz w:val="19"/>
          <w:szCs w:val="19"/>
          <w:b w:val="1"/>
          <w:bCs w:val="1"/>
          <w:color w:val="auto"/>
        </w:rPr>
      </w:pPr>
    </w:p>
    <w:p>
      <w:pPr>
        <w:jc w:val="both"/>
        <w:ind w:firstLine="1505"/>
        <w:spacing w:after="0" w:line="234" w:lineRule="auto"/>
        <w:tabs>
          <w:tab w:leader="none" w:pos="2995" w:val="left"/>
        </w:tabs>
        <w:numPr>
          <w:ilvl w:val="1"/>
          <w:numId w:val="13"/>
        </w:numPr>
        <w:rPr>
          <w:rFonts w:ascii="Arial" w:cs="Arial" w:eastAsia="Arial" w:hAnsi="Arial"/>
          <w:sz w:val="22"/>
          <w:szCs w:val="22"/>
          <w:b w:val="1"/>
          <w:bCs w:val="1"/>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 Effective on the Effective Date, Executive shall serve as the General Counsel, with responsibilities, duties, and authority usual and customary for such position subject to direction by the Chief Executive Officer (the “</w:t>
      </w:r>
      <w:r>
        <w:rPr>
          <w:rFonts w:ascii="Arial" w:cs="Arial" w:eastAsia="Arial" w:hAnsi="Arial"/>
          <w:sz w:val="22"/>
          <w:szCs w:val="22"/>
          <w:u w:val="single" w:color="auto"/>
          <w:color w:val="auto"/>
        </w:rPr>
        <w:t>CEO</w:t>
      </w:r>
      <w:r>
        <w:rPr>
          <w:rFonts w:ascii="Arial" w:cs="Arial" w:eastAsia="Arial" w:hAnsi="Arial"/>
          <w:sz w:val="22"/>
          <w:szCs w:val="22"/>
          <w:color w:val="auto"/>
        </w:rPr>
        <w:t>”). During Executive’s employment with the Company, Executive shall report directly to the CEO and agrees promptly and faithfully to comply with all present and future policies, requirements, rules and regulations, and reasonable directions and requests, of the Company in connection with the Company’s business. Executive will at all times perform all of the duties and obligations required by Executive under this Agreement in a loyal and conscientious manner and to the best of Executive’s ability and experience.</w:t>
      </w:r>
    </w:p>
    <w:p>
      <w:pPr>
        <w:spacing w:after="0" w:line="190" w:lineRule="exact"/>
        <w:rPr>
          <w:rFonts w:ascii="Arial" w:cs="Arial" w:eastAsia="Arial" w:hAnsi="Arial"/>
          <w:sz w:val="22"/>
          <w:szCs w:val="22"/>
          <w:b w:val="1"/>
          <w:bCs w:val="1"/>
          <w:color w:val="auto"/>
        </w:rPr>
      </w:pPr>
    </w:p>
    <w:p>
      <w:pPr>
        <w:jc w:val="both"/>
        <w:ind w:firstLine="1505"/>
        <w:spacing w:after="0" w:line="274" w:lineRule="auto"/>
        <w:tabs>
          <w:tab w:leader="none" w:pos="2995" w:val="left"/>
        </w:tabs>
        <w:numPr>
          <w:ilvl w:val="1"/>
          <w:numId w:val="13"/>
        </w:numPr>
        <w:rPr>
          <w:rFonts w:ascii="Arial" w:cs="Arial" w:eastAsia="Arial" w:hAnsi="Arial"/>
          <w:sz w:val="19"/>
          <w:szCs w:val="19"/>
          <w:b w:val="1"/>
          <w:bCs w:val="1"/>
          <w:color w:val="auto"/>
        </w:rPr>
      </w:pPr>
      <w:r>
        <w:rPr>
          <w:rFonts w:ascii="Arial" w:cs="Arial" w:eastAsia="Arial" w:hAnsi="Arial"/>
          <w:sz w:val="19"/>
          <w:szCs w:val="19"/>
          <w:u w:val="single" w:color="auto"/>
          <w:color w:val="auto"/>
        </w:rPr>
        <w:t>Performance of Executive’s Duties</w:t>
      </w:r>
      <w:r>
        <w:rPr>
          <w:rFonts w:ascii="Arial" w:cs="Arial" w:eastAsia="Arial" w:hAnsi="Arial"/>
          <w:sz w:val="19"/>
          <w:szCs w:val="19"/>
          <w:color w:val="auto"/>
        </w:rPr>
        <w:t>. During Executive’s employment with the Company, and except for periods of illness, vacation, Disability, or excused leaves of absence, Executive shall devote Executive’s full time and attention to the business and affairs of the Company pursuant to the general direction of the CEO; provided that nothing herein shall preclude Executive from, subject to prior consent of the CEO: (i) engaging in additional activities in connection with personal investments and community affairs including service on non-profit boards of directors; (ii) serving as a member of the board of directors for for-profit organizations that are not competitors of the Company; and (iii) serving as an advisor, or as a member of an advisory board of organizations that are not competitors of the Company; provided such activities do not individually or in the aggregate interfere with the performance of Executive’s duties under this Agreement, violate the Company’s standards of conduct then in effect or raise a conflict under the Company’s conflict of interest policies.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both"/>
        <w:ind w:firstLine="757"/>
        <w:spacing w:after="0" w:line="261" w:lineRule="auto"/>
        <w:tabs>
          <w:tab w:leader="none" w:pos="1498"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The period of Executive’s employment under this Agreement shall commence on the Effective Date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continue until Executive’s employment with the Company is terminated. The phrase “</w:t>
      </w:r>
      <w:r>
        <w:rPr>
          <w:rFonts w:ascii="Arial" w:cs="Arial" w:eastAsia="Arial" w:hAnsi="Arial"/>
          <w:sz w:val="21"/>
          <w:szCs w:val="21"/>
          <w:u w:val="single" w:color="auto"/>
          <w:color w:val="auto"/>
        </w:rPr>
        <w:t>Term of Employment</w:t>
      </w:r>
      <w:r>
        <w:rPr>
          <w:rFonts w:ascii="Arial" w:cs="Arial" w:eastAsia="Arial" w:hAnsi="Arial"/>
          <w:sz w:val="21"/>
          <w:szCs w:val="21"/>
          <w:color w:val="auto"/>
        </w:rPr>
        <w:t>” as used in this Agreement shall refer to the entire period of employment of Executive by the Company.</w:t>
      </w:r>
    </w:p>
    <w:p>
      <w:pPr>
        <w:spacing w:after="0" w:line="157" w:lineRule="exact"/>
        <w:rPr>
          <w:rFonts w:ascii="Arial" w:cs="Arial" w:eastAsia="Arial" w:hAnsi="Arial"/>
          <w:sz w:val="21"/>
          <w:szCs w:val="21"/>
          <w:b w:val="1"/>
          <w:bCs w:val="1"/>
          <w:color w:val="auto"/>
        </w:rPr>
      </w:pPr>
    </w:p>
    <w:p>
      <w:pPr>
        <w:ind w:left="1500" w:hanging="743"/>
        <w:spacing w:after="0"/>
        <w:tabs>
          <w:tab w:leader="none" w:pos="15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Related Matters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505"/>
        <w:spacing w:after="0" w:line="249" w:lineRule="auto"/>
        <w:tabs>
          <w:tab w:leader="none" w:pos="2995" w:val="left"/>
        </w:tabs>
        <w:numPr>
          <w:ilvl w:val="1"/>
          <w:numId w:val="14"/>
        </w:numPr>
        <w:rPr>
          <w:rFonts w:ascii="Arial" w:cs="Arial" w:eastAsia="Arial" w:hAnsi="Arial"/>
          <w:sz w:val="21"/>
          <w:szCs w:val="21"/>
          <w:b w:val="1"/>
          <w:bCs w:val="1"/>
          <w:color w:val="auto"/>
        </w:rPr>
      </w:pPr>
      <w:r>
        <w:rPr>
          <w:rFonts w:ascii="Arial" w:cs="Arial" w:eastAsia="Arial" w:hAnsi="Arial"/>
          <w:sz w:val="21"/>
          <w:szCs w:val="21"/>
          <w:u w:val="single" w:color="auto"/>
          <w:color w:val="auto"/>
        </w:rPr>
        <w:t>Annual Base Salary</w:t>
      </w:r>
      <w:r>
        <w:rPr>
          <w:rFonts w:ascii="Arial" w:cs="Arial" w:eastAsia="Arial" w:hAnsi="Arial"/>
          <w:sz w:val="21"/>
          <w:szCs w:val="21"/>
          <w:color w:val="auto"/>
        </w:rPr>
        <w:t>. Executive shall receive a base salary at the rate of $440,000 per annum (as may be increased from time to time, the “</w:t>
      </w:r>
      <w:r>
        <w:rPr>
          <w:rFonts w:ascii="Arial" w:cs="Arial" w:eastAsia="Arial" w:hAnsi="Arial"/>
          <w:sz w:val="21"/>
          <w:szCs w:val="21"/>
          <w:u w:val="single" w:color="auto"/>
          <w:color w:val="auto"/>
        </w:rPr>
        <w:t>Annual Base Salary</w:t>
      </w:r>
      <w:r>
        <w:rPr>
          <w:rFonts w:ascii="Arial" w:cs="Arial" w:eastAsia="Arial" w:hAnsi="Arial"/>
          <w:sz w:val="21"/>
          <w:szCs w:val="21"/>
          <w:color w:val="auto"/>
        </w:rPr>
        <w:t>”), subject to withholdings and deductions, which shall be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not less than annually, and may be increased, but not decreased, in connection with any such review.</w:t>
      </w:r>
    </w:p>
    <w:p>
      <w:pPr>
        <w:spacing w:after="0" w:line="178" w:lineRule="exact"/>
        <w:rPr>
          <w:rFonts w:ascii="Arial" w:cs="Arial" w:eastAsia="Arial" w:hAnsi="Arial"/>
          <w:sz w:val="21"/>
          <w:szCs w:val="21"/>
          <w:b w:val="1"/>
          <w:bCs w:val="1"/>
          <w:color w:val="auto"/>
        </w:rPr>
      </w:pPr>
    </w:p>
    <w:p>
      <w:pPr>
        <w:jc w:val="both"/>
        <w:ind w:firstLine="1505"/>
        <w:spacing w:after="0" w:line="246" w:lineRule="auto"/>
        <w:tabs>
          <w:tab w:leader="none" w:pos="2995" w:val="left"/>
        </w:tabs>
        <w:numPr>
          <w:ilvl w:val="1"/>
          <w:numId w:val="14"/>
        </w:numPr>
        <w:rPr>
          <w:rFonts w:ascii="Arial" w:cs="Arial" w:eastAsia="Arial" w:hAnsi="Arial"/>
          <w:sz w:val="21"/>
          <w:szCs w:val="21"/>
          <w:b w:val="1"/>
          <w:bCs w:val="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xml:space="preserve">. </w:t>
      </w:r>
      <w:r>
        <w:rPr>
          <w:rFonts w:ascii="Arial" w:cs="Arial" w:eastAsia="Arial" w:hAnsi="Arial"/>
          <w:sz w:val="21"/>
          <w:szCs w:val="21"/>
          <w:color w:val="231F20"/>
        </w:rPr>
        <w:t>Executive shall be eligible to receive a discretionary annual bonus (the</w:t>
      </w:r>
      <w:r>
        <w:rPr>
          <w:rFonts w:ascii="Arial" w:cs="Arial" w:eastAsia="Arial" w:hAnsi="Arial"/>
          <w:sz w:val="21"/>
          <w:szCs w:val="21"/>
          <w:color w:val="auto"/>
        </w:rPr>
        <w:t xml:space="preserve"> </w:t>
      </w:r>
      <w:r>
        <w:rPr>
          <w:rFonts w:ascii="Arial" w:cs="Arial" w:eastAsia="Arial" w:hAnsi="Arial"/>
          <w:sz w:val="21"/>
          <w:szCs w:val="21"/>
          <w:color w:val="231F20"/>
        </w:rPr>
        <w:t>“</w:t>
      </w:r>
      <w:r>
        <w:rPr>
          <w:rFonts w:ascii="Arial" w:cs="Arial" w:eastAsia="Arial" w:hAnsi="Arial"/>
          <w:sz w:val="21"/>
          <w:szCs w:val="21"/>
          <w:u w:val="single" w:color="auto"/>
          <w:color w:val="231F20"/>
        </w:rPr>
        <w:t>Annual Bonus</w:t>
      </w:r>
      <w:r>
        <w:rPr>
          <w:rFonts w:ascii="Arial" w:cs="Arial" w:eastAsia="Arial" w:hAnsi="Arial"/>
          <w:sz w:val="21"/>
          <w:szCs w:val="21"/>
          <w:color w:val="231F20"/>
        </w:rPr>
        <w:t>”) based on Executive’s achievement of performance objectives in accordance with the terms set forth by the Board. Executive’s target Annual Bonus shall be equal to 40% of Executive’s Annual Base Salary (the “</w:t>
      </w:r>
      <w:r>
        <w:rPr>
          <w:rFonts w:ascii="Arial" w:cs="Arial" w:eastAsia="Arial" w:hAnsi="Arial"/>
          <w:sz w:val="21"/>
          <w:szCs w:val="21"/>
          <w:u w:val="single" w:color="auto"/>
          <w:color w:val="231F20"/>
        </w:rPr>
        <w:t>Target Bonus</w:t>
      </w:r>
      <w:r>
        <w:rPr>
          <w:rFonts w:ascii="Arial" w:cs="Arial" w:eastAsia="Arial" w:hAnsi="Arial"/>
          <w:sz w:val="21"/>
          <w:szCs w:val="21"/>
          <w:color w:val="231F20"/>
        </w:rPr>
        <w:t>”). For the avoidance of doubt, Executive’s Annual Bonus for 2022 will not be subject to pro-ration for partial year of service, but will be calculated as if Executive was employed for the entire year. Except as set forth in Section 6, Executive must be employed by the Company on the date of payment of any Annual Bonus to remain eligible to receive such Annual Bonus. Any Annual Bonus earned will be paid at the same time annual bonuses are paid to other executives of the Company generally, subject to any limitations on payment as set forth in Section 6.</w:t>
      </w:r>
    </w:p>
    <w:p>
      <w:pPr>
        <w:spacing w:after="0" w:line="179" w:lineRule="exact"/>
        <w:rPr>
          <w:rFonts w:ascii="Arial" w:cs="Arial" w:eastAsia="Arial" w:hAnsi="Arial"/>
          <w:sz w:val="21"/>
          <w:szCs w:val="21"/>
          <w:b w:val="1"/>
          <w:bCs w:val="1"/>
          <w:color w:val="auto"/>
        </w:rPr>
      </w:pPr>
    </w:p>
    <w:p>
      <w:pPr>
        <w:jc w:val="both"/>
        <w:ind w:firstLine="1505"/>
        <w:spacing w:after="0" w:line="238" w:lineRule="auto"/>
        <w:tabs>
          <w:tab w:leader="none" w:pos="2995" w:val="left"/>
        </w:tabs>
        <w:numPr>
          <w:ilvl w:val="1"/>
          <w:numId w:val="14"/>
        </w:numPr>
        <w:rPr>
          <w:rFonts w:ascii="Arial" w:cs="Arial" w:eastAsia="Arial" w:hAnsi="Arial"/>
          <w:sz w:val="22"/>
          <w:szCs w:val="22"/>
          <w:b w:val="1"/>
          <w:bCs w:val="1"/>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Executive shall be entitled to participate in such employee and executive benefit plans and programs as the Company may offer from time to time to provide to its executives, subject to the terms and conditions of such plans. Notwithstanding the foregoing, nothing herein is intended, or shall be construed, to require the Company to institute or continue any, or any particular, plan, or benefits.</w:t>
      </w:r>
    </w:p>
    <w:p>
      <w:pPr>
        <w:spacing w:after="0" w:line="184" w:lineRule="exact"/>
        <w:rPr>
          <w:rFonts w:ascii="Arial" w:cs="Arial" w:eastAsia="Arial" w:hAnsi="Arial"/>
          <w:sz w:val="22"/>
          <w:szCs w:val="22"/>
          <w:b w:val="1"/>
          <w:bCs w:val="1"/>
          <w:color w:val="auto"/>
        </w:rPr>
      </w:pPr>
    </w:p>
    <w:p>
      <w:pPr>
        <w:jc w:val="both"/>
        <w:ind w:firstLine="1505"/>
        <w:spacing w:after="0" w:line="287" w:lineRule="auto"/>
        <w:tabs>
          <w:tab w:leader="none" w:pos="2995" w:val="left"/>
        </w:tabs>
        <w:numPr>
          <w:ilvl w:val="1"/>
          <w:numId w:val="14"/>
        </w:numPr>
        <w:rPr>
          <w:rFonts w:ascii="Arial" w:cs="Arial" w:eastAsia="Arial" w:hAnsi="Arial"/>
          <w:sz w:val="19"/>
          <w:szCs w:val="19"/>
          <w:b w:val="1"/>
          <w:bCs w:val="1"/>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 The Company will also cover the expense of travel, room and board when working from Company headquarters in Carlsbad, CA.</w:t>
      </w:r>
    </w:p>
    <w:p>
      <w:pPr>
        <w:spacing w:after="0" w:line="142" w:lineRule="exact"/>
        <w:rPr>
          <w:rFonts w:ascii="Arial" w:cs="Arial" w:eastAsia="Arial" w:hAnsi="Arial"/>
          <w:sz w:val="19"/>
          <w:szCs w:val="19"/>
          <w:b w:val="1"/>
          <w:bCs w:val="1"/>
          <w:color w:val="auto"/>
        </w:rPr>
      </w:pPr>
    </w:p>
    <w:p>
      <w:pPr>
        <w:ind w:left="3000" w:hanging="1495"/>
        <w:spacing w:after="0"/>
        <w:tabs>
          <w:tab w:leader="none" w:pos="3000" w:val="left"/>
        </w:tabs>
        <w:numPr>
          <w:ilvl w:val="1"/>
          <w:numId w:val="14"/>
        </w:numPr>
        <w:rPr>
          <w:rFonts w:ascii="Arial" w:cs="Arial" w:eastAsia="Arial" w:hAnsi="Arial"/>
          <w:sz w:val="19"/>
          <w:szCs w:val="19"/>
          <w:b w:val="1"/>
          <w:bCs w:val="1"/>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Executive will be entitled vacation, which may be taken in accordance with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Company’s vacation policy.</w:t>
      </w:r>
    </w:p>
    <w:p>
      <w:pPr>
        <w:spacing w:after="0" w:line="188" w:lineRule="exact"/>
        <w:rPr>
          <w:rFonts w:ascii="Arial" w:cs="Arial" w:eastAsia="Arial" w:hAnsi="Arial"/>
          <w:sz w:val="19"/>
          <w:szCs w:val="19"/>
          <w:b w:val="1"/>
          <w:bCs w:val="1"/>
          <w:color w:val="auto"/>
        </w:rPr>
      </w:pPr>
    </w:p>
    <w:p>
      <w:pPr>
        <w:ind w:left="3000" w:hanging="1495"/>
        <w:spacing w:after="0"/>
        <w:tabs>
          <w:tab w:leader="none" w:pos="3000" w:val="left"/>
        </w:tabs>
        <w:numPr>
          <w:ilvl w:val="1"/>
          <w:numId w:val="14"/>
        </w:numPr>
        <w:rPr>
          <w:rFonts w:ascii="Arial" w:cs="Arial" w:eastAsia="Arial" w:hAnsi="Arial"/>
          <w:sz w:val="22"/>
          <w:szCs w:val="22"/>
          <w:b w:val="1"/>
          <w:bCs w:val="1"/>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Executive shall be eligible to receive grants of equity awards in the</w:t>
      </w:r>
    </w:p>
    <w:p>
      <w:pPr>
        <w:spacing w:after="0" w:line="8"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Company’s sole discretion.</w:t>
      </w:r>
    </w:p>
    <w:p>
      <w:pPr>
        <w:spacing w:after="0" w:line="188" w:lineRule="exact"/>
        <w:rPr>
          <w:rFonts w:ascii="Arial" w:cs="Arial" w:eastAsia="Arial" w:hAnsi="Arial"/>
          <w:sz w:val="22"/>
          <w:szCs w:val="22"/>
          <w:b w:val="1"/>
          <w:bCs w:val="1"/>
          <w:color w:val="auto"/>
        </w:rPr>
      </w:pPr>
    </w:p>
    <w:p>
      <w:pPr>
        <w:ind w:firstLine="1505"/>
        <w:spacing w:after="0" w:line="250" w:lineRule="auto"/>
        <w:tabs>
          <w:tab w:leader="none" w:pos="2995" w:val="left"/>
        </w:tabs>
        <w:numPr>
          <w:ilvl w:val="1"/>
          <w:numId w:val="14"/>
        </w:numPr>
        <w:rPr>
          <w:rFonts w:ascii="Arial" w:cs="Arial" w:eastAsia="Arial" w:hAnsi="Arial"/>
          <w:sz w:val="22"/>
          <w:szCs w:val="22"/>
          <w:b w:val="1"/>
          <w:bCs w:val="1"/>
          <w:color w:val="auto"/>
        </w:rPr>
      </w:pPr>
      <w:r>
        <w:rPr>
          <w:rFonts w:ascii="Arial" w:cs="Arial" w:eastAsia="Arial" w:hAnsi="Arial"/>
          <w:sz w:val="22"/>
          <w:szCs w:val="22"/>
          <w:u w:val="single" w:color="auto"/>
          <w:color w:val="auto"/>
        </w:rPr>
        <w:t>Indemnification Agreement; Insurance</w:t>
      </w:r>
      <w:r>
        <w:rPr>
          <w:rFonts w:ascii="Arial" w:cs="Arial" w:eastAsia="Arial" w:hAnsi="Arial"/>
          <w:sz w:val="22"/>
          <w:szCs w:val="22"/>
          <w:color w:val="auto"/>
        </w:rPr>
        <w:t>. As an officer of the Company, Executive shall be entitled to enter into the Company’s standard indemnification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ind w:right="20"/>
        <w:spacing w:after="0" w:line="251" w:lineRule="auto"/>
        <w:rPr>
          <w:sz w:val="20"/>
          <w:szCs w:val="20"/>
          <w:color w:val="auto"/>
        </w:rPr>
      </w:pPr>
      <w:r>
        <w:rPr>
          <w:rFonts w:ascii="Arial" w:cs="Arial" w:eastAsia="Arial" w:hAnsi="Arial"/>
          <w:sz w:val="22"/>
          <w:szCs w:val="22"/>
          <w:color w:val="auto"/>
        </w:rPr>
        <w:t>Executive will also be covered under a directors and officers liability insurance policy paid for by the Company for so long as Executive serves as an officer of the Company.</w:t>
      </w:r>
    </w:p>
    <w:p>
      <w:pPr>
        <w:spacing w:after="0" w:line="173" w:lineRule="exact"/>
        <w:rPr>
          <w:sz w:val="20"/>
          <w:szCs w:val="20"/>
          <w:color w:val="auto"/>
        </w:rPr>
      </w:pPr>
    </w:p>
    <w:p>
      <w:pPr>
        <w:jc w:val="both"/>
        <w:ind w:firstLine="1505"/>
        <w:spacing w:after="0"/>
        <w:tabs>
          <w:tab w:leader="none" w:pos="2995" w:val="left"/>
        </w:tabs>
        <w:numPr>
          <w:ilvl w:val="1"/>
          <w:numId w:val="15"/>
        </w:numPr>
        <w:rPr>
          <w:rFonts w:ascii="Arial" w:cs="Arial" w:eastAsia="Arial" w:hAnsi="Arial"/>
          <w:sz w:val="22"/>
          <w:szCs w:val="22"/>
          <w:b w:val="1"/>
          <w:bCs w:val="1"/>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 During the Term of Employment, if Executive relocates his permanent residence to the San Diego metropolitan area, Executive shall be entitled to a flat relocation amount of $25,000 (subject to tax withholdings and applicable deductions) to assist with relocation related expenses.</w:t>
      </w:r>
    </w:p>
    <w:p>
      <w:pPr>
        <w:spacing w:after="0" w:line="180" w:lineRule="exact"/>
        <w:rPr>
          <w:rFonts w:ascii="Arial" w:cs="Arial" w:eastAsia="Arial" w:hAnsi="Arial"/>
          <w:sz w:val="22"/>
          <w:szCs w:val="22"/>
          <w:b w:val="1"/>
          <w:bCs w:val="1"/>
          <w:color w:val="auto"/>
        </w:rPr>
      </w:pPr>
    </w:p>
    <w:p>
      <w:pPr>
        <w:jc w:val="both"/>
        <w:ind w:firstLine="757"/>
        <w:spacing w:after="0" w:line="273" w:lineRule="auto"/>
        <w:tabs>
          <w:tab w:leader="none" w:pos="1498"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Acceleration of Equity Awards Upon a Change in Control</w:t>
      </w:r>
      <w:r>
        <w:rPr>
          <w:rFonts w:ascii="Arial" w:cs="Arial" w:eastAsia="Arial" w:hAnsi="Arial"/>
          <w:sz w:val="19"/>
          <w:szCs w:val="19"/>
          <w:color w:val="auto"/>
        </w:rPr>
        <w:t>. Notwithstanding anything herein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 Change in Control, the vesting of Executive’s then outstanding options, restricted stock and other equity awards covering shares of the Company’s common stock (collectively, “</w:t>
      </w:r>
      <w:r>
        <w:rPr>
          <w:rFonts w:ascii="Arial" w:cs="Arial" w:eastAsia="Arial" w:hAnsi="Arial"/>
          <w:sz w:val="19"/>
          <w:szCs w:val="19"/>
          <w:u w:val="single" w:color="auto"/>
          <w:color w:val="auto"/>
        </w:rPr>
        <w:t>Equity Awards</w:t>
      </w:r>
      <w:r>
        <w:rPr>
          <w:rFonts w:ascii="Arial" w:cs="Arial" w:eastAsia="Arial" w:hAnsi="Arial"/>
          <w:sz w:val="19"/>
          <w:szCs w:val="19"/>
          <w:color w:val="auto"/>
        </w:rPr>
        <w:t>”) shall accelerate as of immediately prior to such Change in Control with respect to fifty percent (50%) of the unvested shares of Company common stock subject to such Equity Awards. The remaining fifty percent (50%) of the unvested shares of Company common stock subject to Executive’s Equity Awards shall continue to vest at the same rate as immediately prior to the Change in Control, subject to Executive’s continued employment with the Company or its successor through the applicable vesting date. Any portion of Executive’s Equity Awards that remains unvested as of the first anniversary of the Change in Control shall thereupon vest in full, subject to Executive’s continued employment with the Company or its successor through such first anniversary. Notwithstanding the foregoing and for the avoidance of doubt, any shares subject to Equity Awards that do not accelerate immediately prior to the Change in Control in accordance with the foregoing shall be subject to accelerated vesting in accordance with Section 6(d)(iii) below.</w:t>
      </w:r>
    </w:p>
    <w:p>
      <w:pPr>
        <w:spacing w:after="0" w:line="155" w:lineRule="exact"/>
        <w:rPr>
          <w:rFonts w:ascii="Arial" w:cs="Arial" w:eastAsia="Arial" w:hAnsi="Arial"/>
          <w:sz w:val="19"/>
          <w:szCs w:val="19"/>
          <w:b w:val="1"/>
          <w:bCs w:val="1"/>
          <w:color w:val="auto"/>
        </w:rPr>
      </w:pPr>
    </w:p>
    <w:p>
      <w:pPr>
        <w:ind w:left="1500" w:hanging="743"/>
        <w:spacing w:after="0"/>
        <w:tabs>
          <w:tab w:leader="none" w:pos="15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505"/>
        <w:spacing w:after="0" w:line="273" w:lineRule="auto"/>
        <w:tabs>
          <w:tab w:leader="none" w:pos="2995" w:val="left"/>
        </w:tabs>
        <w:numPr>
          <w:ilvl w:val="1"/>
          <w:numId w:val="16"/>
        </w:numPr>
        <w:rPr>
          <w:rFonts w:ascii="Arial" w:cs="Arial" w:eastAsia="Arial" w:hAnsi="Arial"/>
          <w:sz w:val="19"/>
          <w:szCs w:val="19"/>
          <w:b w:val="1"/>
          <w:bCs w:val="1"/>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the CEO. If Executive’s employment terminates for any lawful reason, Executive shall not be entitled to any payments, benefits, Equity Awards or other compensation other than as provided in this Agreement.</w:t>
      </w:r>
    </w:p>
    <w:p>
      <w:pPr>
        <w:spacing w:after="0" w:line="160" w:lineRule="exact"/>
        <w:rPr>
          <w:rFonts w:ascii="Arial" w:cs="Arial" w:eastAsia="Arial" w:hAnsi="Arial"/>
          <w:sz w:val="19"/>
          <w:szCs w:val="19"/>
          <w:b w:val="1"/>
          <w:bCs w:val="1"/>
          <w:color w:val="auto"/>
        </w:rPr>
      </w:pPr>
    </w:p>
    <w:p>
      <w:pPr>
        <w:jc w:val="both"/>
        <w:ind w:firstLine="1505"/>
        <w:spacing w:after="0" w:line="287" w:lineRule="auto"/>
        <w:tabs>
          <w:tab w:leader="none" w:pos="2995" w:val="left"/>
        </w:tabs>
        <w:numPr>
          <w:ilvl w:val="1"/>
          <w:numId w:val="16"/>
        </w:numPr>
        <w:rPr>
          <w:rFonts w:ascii="Arial" w:cs="Arial" w:eastAsia="Arial" w:hAnsi="Arial"/>
          <w:sz w:val="19"/>
          <w:szCs w:val="19"/>
          <w:b w:val="1"/>
          <w:bCs w:val="1"/>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During the Term of Employment, any termination of Executive’s employment by the Company or by Executive (other than by reason of death) shall be communicated by written notice (a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Termination</w:t>
      </w:r>
      <w:r>
        <w:rPr>
          <w:rFonts w:ascii="Arial" w:cs="Arial" w:eastAsia="Arial" w:hAnsi="Arial"/>
          <w:sz w:val="19"/>
          <w:szCs w:val="19"/>
          <w:color w:val="auto"/>
        </w:rPr>
        <w:t>”) from one Party hereto to the other Party hereto (i) indicating the specific termination provision in this Agreement relied upon, if any, (ii) setting forth in reasonable detail the facts and circumstances claimed to provide a basis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both"/>
        <w:spacing w:after="0" w:line="247" w:lineRule="auto"/>
        <w:rPr>
          <w:sz w:val="20"/>
          <w:szCs w:val="20"/>
          <w:color w:val="auto"/>
        </w:rPr>
      </w:pPr>
      <w:r>
        <w:rPr>
          <w:rFonts w:ascii="Arial" w:cs="Arial" w:eastAsia="Arial" w:hAnsi="Arial"/>
          <w:sz w:val="21"/>
          <w:szCs w:val="21"/>
          <w:color w:val="auto"/>
        </w:rPr>
        <w:t>termination of Executive’s employment under the provision so indicated and (iii) specifying the date of the termination of Executive’s employment with the Company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The failure by the Company to set forth in the Notice of Termination all of the facts and circumstances which contribute to a showing of Cause shall not waive any right of the Company hereunder or preclude the Company from asserting such fact or circumstance in enforcing its rights hereunder. The failure by Executive to set forth in the Notice of Termination all of the facts and circumstances which contribute to a showing of Good Reason shall not waive any right of Executive hereunder or preclude Executive from asserting such fact or circumstance in enforcing Executive’s rights hereunder.</w:t>
      </w:r>
    </w:p>
    <w:p>
      <w:pPr>
        <w:spacing w:after="0" w:line="178" w:lineRule="exact"/>
        <w:rPr>
          <w:sz w:val="20"/>
          <w:szCs w:val="20"/>
          <w:color w:val="auto"/>
        </w:rPr>
      </w:pPr>
    </w:p>
    <w:p>
      <w:pPr>
        <w:jc w:val="both"/>
        <w:ind w:firstLine="1505"/>
        <w:spacing w:after="0" w:line="238" w:lineRule="auto"/>
        <w:tabs>
          <w:tab w:leader="none" w:pos="2995" w:val="left"/>
        </w:tabs>
        <w:numPr>
          <w:ilvl w:val="2"/>
          <w:numId w:val="17"/>
        </w:numPr>
        <w:rPr>
          <w:rFonts w:ascii="Arial" w:cs="Arial" w:eastAsia="Arial" w:hAnsi="Arial"/>
          <w:sz w:val="22"/>
          <w:szCs w:val="22"/>
          <w:b w:val="1"/>
          <w:bCs w:val="1"/>
          <w:color w:val="auto"/>
        </w:rPr>
      </w:pPr>
      <w:r>
        <w:rPr>
          <w:rFonts w:ascii="Arial" w:cs="Arial" w:eastAsia="Arial" w:hAnsi="Arial"/>
          <w:sz w:val="22"/>
          <w:szCs w:val="22"/>
          <w:u w:val="single" w:color="auto"/>
          <w:color w:val="auto"/>
        </w:rPr>
        <w:t>Deemed Resignation</w:t>
      </w:r>
      <w:r>
        <w:rPr>
          <w:rFonts w:ascii="Arial" w:cs="Arial" w:eastAsia="Arial" w:hAnsi="Arial"/>
          <w:sz w:val="22"/>
          <w:szCs w:val="22"/>
          <w:color w:val="auto"/>
        </w:rPr>
        <w:t>. Upon termination of Executive’s employment with the Company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78" w:lineRule="exact"/>
        <w:rPr>
          <w:rFonts w:ascii="Arial" w:cs="Arial" w:eastAsia="Arial" w:hAnsi="Arial"/>
          <w:sz w:val="22"/>
          <w:szCs w:val="22"/>
          <w:b w:val="1"/>
          <w:bCs w:val="1"/>
          <w:color w:val="auto"/>
        </w:rPr>
      </w:pPr>
    </w:p>
    <w:p>
      <w:pPr>
        <w:ind w:left="1500" w:hanging="743"/>
        <w:spacing w:after="0"/>
        <w:tabs>
          <w:tab w:leader="none" w:pos="1500"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Consequences of Termination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505"/>
        <w:spacing w:after="0" w:line="236" w:lineRule="auto"/>
        <w:tabs>
          <w:tab w:leader="none" w:pos="2995" w:val="left"/>
        </w:tabs>
        <w:numPr>
          <w:ilvl w:val="2"/>
          <w:numId w:val="18"/>
        </w:numPr>
        <w:rPr>
          <w:rFonts w:ascii="Arial" w:cs="Arial" w:eastAsia="Arial" w:hAnsi="Arial"/>
          <w:sz w:val="22"/>
          <w:szCs w:val="22"/>
          <w:b w:val="1"/>
          <w:bCs w:val="1"/>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In the event Executive’s employment with the Company terminates pursuant to Section 5, then Executive shall be entitled to the applicable payments and benefits set forth below subject, </w:t>
      </w:r>
      <w:r>
        <w:rPr>
          <w:rFonts w:ascii="Arial" w:cs="Arial" w:eastAsia="Arial" w:hAnsi="Arial"/>
          <w:sz w:val="22"/>
          <w:szCs w:val="22"/>
          <w:color w:val="231F20"/>
        </w:rPr>
        <w:t>in the case of a</w:t>
      </w:r>
      <w:r>
        <w:rPr>
          <w:rFonts w:ascii="Arial" w:cs="Arial" w:eastAsia="Arial" w:hAnsi="Arial"/>
          <w:sz w:val="22"/>
          <w:szCs w:val="22"/>
          <w:color w:val="auto"/>
        </w:rPr>
        <w:t xml:space="preserve"> </w:t>
      </w:r>
      <w:r>
        <w:rPr>
          <w:rFonts w:ascii="Arial" w:cs="Arial" w:eastAsia="Arial" w:hAnsi="Arial"/>
          <w:sz w:val="22"/>
          <w:szCs w:val="22"/>
          <w:color w:val="231F20"/>
        </w:rPr>
        <w:t xml:space="preserve">termination described in Section 6(c) or 6(d), </w:t>
      </w:r>
      <w:r>
        <w:rPr>
          <w:rFonts w:ascii="Arial" w:cs="Arial" w:eastAsia="Arial" w:hAnsi="Arial"/>
          <w:sz w:val="22"/>
          <w:szCs w:val="22"/>
          <w:color w:val="000000"/>
        </w:rPr>
        <w:t>to Executive delivering to the Company a waiver and release of claims agreement</w:t>
      </w:r>
      <w:r>
        <w:rPr>
          <w:rFonts w:ascii="Arial" w:cs="Arial" w:eastAsia="Arial" w:hAnsi="Arial"/>
          <w:sz w:val="22"/>
          <w:szCs w:val="22"/>
          <w:color w:val="231F20"/>
        </w:rPr>
        <w:t xml:space="preserve"> </w:t>
      </w:r>
      <w:r>
        <w:rPr>
          <w:rFonts w:ascii="Arial" w:cs="Arial" w:eastAsia="Arial" w:hAnsi="Arial"/>
          <w:sz w:val="22"/>
          <w:szCs w:val="22"/>
          <w:color w:val="000000"/>
        </w:rPr>
        <w:t>in standard reasonable form approved by the Company that becomes effective and irrevocable in accordance with Section 7 hereof (a “</w:t>
      </w:r>
      <w:r>
        <w:rPr>
          <w:rFonts w:ascii="Arial" w:cs="Arial" w:eastAsia="Arial" w:hAnsi="Arial"/>
          <w:sz w:val="22"/>
          <w:szCs w:val="22"/>
          <w:u w:val="single" w:color="auto"/>
          <w:color w:val="000000"/>
        </w:rPr>
        <w:t>Release</w:t>
      </w:r>
      <w:r>
        <w:rPr>
          <w:rFonts w:ascii="Arial" w:cs="Arial" w:eastAsia="Arial" w:hAnsi="Arial"/>
          <w:sz w:val="22"/>
          <w:szCs w:val="22"/>
          <w:color w:val="000000"/>
        </w:rPr>
        <w:t>”).</w:t>
      </w:r>
    </w:p>
    <w:p>
      <w:pPr>
        <w:spacing w:after="0" w:line="187" w:lineRule="exact"/>
        <w:rPr>
          <w:rFonts w:ascii="Arial" w:cs="Arial" w:eastAsia="Arial" w:hAnsi="Arial"/>
          <w:sz w:val="22"/>
          <w:szCs w:val="22"/>
          <w:b w:val="1"/>
          <w:bCs w:val="1"/>
          <w:color w:val="auto"/>
        </w:rPr>
      </w:pPr>
    </w:p>
    <w:p>
      <w:pPr>
        <w:jc w:val="both"/>
        <w:ind w:firstLine="1505"/>
        <w:spacing w:after="0" w:line="270" w:lineRule="auto"/>
        <w:tabs>
          <w:tab w:leader="none" w:pos="2995" w:val="left"/>
        </w:tabs>
        <w:numPr>
          <w:ilvl w:val="2"/>
          <w:numId w:val="18"/>
        </w:numPr>
        <w:rPr>
          <w:rFonts w:ascii="Arial" w:cs="Arial" w:eastAsia="Arial" w:hAnsi="Arial"/>
          <w:sz w:val="19"/>
          <w:szCs w:val="19"/>
          <w:b w:val="1"/>
          <w:bCs w:val="1"/>
          <w:color w:val="auto"/>
        </w:rPr>
      </w:pPr>
      <w:r>
        <w:rPr>
          <w:rFonts w:ascii="Arial" w:cs="Arial" w:eastAsia="Arial" w:hAnsi="Arial"/>
          <w:sz w:val="19"/>
          <w:szCs w:val="19"/>
          <w:u w:val="single" w:color="auto"/>
          <w:color w:val="auto"/>
        </w:rPr>
        <w:t>Payments upon Termination by the Company for Cause or by Executive Without Good Reason</w:t>
      </w:r>
      <w:r>
        <w:rPr>
          <w:rFonts w:ascii="Arial" w:cs="Arial" w:eastAsia="Arial" w:hAnsi="Arial"/>
          <w:sz w:val="19"/>
          <w:szCs w:val="19"/>
          <w:color w:val="auto"/>
        </w:rPr>
        <w:t>. Upon a termination of Executive’s employment with the Company at any time for Cause, Executive (or Executive’s estate or legal representative, as applicable) shall be entitled to receive, within thirty (30) days of the effective date of termination of employment with the Company (whether such termination of employment is effected by the Company or Executive) (or such earlier date as may be required by applicable law): (i) any portion of Executive’s Annual Base Salary earned through Executive’s Date of Termination not theretofore paid; (ii) any reimbursement of expenses owed to Executive under Section 3(e) above; and</w:t>
      </w:r>
    </w:p>
    <w:p>
      <w:pPr>
        <w:spacing w:after="0" w:line="1" w:lineRule="exact"/>
        <w:rPr>
          <w:rFonts w:ascii="Arial" w:cs="Arial" w:eastAsia="Arial" w:hAnsi="Arial"/>
          <w:sz w:val="19"/>
          <w:szCs w:val="19"/>
          <w:b w:val="1"/>
          <w:bCs w:val="1"/>
          <w:color w:val="auto"/>
        </w:rPr>
      </w:pPr>
    </w:p>
    <w:p>
      <w:pPr>
        <w:jc w:val="both"/>
        <w:ind w:firstLine="8"/>
        <w:spacing w:after="0" w:line="232" w:lineRule="auto"/>
        <w:tabs>
          <w:tab w:leader="none" w:pos="415"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accrued but unused paid time-off owed to Executive ((i)-(iii) defined as the “</w:t>
      </w:r>
      <w:r>
        <w:rPr>
          <w:rFonts w:ascii="Arial" w:cs="Arial" w:eastAsia="Arial" w:hAnsi="Arial"/>
          <w:sz w:val="22"/>
          <w:szCs w:val="22"/>
          <w:u w:val="single" w:color="auto"/>
          <w:color w:val="auto"/>
        </w:rPr>
        <w:t>Accrued Obligations</w:t>
      </w:r>
      <w:r>
        <w:rPr>
          <w:rFonts w:ascii="Arial" w:cs="Arial" w:eastAsia="Arial" w:hAnsi="Arial"/>
          <w:sz w:val="22"/>
          <w:szCs w:val="22"/>
          <w:color w:val="auto"/>
        </w:rPr>
        <w:t>”). In the event Executive is terminated by the Company for Cause, Executive shall forfeit, effective as of the date Executive engages in such conduct giving rise to his termination for Cause, all unexercised, unearned and/or unpaid Equity Awards, including without limitation, Equity Awards earned but not yet paid, all unpaid dividends and dividend equivalents and all interest, if any, accrued on the foregoing. Any termination of employment by Executive without Good Reason shall be deemed, and shall be treated as, a termination for “Cause”, and accordingly, the Company shall only be obligated to pay to Executive the amounts described in this Section 6(b).</w:t>
      </w:r>
    </w:p>
    <w:p>
      <w:pPr>
        <w:spacing w:after="0" w:line="187" w:lineRule="exact"/>
        <w:rPr>
          <w:rFonts w:ascii="Arial" w:cs="Arial" w:eastAsia="Arial" w:hAnsi="Arial"/>
          <w:sz w:val="22"/>
          <w:szCs w:val="22"/>
          <w:color w:val="auto"/>
        </w:rPr>
      </w:pPr>
    </w:p>
    <w:p>
      <w:pPr>
        <w:jc w:val="both"/>
        <w:ind w:firstLine="1505"/>
        <w:spacing w:after="0"/>
        <w:tabs>
          <w:tab w:leader="none" w:pos="2995" w:val="left"/>
        </w:tabs>
        <w:numPr>
          <w:ilvl w:val="2"/>
          <w:numId w:val="19"/>
        </w:numPr>
        <w:rPr>
          <w:rFonts w:ascii="Arial" w:cs="Arial" w:eastAsia="Arial" w:hAnsi="Arial"/>
          <w:sz w:val="22"/>
          <w:szCs w:val="22"/>
          <w:b w:val="1"/>
          <w:bCs w:val="1"/>
          <w:color w:val="auto"/>
        </w:rPr>
      </w:pPr>
      <w:r>
        <w:rPr>
          <w:rFonts w:ascii="Arial" w:cs="Arial" w:eastAsia="Arial" w:hAnsi="Arial"/>
          <w:sz w:val="22"/>
          <w:szCs w:val="22"/>
          <w:u w:val="single" w:color="auto"/>
          <w:color w:val="auto"/>
        </w:rPr>
        <w:t>Severance Payments upon Involuntary Termination Outside a Change in Control Period</w:t>
      </w:r>
      <w:r>
        <w:rPr>
          <w:rFonts w:ascii="Arial" w:cs="Arial" w:eastAsia="Arial" w:hAnsi="Arial"/>
          <w:sz w:val="22"/>
          <w:szCs w:val="22"/>
          <w:color w:val="auto"/>
        </w:rPr>
        <w:t>. If, outside a Change in Control Period, Executive’s employment is terminated due to an Involuntary Termination, the Company shall provide the following payments and benefits: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2260"/>
        <w:spacing w:after="0"/>
        <w:rPr>
          <w:sz w:val="20"/>
          <w:szCs w:val="20"/>
          <w:color w:val="auto"/>
        </w:rPr>
      </w:pPr>
      <w:r>
        <w:rPr>
          <w:rFonts w:ascii="Arial" w:cs="Arial" w:eastAsia="Arial" w:hAnsi="Arial"/>
          <w:sz w:val="21"/>
          <w:szCs w:val="21"/>
          <w:b w:val="1"/>
          <w:bCs w:val="1"/>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Accrued Obligations;</w:t>
      </w:r>
    </w:p>
    <w:p>
      <w:pPr>
        <w:spacing w:after="0" w:line="216" w:lineRule="exact"/>
        <w:rPr>
          <w:sz w:val="20"/>
          <w:szCs w:val="20"/>
          <w:color w:val="auto"/>
        </w:rPr>
      </w:pPr>
    </w:p>
    <w:p>
      <w:pPr>
        <w:sectPr>
          <w:pgSz w:w="11900" w:h="16838" w:orient="portrait"/>
          <w:cols w:equalWidth="0" w:num="2">
            <w:col w:w="3600" w:space="720"/>
            <w:col w:w="6920"/>
          </w:cols>
          <w:pgMar w:left="320" w:top="111" w:right="339" w:bottom="1440" w:gutter="0" w:footer="0" w:header="0"/>
        </w:sectPr>
      </w:pPr>
    </w:p>
    <w:p>
      <w:pPr>
        <w:spacing w:after="0" w:line="18" w:lineRule="exact"/>
        <w:rPr>
          <w:sz w:val="20"/>
          <w:szCs w:val="20"/>
          <w:color w:val="auto"/>
        </w:rPr>
      </w:pPr>
    </w:p>
    <w:p>
      <w:pPr>
        <w:ind w:left="2260"/>
        <w:spacing w:after="0"/>
        <w:tabs>
          <w:tab w:leader="none" w:pos="4300" w:val="left"/>
        </w:tabs>
        <w:rPr>
          <w:sz w:val="20"/>
          <w:szCs w:val="20"/>
          <w:color w:val="auto"/>
        </w:rPr>
      </w:pPr>
      <w:r>
        <w:rPr>
          <w:rFonts w:ascii="Arial" w:cs="Arial" w:eastAsia="Arial" w:hAnsi="Arial"/>
          <w:sz w:val="21"/>
          <w:szCs w:val="21"/>
          <w:b w:val="1"/>
          <w:bCs w:val="1"/>
          <w:color w:val="auto"/>
        </w:rPr>
        <w:t>(ii)</w:t>
      </w:r>
      <w:r>
        <w:rPr>
          <w:sz w:val="20"/>
          <w:szCs w:val="20"/>
          <w:color w:val="auto"/>
        </w:rPr>
        <w:tab/>
      </w:r>
      <w:r>
        <w:rPr>
          <w:rFonts w:ascii="Arial" w:cs="Arial" w:eastAsia="Arial" w:hAnsi="Arial"/>
          <w:sz w:val="21"/>
          <w:szCs w:val="21"/>
          <w:color w:val="auto"/>
        </w:rPr>
        <w:t>an amount in cash equal to (A) twelve months of Executive’s Annual Base</w:t>
      </w:r>
    </w:p>
    <w:p>
      <w:pPr>
        <w:sectPr>
          <w:pgSz w:w="11900" w:h="16838" w:orient="portrait"/>
          <w:cols w:equalWidth="0" w:num="1">
            <w:col w:w="11240"/>
          </w:cols>
          <w:pgMar w:left="320" w:top="111" w:right="339" w:bottom="1440" w:gutter="0" w:footer="0" w:header="0"/>
          <w:type w:val="continuous"/>
        </w:sectPr>
      </w:pPr>
    </w:p>
    <w:p>
      <w:pPr>
        <w:spacing w:after="0" w:line="39"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Salary plus (B) Executive’s target Annual Bonus, pro-rated based on the total number of days elapsed in the calendar year as of Executive’s Date of Termination;</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(iii)</w:t>
      </w:r>
      <w:r>
        <w:rPr>
          <w:rFonts w:ascii="Arial" w:cs="Arial" w:eastAsia="Arial" w:hAnsi="Arial"/>
          <w:sz w:val="22"/>
          <w:szCs w:val="22"/>
          <w:color w:val="auto"/>
        </w:rPr>
        <w:t>fifty percent (50%) of the unvested Equity Awards held by the Executive as of the Date of Termination will become fully</w:t>
      </w:r>
      <w:r>
        <w:rPr>
          <w:rFonts w:ascii="Arial" w:cs="Arial" w:eastAsia="Arial" w:hAnsi="Arial"/>
          <w:sz w:val="22"/>
          <w:szCs w:val="22"/>
          <w:b w:val="1"/>
          <w:bCs w:val="1"/>
          <w:color w:val="auto"/>
        </w:rPr>
        <w:t xml:space="preserve"> </w:t>
      </w:r>
      <w:r>
        <w:rPr>
          <w:rFonts w:ascii="Arial" w:cs="Arial" w:eastAsia="Arial" w:hAnsi="Arial"/>
          <w:sz w:val="22"/>
          <w:szCs w:val="22"/>
          <w:color w:val="auto"/>
        </w:rPr>
        <w:t>vested and, if applicable, exercisable, and all restrictions and rights of repurchase thereon shall lapse with respect to all of the shares of the Company’s common stock subject thereto; and</w:t>
      </w:r>
    </w:p>
    <w:p>
      <w:pPr>
        <w:spacing w:after="0" w:line="177" w:lineRule="exact"/>
        <w:rPr>
          <w:sz w:val="20"/>
          <w:szCs w:val="20"/>
          <w:color w:val="auto"/>
        </w:rPr>
      </w:pPr>
    </w:p>
    <w:p>
      <w:pPr>
        <w:jc w:val="both"/>
        <w:ind w:firstLine="2246"/>
        <w:spacing w:after="0" w:line="269" w:lineRule="auto"/>
        <w:rPr>
          <w:sz w:val="20"/>
          <w:szCs w:val="20"/>
          <w:color w:val="auto"/>
        </w:rPr>
      </w:pPr>
      <w:r>
        <w:rPr>
          <w:rFonts w:ascii="Arial" w:cs="Arial" w:eastAsia="Arial" w:hAnsi="Arial"/>
          <w:sz w:val="19"/>
          <w:szCs w:val="19"/>
          <w:b w:val="1"/>
          <w:bCs w:val="1"/>
          <w:color w:val="auto"/>
        </w:rPr>
        <w:t xml:space="preserve">(iv) </w:t>
      </w:r>
      <w:r>
        <w:rPr>
          <w:rFonts w:ascii="Arial" w:cs="Arial" w:eastAsia="Arial" w:hAnsi="Arial"/>
          <w:sz w:val="19"/>
          <w:szCs w:val="19"/>
          <w:color w:val="auto"/>
        </w:rPr>
        <w:t>during the period commencing on the Date of Termination and 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twelve-month anniversary thereof or, if earlier, the date on which Executive becomes eligible for comparable replacement coverage under a subsequent employer’s group health plan, subject to Executive’s valid election to continue healthcare coverage under Section 4980B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regulations thereunder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in its sole discretion, either (A) continue to provide to Executive and Executive’s dependents, at the Company’s sole expense, or (B) reimburse Executive and Executive’s dependents for the cost of, in either case, coverage under its group health plan (if any) at the same coverage levels in effect on the Date of Termination (“</w:t>
      </w:r>
      <w:r>
        <w:rPr>
          <w:rFonts w:ascii="Arial" w:cs="Arial" w:eastAsia="Arial" w:hAnsi="Arial"/>
          <w:sz w:val="19"/>
          <w:szCs w:val="19"/>
          <w:u w:val="single" w:color="auto"/>
          <w:color w:val="auto"/>
        </w:rPr>
        <w:t>Benefits Coverage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(1) any plan pursuant to which such benefits are provided is not, or ceases prior to the expiration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continuation coverage period to be, exempt from the application of Section 409A under Treasury Regulation Section 1.409A-1(a)</w:t>
      </w:r>
    </w:p>
    <w:p>
      <w:pPr>
        <w:spacing w:after="0" w:line="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185" w:lineRule="exact"/>
        <w:rPr>
          <w:sz w:val="20"/>
          <w:szCs w:val="20"/>
          <w:color w:val="auto"/>
        </w:rPr>
      </w:pPr>
    </w:p>
    <w:p>
      <w:pPr>
        <w:jc w:val="both"/>
        <w:ind w:firstLine="1505"/>
        <w:spacing w:after="0"/>
        <w:tabs>
          <w:tab w:leader="none" w:pos="2995" w:val="left"/>
        </w:tabs>
        <w:numPr>
          <w:ilvl w:val="0"/>
          <w:numId w:val="20"/>
        </w:numPr>
        <w:rPr>
          <w:rFonts w:ascii="Arial" w:cs="Arial" w:eastAsia="Arial" w:hAnsi="Arial"/>
          <w:sz w:val="22"/>
          <w:szCs w:val="22"/>
          <w:b w:val="1"/>
          <w:bCs w:val="1"/>
          <w:color w:val="auto"/>
        </w:rPr>
      </w:pPr>
      <w:r>
        <w:rPr>
          <w:rFonts w:ascii="Arial" w:cs="Arial" w:eastAsia="Arial" w:hAnsi="Arial"/>
          <w:sz w:val="22"/>
          <w:szCs w:val="22"/>
          <w:u w:val="single" w:color="auto"/>
          <w:color w:val="auto"/>
        </w:rPr>
        <w:t>Severance Payments upon Involuntary Termination During a Change in Control Period</w:t>
      </w:r>
      <w:r>
        <w:rPr>
          <w:rFonts w:ascii="Arial" w:cs="Arial" w:eastAsia="Arial" w:hAnsi="Arial"/>
          <w:sz w:val="22"/>
          <w:szCs w:val="22"/>
          <w:color w:val="auto"/>
        </w:rPr>
        <w:t>. If, during a Change in Control Period, Executive’s employment is terminated due to an Involuntary Termination, the Company shall provide the following payments and benefits:</w:t>
      </w:r>
    </w:p>
    <w:p>
      <w:pPr>
        <w:sectPr>
          <w:pgSz w:w="11900" w:h="16838" w:orient="portrait"/>
          <w:cols w:equalWidth="0" w:num="1">
            <w:col w:w="11240"/>
          </w:cols>
          <w:pgMar w:left="320" w:top="111" w:right="339" w:bottom="1440" w:gutter="0" w:footer="0" w:header="0"/>
          <w:type w:val="continuous"/>
        </w:sectPr>
      </w:pPr>
    </w:p>
    <w:p>
      <w:pPr>
        <w:spacing w:after="0" w:line="180" w:lineRule="exact"/>
        <w:rPr>
          <w:sz w:val="20"/>
          <w:szCs w:val="20"/>
          <w:color w:val="auto"/>
        </w:rPr>
      </w:pPr>
    </w:p>
    <w:p>
      <w:pPr>
        <w:ind w:left="2260"/>
        <w:spacing w:after="0"/>
        <w:rPr>
          <w:sz w:val="20"/>
          <w:szCs w:val="20"/>
          <w:color w:val="auto"/>
        </w:rPr>
      </w:pPr>
      <w:r>
        <w:rPr>
          <w:rFonts w:ascii="Arial" w:cs="Arial" w:eastAsia="Arial" w:hAnsi="Arial"/>
          <w:sz w:val="21"/>
          <w:szCs w:val="21"/>
          <w:b w:val="1"/>
          <w:bCs w:val="1"/>
          <w:color w:val="auto"/>
        </w:rPr>
        <w:t>(i)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the Accrued Obligations;</w:t>
      </w:r>
    </w:p>
    <w:p>
      <w:pPr>
        <w:spacing w:after="0" w:line="216" w:lineRule="exact"/>
        <w:rPr>
          <w:sz w:val="20"/>
          <w:szCs w:val="20"/>
          <w:color w:val="auto"/>
        </w:rPr>
      </w:pPr>
    </w:p>
    <w:p>
      <w:pPr>
        <w:sectPr>
          <w:pgSz w:w="11900" w:h="16838" w:orient="portrait"/>
          <w:cols w:equalWidth="0" w:num="2">
            <w:col w:w="3600" w:space="720"/>
            <w:col w:w="6920"/>
          </w:cols>
          <w:pgMar w:left="320" w:top="111" w:right="339" w:bottom="1440" w:gutter="0" w:footer="0" w:header="0"/>
          <w:type w:val="continuous"/>
        </w:sectPr>
      </w:pPr>
    </w:p>
    <w:p>
      <w:pPr>
        <w:spacing w:after="0" w:line="18"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(ii)</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Salary plus (B) Executive’s target Annual Bonus;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an amount in cash equal to (A) eighteen months of Executive’s Annual Base</w:t>
      </w:r>
    </w:p>
    <w:p>
      <w:pPr>
        <w:spacing w:after="0" w:line="460" w:lineRule="exact"/>
        <w:rPr>
          <w:sz w:val="20"/>
          <w:szCs w:val="20"/>
          <w:color w:val="auto"/>
        </w:rPr>
      </w:pPr>
    </w:p>
    <w:p>
      <w:pPr>
        <w:sectPr>
          <w:pgSz w:w="11900" w:h="16838" w:orient="portrait"/>
          <w:cols w:equalWidth="0" w:num="2">
            <w:col w:w="4280" w:space="40"/>
            <w:col w:w="6920"/>
          </w:cols>
          <w:pgMar w:left="320" w:top="111" w:right="339" w:bottom="1440" w:gutter="0" w:footer="0" w:header="0"/>
          <w:type w:val="continuous"/>
        </w:sectPr>
      </w:pPr>
    </w:p>
    <w:p>
      <w:pPr>
        <w:spacing w:after="0" w:line="17" w:lineRule="exact"/>
        <w:rPr>
          <w:sz w:val="20"/>
          <w:szCs w:val="20"/>
          <w:color w:val="auto"/>
        </w:rPr>
      </w:pPr>
    </w:p>
    <w:p>
      <w:pPr>
        <w:ind w:left="2260"/>
        <w:spacing w:after="0"/>
        <w:tabs>
          <w:tab w:leader="none" w:pos="4300" w:val="left"/>
        </w:tabs>
        <w:rPr>
          <w:sz w:val="20"/>
          <w:szCs w:val="20"/>
          <w:color w:val="auto"/>
        </w:rPr>
      </w:pPr>
      <w:r>
        <w:rPr>
          <w:rFonts w:ascii="Arial" w:cs="Arial" w:eastAsia="Arial" w:hAnsi="Arial"/>
          <w:sz w:val="19"/>
          <w:szCs w:val="19"/>
          <w:b w:val="1"/>
          <w:bCs w:val="1"/>
          <w:color w:val="auto"/>
        </w:rPr>
        <w:t>(iii)</w:t>
      </w:r>
      <w:r>
        <w:rPr>
          <w:sz w:val="20"/>
          <w:szCs w:val="20"/>
          <w:color w:val="auto"/>
        </w:rPr>
        <w:tab/>
      </w:r>
      <w:r>
        <w:rPr>
          <w:rFonts w:ascii="Arial" w:cs="Arial" w:eastAsia="Arial" w:hAnsi="Arial"/>
          <w:sz w:val="19"/>
          <w:szCs w:val="19"/>
          <w:color w:val="auto"/>
        </w:rPr>
        <w:t>one hundred percent (100%) of all unvested Equity Awards held by Executive</w:t>
      </w:r>
    </w:p>
    <w:p>
      <w:pPr>
        <w:sectPr>
          <w:pgSz w:w="11900" w:h="16838" w:orient="portrait"/>
          <w:cols w:equalWidth="0" w:num="1">
            <w:col w:w="11240"/>
          </w:cols>
          <w:pgMar w:left="320" w:top="111" w:right="339" w:bottom="1440" w:gutter="0" w:footer="0" w:header="0"/>
          <w:type w:val="continuous"/>
        </w:sectPr>
      </w:pPr>
    </w:p>
    <w:p>
      <w:pPr>
        <w:spacing w:after="0" w:line="62" w:lineRule="exact"/>
        <w:rPr>
          <w:sz w:val="20"/>
          <w:szCs w:val="20"/>
          <w:color w:val="auto"/>
        </w:rPr>
      </w:pPr>
    </w:p>
    <w:p>
      <w:pPr>
        <w:jc w:val="both"/>
        <w:ind w:right="20"/>
        <w:spacing w:after="0" w:line="243" w:lineRule="auto"/>
        <w:rPr>
          <w:sz w:val="20"/>
          <w:szCs w:val="20"/>
          <w:color w:val="auto"/>
        </w:rPr>
      </w:pPr>
      <w:r>
        <w:rPr>
          <w:rFonts w:ascii="Arial" w:cs="Arial" w:eastAsia="Arial" w:hAnsi="Arial"/>
          <w:sz w:val="21"/>
          <w:szCs w:val="21"/>
          <w:color w:val="auto"/>
        </w:rPr>
        <w:t>as of the Date of Termination, will become fully vested and, if applicable, exercisable, and all restrictions and rights of repurchase thereon shall lapse with respect to all of the shares of the Company’s common stock subject thereto; and</w:t>
      </w:r>
    </w:p>
    <w:p>
      <w:pPr>
        <w:spacing w:after="0" w:line="176"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color w:val="auto"/>
        </w:rPr>
        <w:t>during the period commencing on the Date of Termination and ending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anniversary thereof or, if earlier, the date on which Executive becomes eligible for comparable replacement coverage under a subsequent employer’s group health plan, subject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0" w:name="page31"/>
    <w:bookmarkEnd w:id="30"/>
    <w:p>
      <w:pPr>
        <w:jc w:val="both"/>
        <w:spacing w:after="0" w:line="274" w:lineRule="auto"/>
        <w:rPr>
          <w:sz w:val="20"/>
          <w:szCs w:val="20"/>
          <w:color w:val="auto"/>
        </w:rPr>
      </w:pPr>
      <w:r>
        <w:rPr>
          <w:rFonts w:ascii="Arial" w:cs="Arial" w:eastAsia="Arial" w:hAnsi="Arial"/>
          <w:sz w:val="19"/>
          <w:szCs w:val="19"/>
          <w:color w:val="auto"/>
        </w:rPr>
        <w:t xml:space="preserve">Executive’s valid election to continue healthcare coverage under COBRA, the Company shall, in its sole discretion, either (A) continue to provide to Executive and Executive’s dependents, at the Company’s sole expense, or (B) reimburse Executive and Executive’s dependents for the cost of, in either case, the Benefits Coverage;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the cash amount necessary to maintain the Benefits Coverage shall thereafter be paid to Executive in substantially equal monthly installments over the COBRA continuation period (or remaining portion thereof).</w:t>
      </w:r>
    </w:p>
    <w:p>
      <w:pPr>
        <w:spacing w:after="0" w:line="159" w:lineRule="exact"/>
        <w:rPr>
          <w:sz w:val="20"/>
          <w:szCs w:val="20"/>
          <w:color w:val="auto"/>
        </w:rPr>
      </w:pPr>
    </w:p>
    <w:p>
      <w:pPr>
        <w:jc w:val="both"/>
        <w:ind w:firstLine="1505"/>
        <w:spacing w:after="0" w:line="297" w:lineRule="auto"/>
        <w:tabs>
          <w:tab w:leader="none" w:pos="2995" w:val="left"/>
        </w:tabs>
        <w:numPr>
          <w:ilvl w:val="2"/>
          <w:numId w:val="21"/>
        </w:numPr>
        <w:rPr>
          <w:rFonts w:ascii="Arial" w:cs="Arial" w:eastAsia="Arial" w:hAnsi="Arial"/>
          <w:sz w:val="19"/>
          <w:szCs w:val="19"/>
          <w:b w:val="1"/>
          <w:bCs w:val="1"/>
          <w:color w:val="auto"/>
        </w:rPr>
      </w:pPr>
      <w:r>
        <w:rPr>
          <w:rFonts w:ascii="Arial" w:cs="Arial" w:eastAsia="Arial" w:hAnsi="Arial"/>
          <w:sz w:val="19"/>
          <w:szCs w:val="19"/>
          <w:u w:val="single" w:color="auto"/>
          <w:color w:val="auto"/>
        </w:rPr>
        <w:t>No Other Severance</w:t>
      </w:r>
      <w:r>
        <w:rPr>
          <w:rFonts w:ascii="Arial" w:cs="Arial" w:eastAsia="Arial" w:hAnsi="Arial"/>
          <w:sz w:val="19"/>
          <w:szCs w:val="19"/>
          <w:color w:val="auto"/>
        </w:rPr>
        <w:t>. The provisions of this Section 6 shall supersede in their entirety any severance payment provisions in any severance plan, policy, program, or other arrangement maintained by the Company except for such additional benefits otherwise approved by the Board or Compensation Committee of the Board after the date hereof.</w:t>
      </w:r>
    </w:p>
    <w:p>
      <w:pPr>
        <w:spacing w:after="0" w:line="133" w:lineRule="exact"/>
        <w:rPr>
          <w:rFonts w:ascii="Arial" w:cs="Arial" w:eastAsia="Arial" w:hAnsi="Arial"/>
          <w:sz w:val="19"/>
          <w:szCs w:val="19"/>
          <w:b w:val="1"/>
          <w:bCs w:val="1"/>
          <w:color w:val="auto"/>
        </w:rPr>
      </w:pPr>
    </w:p>
    <w:p>
      <w:pPr>
        <w:jc w:val="both"/>
        <w:ind w:firstLine="1505"/>
        <w:spacing w:after="0" w:line="238" w:lineRule="auto"/>
        <w:tabs>
          <w:tab w:leader="none" w:pos="2995" w:val="left"/>
        </w:tabs>
        <w:numPr>
          <w:ilvl w:val="2"/>
          <w:numId w:val="21"/>
        </w:numPr>
        <w:rPr>
          <w:rFonts w:ascii="Arial" w:cs="Arial" w:eastAsia="Arial" w:hAnsi="Arial"/>
          <w:sz w:val="22"/>
          <w:szCs w:val="22"/>
          <w:b w:val="1"/>
          <w:bCs w:val="1"/>
          <w:color w:val="auto"/>
        </w:rPr>
      </w:pPr>
      <w:r>
        <w:rPr>
          <w:rFonts w:ascii="Arial" w:cs="Arial" w:eastAsia="Arial" w:hAnsi="Arial"/>
          <w:sz w:val="22"/>
          <w:szCs w:val="22"/>
          <w:u w:val="single" w:color="auto"/>
          <w:color w:val="auto"/>
        </w:rPr>
        <w:t>No Requirement to Mitigate; Survival</w:t>
      </w:r>
      <w:r>
        <w:rPr>
          <w:rFonts w:ascii="Arial" w:cs="Arial" w:eastAsia="Arial" w:hAnsi="Arial"/>
          <w:sz w:val="22"/>
          <w:szCs w:val="22"/>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78" w:lineRule="exact"/>
        <w:rPr>
          <w:rFonts w:ascii="Arial" w:cs="Arial" w:eastAsia="Arial" w:hAnsi="Arial"/>
          <w:sz w:val="22"/>
          <w:szCs w:val="22"/>
          <w:b w:val="1"/>
          <w:bCs w:val="1"/>
          <w:color w:val="auto"/>
        </w:rPr>
      </w:pPr>
    </w:p>
    <w:p>
      <w:pPr>
        <w:ind w:left="1500" w:hanging="743"/>
        <w:spacing w:after="0"/>
        <w:tabs>
          <w:tab w:leader="none" w:pos="1500" w:val="left"/>
        </w:tabs>
        <w:numPr>
          <w:ilvl w:val="1"/>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 and Payment Timing.</w:t>
      </w:r>
    </w:p>
    <w:p>
      <w:pPr>
        <w:spacing w:after="0" w:line="212" w:lineRule="exact"/>
        <w:rPr>
          <w:rFonts w:ascii="Arial" w:cs="Arial" w:eastAsia="Arial" w:hAnsi="Arial"/>
          <w:sz w:val="22"/>
          <w:szCs w:val="22"/>
          <w:b w:val="1"/>
          <w:bCs w:val="1"/>
          <w:color w:val="auto"/>
        </w:rPr>
      </w:pPr>
    </w:p>
    <w:p>
      <w:pPr>
        <w:jc w:val="both"/>
        <w:ind w:left="120" w:right="120" w:firstLine="1488"/>
        <w:spacing w:after="0" w:line="268" w:lineRule="auto"/>
        <w:tabs>
          <w:tab w:leader="none" w:pos="2357" w:val="left"/>
        </w:tabs>
        <w:numPr>
          <w:ilvl w:val="3"/>
          <w:numId w:val="22"/>
        </w:numPr>
        <w:rPr>
          <w:rFonts w:ascii="Arial" w:cs="Arial" w:eastAsia="Arial" w:hAnsi="Arial"/>
          <w:sz w:val="20"/>
          <w:szCs w:val="20"/>
          <w:b w:val="1"/>
          <w:bCs w:val="1"/>
          <w:color w:val="231F20"/>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w:t>
      </w:r>
      <w:r>
        <w:rPr>
          <w:rFonts w:ascii="Arial" w:cs="Arial" w:eastAsia="Arial" w:hAnsi="Arial"/>
          <w:sz w:val="19"/>
          <w:szCs w:val="19"/>
          <w:color w:val="231F20"/>
        </w:rPr>
        <w:t>Notwithstanding anything to the contrary in this Agreement, any payments or other benefits</w:t>
      </w:r>
      <w:r>
        <w:rPr>
          <w:rFonts w:ascii="Arial" w:cs="Arial" w:eastAsia="Arial" w:hAnsi="Arial"/>
          <w:sz w:val="18"/>
          <w:szCs w:val="18"/>
          <w:color w:val="auto"/>
        </w:rPr>
        <w:t xml:space="preserve"> </w:t>
      </w:r>
      <w:r>
        <w:rPr>
          <w:rFonts w:ascii="Arial" w:cs="Arial" w:eastAsia="Arial" w:hAnsi="Arial"/>
          <w:sz w:val="19"/>
          <w:szCs w:val="19"/>
          <w:color w:val="231F20"/>
        </w:rPr>
        <w:t>due under this Agreement under Sections 6(c) and 6(d) as a result of Executive’s termination of employment (other than the Accrued Obligations) are subject to Executive’s execution and delivery of a Release, as follows: (i) the Company shall deliver the Release to Executive within five (5) days following Executive’s Date of Termination, and the Company’s failure to deliver a Release prior to the expiration of such five (5) day period shall constitute a waiver of any requirement to execute a Release,</w:t>
      </w:r>
    </w:p>
    <w:p>
      <w:pPr>
        <w:jc w:val="both"/>
        <w:ind w:left="120" w:right="120" w:hanging="8"/>
        <w:spacing w:after="0" w:line="243" w:lineRule="auto"/>
        <w:tabs>
          <w:tab w:leader="none" w:pos="454" w:val="left"/>
        </w:tabs>
        <w:numPr>
          <w:ilvl w:val="0"/>
          <w:numId w:val="23"/>
        </w:numPr>
        <w:rPr>
          <w:rFonts w:ascii="Arial" w:cs="Arial" w:eastAsia="Arial" w:hAnsi="Arial"/>
          <w:sz w:val="21"/>
          <w:szCs w:val="21"/>
          <w:color w:val="231F20"/>
        </w:rPr>
      </w:pPr>
      <w:r>
        <w:rPr>
          <w:rFonts w:ascii="Arial" w:cs="Arial" w:eastAsia="Arial" w:hAnsi="Arial"/>
          <w:sz w:val="21"/>
          <w:szCs w:val="21"/>
          <w:color w:val="231F20"/>
        </w:rPr>
        <w:t>if Executive fails to execute the Release on or prior to the Release Expiration Date (as defined below) or timely revokes Executive’s acceptance of the Release thereafter, Executive shall not be entitled to any payments or benefits otherwise conditioned on the Release, and (iii) if the Release does not become effective and irrevocable no later than sixty (60) days following the Date of Termination (such deadline, the “</w:t>
      </w:r>
      <w:r>
        <w:rPr>
          <w:rFonts w:ascii="Arial" w:cs="Arial" w:eastAsia="Arial" w:hAnsi="Arial"/>
          <w:sz w:val="21"/>
          <w:szCs w:val="21"/>
          <w:u w:val="single" w:color="auto"/>
          <w:color w:val="231F20"/>
        </w:rPr>
        <w:t>Release Deadline</w:t>
      </w:r>
      <w:r>
        <w:rPr>
          <w:rFonts w:ascii="Arial" w:cs="Arial" w:eastAsia="Arial" w:hAnsi="Arial"/>
          <w:sz w:val="21"/>
          <w:szCs w:val="21"/>
          <w:color w:val="231F20"/>
        </w:rPr>
        <w:t>”), Executive shall not be entitled to any payments or benefits otherwise conditioned on the Release. For purposes of this Section 7, “</w:t>
      </w:r>
      <w:r>
        <w:rPr>
          <w:rFonts w:ascii="Arial" w:cs="Arial" w:eastAsia="Arial" w:hAnsi="Arial"/>
          <w:sz w:val="21"/>
          <w:szCs w:val="21"/>
          <w:u w:val="single" w:color="auto"/>
          <w:color w:val="231F20"/>
        </w:rPr>
        <w:t>Release Expiration Date</w:t>
      </w:r>
      <w:r>
        <w:rPr>
          <w:rFonts w:ascii="Arial" w:cs="Arial" w:eastAsia="Arial" w:hAnsi="Arial"/>
          <w:sz w:val="21"/>
          <w:szCs w:val="21"/>
          <w:color w:val="231F20"/>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71" w:lineRule="exact"/>
        <w:rPr>
          <w:rFonts w:ascii="Arial" w:cs="Arial" w:eastAsia="Arial" w:hAnsi="Arial"/>
          <w:sz w:val="21"/>
          <w:szCs w:val="21"/>
          <w:color w:val="231F20"/>
        </w:rPr>
      </w:pPr>
    </w:p>
    <w:p>
      <w:pPr>
        <w:ind w:left="2340" w:hanging="732"/>
        <w:spacing w:after="0"/>
        <w:tabs>
          <w:tab w:leader="none" w:pos="2340" w:val="left"/>
        </w:tabs>
        <w:numPr>
          <w:ilvl w:val="3"/>
          <w:numId w:val="23"/>
        </w:numPr>
        <w:rPr>
          <w:rFonts w:ascii="Arial" w:cs="Arial" w:eastAsia="Arial" w:hAnsi="Arial"/>
          <w:sz w:val="22"/>
          <w:szCs w:val="22"/>
          <w:b w:val="1"/>
          <w:bCs w:val="1"/>
          <w:color w:val="231F20"/>
        </w:rPr>
      </w:pPr>
      <w:r>
        <w:rPr>
          <w:rFonts w:ascii="Arial" w:cs="Arial" w:eastAsia="Arial" w:hAnsi="Arial"/>
          <w:sz w:val="22"/>
          <w:szCs w:val="22"/>
          <w:u w:val="single" w:color="auto"/>
          <w:color w:val="auto"/>
        </w:rPr>
        <w:t>Payment Timing</w:t>
      </w:r>
      <w:r>
        <w:rPr>
          <w:rFonts w:ascii="Arial" w:cs="Arial" w:eastAsia="Arial" w:hAnsi="Arial"/>
          <w:sz w:val="22"/>
          <w:szCs w:val="22"/>
          <w:color w:val="auto"/>
        </w:rPr>
        <w:t>. The payments due under Sections 6(c)(ii) and 6(d)(ii)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both"/>
        <w:ind w:left="120" w:right="120"/>
        <w:spacing w:after="0" w:line="273" w:lineRule="auto"/>
        <w:rPr>
          <w:sz w:val="20"/>
          <w:szCs w:val="20"/>
          <w:color w:val="auto"/>
        </w:rPr>
      </w:pPr>
      <w:r>
        <w:rPr>
          <w:rFonts w:ascii="Arial" w:cs="Arial" w:eastAsia="Arial" w:hAnsi="Arial"/>
          <w:sz w:val="19"/>
          <w:szCs w:val="19"/>
          <w:color w:val="auto"/>
        </w:rPr>
        <w:t>this Agreement as a result of Executive’s termination of employment shall be paid in a lump sum on the date that is sixty (60) days following the Date of Termination; provided, however, that, in the event of Executive’s Involuntary Termination during the Change in Control Period but prior to a Change in Control, any additional amount payable to Executive under Section 6(d)</w:t>
      </w:r>
    </w:p>
    <w:p>
      <w:pPr>
        <w:spacing w:after="0" w:line="2" w:lineRule="exact"/>
        <w:rPr>
          <w:sz w:val="20"/>
          <w:szCs w:val="20"/>
          <w:color w:val="auto"/>
        </w:rPr>
      </w:pPr>
    </w:p>
    <w:p>
      <w:pPr>
        <w:ind w:left="120" w:right="120" w:hanging="8"/>
        <w:spacing w:after="0" w:line="241" w:lineRule="auto"/>
        <w:tabs>
          <w:tab w:leader="none" w:pos="451" w:val="left"/>
        </w:tabs>
        <w:numPr>
          <w:ilvl w:val="1"/>
          <w:numId w:val="24"/>
        </w:numPr>
        <w:rPr>
          <w:rFonts w:ascii="Arial" w:cs="Arial" w:eastAsia="Arial" w:hAnsi="Arial"/>
          <w:sz w:val="21"/>
          <w:szCs w:val="21"/>
          <w:color w:val="auto"/>
        </w:rPr>
      </w:pPr>
      <w:r>
        <w:rPr>
          <w:rFonts w:ascii="Arial" w:cs="Arial" w:eastAsia="Arial" w:hAnsi="Arial"/>
          <w:sz w:val="21"/>
          <w:szCs w:val="21"/>
          <w:color w:val="auto"/>
        </w:rPr>
        <w:t>in excess of the amounts payable to such Executive under Section 6(c)(ii) shall be paid in a lump sum on the date that is sixty (60) days following the later of (x) the Date of Termination, or (y) the date of the Change in Control.</w:t>
      </w:r>
    </w:p>
    <w:p>
      <w:pPr>
        <w:spacing w:after="0" w:line="1" w:lineRule="exact"/>
        <w:rPr>
          <w:rFonts w:ascii="Arial" w:cs="Arial" w:eastAsia="Arial" w:hAnsi="Arial"/>
          <w:sz w:val="21"/>
          <w:szCs w:val="21"/>
          <w:color w:val="auto"/>
        </w:rPr>
      </w:pPr>
    </w:p>
    <w:p>
      <w:pPr>
        <w:jc w:val="both"/>
        <w:ind w:firstLine="757"/>
        <w:spacing w:after="0" w:line="266" w:lineRule="auto"/>
        <w:tabs>
          <w:tab w:leader="none" w:pos="1498" w:val="left"/>
        </w:tabs>
        <w:numPr>
          <w:ilvl w:val="2"/>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Non-Solicitation of Employees</w:t>
      </w:r>
      <w:r>
        <w:rPr>
          <w:rFonts w:ascii="Arial" w:cs="Arial" w:eastAsia="Arial" w:hAnsi="Arial"/>
          <w:sz w:val="19"/>
          <w:szCs w:val="19"/>
          <w:color w:val="auto"/>
        </w:rPr>
        <w:t>. For a period of one (1) year following Executive’s Date of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Executive shall not, either directly or indirectly (a) solicit for employment through any individual, corporation, firm, or other business, any employees, consultants, independent contractors, or other service providers of the Company or any of its affiliates, or (b) solicit any employee, consultant or other service provider of the Company or any of its affiliates to leave the employment or consulting of or cease providing services to the Company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clauses</w:t>
      </w:r>
    </w:p>
    <w:p>
      <w:pPr>
        <w:spacing w:after="0" w:line="4" w:lineRule="exact"/>
        <w:rPr>
          <w:rFonts w:ascii="Arial" w:cs="Arial" w:eastAsia="Arial" w:hAnsi="Arial"/>
          <w:sz w:val="19"/>
          <w:szCs w:val="19"/>
          <w:b w:val="1"/>
          <w:bCs w:val="1"/>
          <w:color w:val="auto"/>
        </w:rPr>
      </w:pPr>
    </w:p>
    <w:p>
      <w:pPr>
        <w:ind w:right="20" w:firstLine="8"/>
        <w:spacing w:after="0" w:line="308" w:lineRule="auto"/>
        <w:tabs>
          <w:tab w:leader="none" w:pos="327" w:val="left"/>
        </w:tabs>
        <w:numPr>
          <w:ilvl w:val="0"/>
          <w:numId w:val="25"/>
        </w:numPr>
        <w:rPr>
          <w:rFonts w:ascii="Arial" w:cs="Arial" w:eastAsia="Arial" w:hAnsi="Arial"/>
          <w:sz w:val="19"/>
          <w:szCs w:val="19"/>
          <w:color w:val="auto"/>
        </w:rPr>
      </w:pPr>
      <w:r>
        <w:rPr>
          <w:rFonts w:ascii="Arial" w:cs="Arial" w:eastAsia="Arial" w:hAnsi="Arial"/>
          <w:sz w:val="19"/>
          <w:szCs w:val="19"/>
          <w:color w:val="auto"/>
        </w:rPr>
        <w:t>and (b) shall not apply to inbound inquiries or any general advertisement or solicitation (or any hiring pursuant to such advertisement or solicitation) that is not specifically targeted to such employees, consultants or other service providers.</w:t>
      </w:r>
    </w:p>
    <w:p>
      <w:pPr>
        <w:spacing w:after="0" w:line="117" w:lineRule="exact"/>
        <w:rPr>
          <w:rFonts w:ascii="Arial" w:cs="Arial" w:eastAsia="Arial" w:hAnsi="Arial"/>
          <w:sz w:val="19"/>
          <w:szCs w:val="19"/>
          <w:color w:val="auto"/>
        </w:rPr>
      </w:pPr>
    </w:p>
    <w:p>
      <w:pPr>
        <w:ind w:left="1500" w:hanging="743"/>
        <w:spacing w:after="0"/>
        <w:tabs>
          <w:tab w:leader="none" w:pos="1500" w:val="left"/>
        </w:tabs>
        <w:numPr>
          <w:ilvl w:val="2"/>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Golden Parachute Excise Tax</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505"/>
        <w:spacing w:after="0" w:line="270" w:lineRule="auto"/>
        <w:tabs>
          <w:tab w:leader="none" w:pos="2995" w:val="left"/>
        </w:tabs>
        <w:numPr>
          <w:ilvl w:val="3"/>
          <w:numId w:val="25"/>
        </w:numPr>
        <w:rPr>
          <w:rFonts w:ascii="Arial" w:cs="Arial" w:eastAsia="Arial" w:hAnsi="Arial"/>
          <w:sz w:val="19"/>
          <w:szCs w:val="19"/>
          <w:b w:val="1"/>
          <w:bCs w:val="1"/>
          <w:color w:val="auto"/>
        </w:rPr>
      </w:pPr>
      <w:r>
        <w:rPr>
          <w:rFonts w:ascii="Arial" w:cs="Arial" w:eastAsia="Arial" w:hAnsi="Arial"/>
          <w:sz w:val="19"/>
          <w:szCs w:val="19"/>
          <w:u w:val="single" w:color="auto"/>
          <w:color w:val="auto"/>
        </w:rPr>
        <w:t>Best Pay</w:t>
      </w:r>
      <w:r>
        <w:rPr>
          <w:rFonts w:ascii="Arial" w:cs="Arial" w:eastAsia="Arial" w:hAnsi="Arial"/>
          <w:sz w:val="19"/>
          <w:szCs w:val="19"/>
          <w:color w:val="auto"/>
        </w:rPr>
        <w:t>. Any provision of this Agreement to the contrary notwithstanding, if any payment or benefit Executive would receive from the Company pursuant to this Agreement or otherwise (“</w:t>
      </w:r>
      <w:r>
        <w:rPr>
          <w:rFonts w:ascii="Arial" w:cs="Arial" w:eastAsia="Arial" w:hAnsi="Arial"/>
          <w:sz w:val="19"/>
          <w:szCs w:val="19"/>
          <w:u w:val="single" w:color="auto"/>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such Payment will be equal to the Reduced Amount (as defined below). The “</w:t>
      </w:r>
      <w:r>
        <w:rPr>
          <w:rFonts w:ascii="Arial" w:cs="Arial" w:eastAsia="Arial" w:hAnsi="Arial"/>
          <w:sz w:val="19"/>
          <w:szCs w:val="19"/>
          <w:u w:val="single" w:color="auto"/>
          <w:color w:val="auto"/>
        </w:rPr>
        <w:t>Reduced Amount</w:t>
      </w:r>
      <w:r>
        <w:rPr>
          <w:rFonts w:ascii="Arial" w:cs="Arial" w:eastAsia="Arial" w:hAnsi="Arial"/>
          <w:sz w:val="19"/>
          <w:szCs w:val="19"/>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u w:val="single" w:color="auto"/>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u w:val="single" w:color="auto"/>
          <w:color w:val="auto"/>
        </w:rPr>
        <w:t>Pro Rata Reduction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Method</w:t>
      </w:r>
      <w:r>
        <w:rPr>
          <w:rFonts w:ascii="Arial" w:cs="Arial" w:eastAsia="Arial" w:hAnsi="Arial"/>
          <w:sz w:val="19"/>
          <w:szCs w:val="19"/>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9"/>
          <w:szCs w:val="19"/>
          <w:i w:val="1"/>
          <w:iCs w:val="1"/>
          <w:color w:val="auto"/>
        </w:rPr>
        <w:t>e.g</w:t>
      </w:r>
      <w:r>
        <w:rPr>
          <w:rFonts w:ascii="Arial" w:cs="Arial" w:eastAsia="Arial" w:hAnsi="Arial"/>
          <w:sz w:val="19"/>
          <w:szCs w:val="19"/>
          <w:color w:val="auto"/>
        </w:rPr>
        <w:t>., being terminated without cause), shall be reduced (or eliminated)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both"/>
        <w:spacing w:after="0"/>
        <w:rPr>
          <w:sz w:val="20"/>
          <w:szCs w:val="20"/>
          <w:color w:val="auto"/>
        </w:rPr>
      </w:pPr>
      <w:r>
        <w:rPr>
          <w:rFonts w:ascii="Arial" w:cs="Arial" w:eastAsia="Arial" w:hAnsi="Arial"/>
          <w:sz w:val="22"/>
          <w:szCs w:val="22"/>
          <w:color w:val="auto"/>
        </w:rPr>
        <w:t>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187" w:lineRule="exact"/>
        <w:rPr>
          <w:sz w:val="20"/>
          <w:szCs w:val="20"/>
          <w:color w:val="auto"/>
        </w:rPr>
      </w:pPr>
    </w:p>
    <w:p>
      <w:pPr>
        <w:jc w:val="both"/>
        <w:ind w:firstLine="1505"/>
        <w:spacing w:after="0" w:line="273" w:lineRule="auto"/>
        <w:tabs>
          <w:tab w:leader="none" w:pos="2995" w:val="left"/>
        </w:tabs>
        <w:numPr>
          <w:ilvl w:val="1"/>
          <w:numId w:val="26"/>
        </w:numPr>
        <w:rPr>
          <w:rFonts w:ascii="Arial" w:cs="Arial" w:eastAsia="Arial" w:hAnsi="Arial"/>
          <w:sz w:val="19"/>
          <w:szCs w:val="19"/>
          <w:b w:val="1"/>
          <w:bCs w:val="1"/>
          <w:color w:val="auto"/>
        </w:rPr>
      </w:pPr>
      <w:r>
        <w:rPr>
          <w:rFonts w:ascii="Arial" w:cs="Arial" w:eastAsia="Arial" w:hAnsi="Arial"/>
          <w:sz w:val="19"/>
          <w:szCs w:val="19"/>
          <w:u w:val="single" w:color="auto"/>
          <w:color w:val="auto"/>
        </w:rPr>
        <w:t>Accounting Firm</w:t>
      </w:r>
      <w:r>
        <w:rPr>
          <w:rFonts w:ascii="Arial" w:cs="Arial" w:eastAsia="Arial" w:hAnsi="Arial"/>
          <w:sz w:val="19"/>
          <w:szCs w:val="19"/>
          <w:color w:val="auto"/>
        </w:rPr>
        <w:t>. The accounting firm engaged by the Company for general tax purposes as of the day prior to the Change in Control will perform the calculations set forth in Section 9(a)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149" w:lineRule="exact"/>
        <w:rPr>
          <w:rFonts w:ascii="Arial" w:cs="Arial" w:eastAsia="Arial" w:hAnsi="Arial"/>
          <w:sz w:val="19"/>
          <w:szCs w:val="19"/>
          <w:b w:val="1"/>
          <w:bCs w:val="1"/>
          <w:color w:val="auto"/>
        </w:rPr>
      </w:pPr>
    </w:p>
    <w:p>
      <w:pPr>
        <w:ind w:left="1500" w:hanging="743"/>
        <w:spacing w:after="0"/>
        <w:tabs>
          <w:tab w:leader="none" w:pos="15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505"/>
        <w:spacing w:after="0" w:line="272" w:lineRule="auto"/>
        <w:tabs>
          <w:tab w:leader="none" w:pos="2995" w:val="left"/>
        </w:tabs>
        <w:numPr>
          <w:ilvl w:val="1"/>
          <w:numId w:val="27"/>
        </w:numPr>
        <w:rPr>
          <w:rFonts w:ascii="Arial" w:cs="Arial" w:eastAsia="Arial" w:hAnsi="Arial"/>
          <w:sz w:val="19"/>
          <w:szCs w:val="19"/>
          <w:b w:val="1"/>
          <w:bCs w:val="1"/>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and, accordingly, to the maximum extent permitted, this Agreement shall be interpreted to be in compliance therewith. If Executive notifies the Company that Executive has received advice of tax counsel of a national reputation with expertise in Section 409A that any provision of this Agreement would cause Executive to incur any additional tax or interest under Section 409A (with specificity as to the reason therefor) or the Company independently makes such determination,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155" w:lineRule="exact"/>
        <w:rPr>
          <w:rFonts w:ascii="Arial" w:cs="Arial" w:eastAsia="Arial" w:hAnsi="Arial"/>
          <w:sz w:val="19"/>
          <w:szCs w:val="19"/>
          <w:b w:val="1"/>
          <w:bCs w:val="1"/>
          <w:color w:val="auto"/>
        </w:rPr>
      </w:pPr>
    </w:p>
    <w:p>
      <w:pPr>
        <w:jc w:val="both"/>
        <w:ind w:firstLine="1505"/>
        <w:spacing w:after="0" w:line="282" w:lineRule="auto"/>
        <w:tabs>
          <w:tab w:leader="none" w:pos="2995" w:val="left"/>
        </w:tabs>
        <w:numPr>
          <w:ilvl w:val="1"/>
          <w:numId w:val="27"/>
        </w:numPr>
        <w:rPr>
          <w:rFonts w:ascii="Arial" w:cs="Arial" w:eastAsia="Arial" w:hAnsi="Arial"/>
          <w:sz w:val="19"/>
          <w:szCs w:val="19"/>
          <w:b w:val="1"/>
          <w:bCs w:val="1"/>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Notwithstanding any provision to the contrary in this Agreement: (i) no amount that constitutes “deferred compensation” under Section 409A shall be payable pursuant to Section 6(c) or Section 6(d) above unless the termination of Executive’s employment constitutes a “separation from service” within the meaning of Section 1.409A-1(h) of the Department of Treasury Regulations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(ii) for purposes of Section 409A, Executive’s right to receive installment payments shall be treated as a right to receive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both"/>
        <w:spacing w:after="0" w:line="249" w:lineRule="auto"/>
        <w:rPr>
          <w:sz w:val="20"/>
          <w:szCs w:val="20"/>
          <w:color w:val="auto"/>
        </w:rPr>
      </w:pPr>
      <w:r>
        <w:rPr>
          <w:rFonts w:ascii="Arial" w:cs="Arial" w:eastAsia="Arial" w:hAnsi="Arial"/>
          <w:sz w:val="21"/>
          <w:szCs w:val="21"/>
          <w:color w:val="auto"/>
        </w:rPr>
        <w:t>series of separate and distinct payments; and (iii) to the extent that any reimbursement of expenses or in-kind benefits constitutes “deferred compensation” under Section 409A, such reimbursement or benefit shall be provided no later than December 31st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79" w:lineRule="exact"/>
        <w:rPr>
          <w:sz w:val="20"/>
          <w:szCs w:val="20"/>
          <w:color w:val="auto"/>
        </w:rPr>
      </w:pPr>
    </w:p>
    <w:p>
      <w:pPr>
        <w:jc w:val="both"/>
        <w:ind w:firstLine="1505"/>
        <w:spacing w:after="0" w:line="245" w:lineRule="auto"/>
        <w:tabs>
          <w:tab w:leader="none" w:pos="2995" w:val="left"/>
        </w:tabs>
        <w:numPr>
          <w:ilvl w:val="1"/>
          <w:numId w:val="28"/>
        </w:numPr>
        <w:rPr>
          <w:rFonts w:ascii="Arial" w:cs="Arial" w:eastAsia="Arial" w:hAnsi="Arial"/>
          <w:sz w:val="21"/>
          <w:szCs w:val="21"/>
          <w:b w:val="1"/>
          <w:bCs w:val="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 (6)-month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78" w:lineRule="exact"/>
        <w:rPr>
          <w:rFonts w:ascii="Arial" w:cs="Arial" w:eastAsia="Arial" w:hAnsi="Arial"/>
          <w:sz w:val="21"/>
          <w:szCs w:val="21"/>
          <w:b w:val="1"/>
          <w:bCs w:val="1"/>
          <w:color w:val="auto"/>
        </w:rPr>
      </w:pPr>
    </w:p>
    <w:p>
      <w:pPr>
        <w:jc w:val="both"/>
        <w:ind w:firstLine="757"/>
        <w:spacing w:after="0" w:line="300" w:lineRule="auto"/>
        <w:tabs>
          <w:tab w:leader="none" w:pos="1498"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shall be entitled to withhold from any amounts payable under this Agreement any</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25" w:lineRule="exact"/>
        <w:rPr>
          <w:rFonts w:ascii="Arial" w:cs="Arial" w:eastAsia="Arial" w:hAnsi="Arial"/>
          <w:sz w:val="19"/>
          <w:szCs w:val="19"/>
          <w:b w:val="1"/>
          <w:bCs w:val="1"/>
          <w:color w:val="auto"/>
        </w:rPr>
      </w:pPr>
    </w:p>
    <w:p>
      <w:pPr>
        <w:ind w:left="1500" w:hanging="743"/>
        <w:spacing w:after="0"/>
        <w:tabs>
          <w:tab w:leader="none" w:pos="15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505"/>
        <w:spacing w:after="0" w:line="244" w:lineRule="auto"/>
        <w:tabs>
          <w:tab w:leader="none" w:pos="2995" w:val="left"/>
        </w:tabs>
        <w:numPr>
          <w:ilvl w:val="1"/>
          <w:numId w:val="29"/>
        </w:numPr>
        <w:rPr>
          <w:rFonts w:ascii="Arial" w:cs="Arial" w:eastAsia="Arial" w:hAnsi="Arial"/>
          <w:sz w:val="21"/>
          <w:szCs w:val="21"/>
          <w:b w:val="1"/>
          <w:bCs w:val="1"/>
          <w:color w:val="auto"/>
        </w:rPr>
      </w:pPr>
      <w:r>
        <w:rPr>
          <w:rFonts w:ascii="Arial" w:cs="Arial" w:eastAsia="Arial" w:hAnsi="Arial"/>
          <w:sz w:val="21"/>
          <w:szCs w:val="21"/>
          <w:u w:val="single" w:color="auto"/>
          <w:color w:val="auto"/>
        </w:rPr>
        <w:t>Prior Employment</w:t>
      </w:r>
      <w:r>
        <w:rPr>
          <w:rFonts w:ascii="Arial" w:cs="Arial" w:eastAsia="Arial" w:hAnsi="Arial"/>
          <w:sz w:val="21"/>
          <w:szCs w:val="21"/>
          <w:color w:val="auto"/>
        </w:rPr>
        <w:t>. Executive represents and warrants that Executive’s acceptance of employment with the 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 (c) 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188" w:lineRule="exact"/>
        <w:rPr>
          <w:rFonts w:ascii="Arial" w:cs="Arial" w:eastAsia="Arial" w:hAnsi="Arial"/>
          <w:sz w:val="21"/>
          <w:szCs w:val="21"/>
          <w:b w:val="1"/>
          <w:bCs w:val="1"/>
          <w:color w:val="auto"/>
        </w:rPr>
      </w:pPr>
    </w:p>
    <w:p>
      <w:pPr>
        <w:jc w:val="both"/>
        <w:ind w:firstLine="1505"/>
        <w:spacing w:after="0" w:line="238" w:lineRule="auto"/>
        <w:tabs>
          <w:tab w:leader="none" w:pos="2995" w:val="left"/>
        </w:tabs>
        <w:numPr>
          <w:ilvl w:val="1"/>
          <w:numId w:val="29"/>
        </w:numPr>
        <w:rPr>
          <w:rFonts w:ascii="Arial" w:cs="Arial" w:eastAsia="Arial" w:hAnsi="Arial"/>
          <w:sz w:val="22"/>
          <w:szCs w:val="22"/>
          <w:b w:val="1"/>
          <w:bCs w:val="1"/>
          <w:color w:val="auto"/>
        </w:rPr>
      </w:pPr>
      <w:r>
        <w:rPr>
          <w:rFonts w:ascii="Arial" w:cs="Arial" w:eastAsia="Arial" w:hAnsi="Arial"/>
          <w:sz w:val="22"/>
          <w:szCs w:val="22"/>
          <w:u w:val="single" w:color="auto"/>
          <w:color w:val="auto"/>
        </w:rPr>
        <w:t>Assignment and Successors</w:t>
      </w:r>
      <w:r>
        <w:rPr>
          <w:rFonts w:ascii="Arial" w:cs="Arial" w:eastAsia="Arial" w:hAnsi="Arial"/>
          <w:sz w:val="22"/>
          <w:szCs w:val="22"/>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Executive, and their respective successors, assigns, personnel,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both"/>
        <w:spacing w:after="0"/>
        <w:rPr>
          <w:sz w:val="20"/>
          <w:szCs w:val="20"/>
          <w:color w:val="auto"/>
        </w:rPr>
      </w:pPr>
      <w:r>
        <w:rPr>
          <w:rFonts w:ascii="Arial" w:cs="Arial" w:eastAsia="Arial" w:hAnsi="Arial"/>
          <w:sz w:val="22"/>
          <w:szCs w:val="22"/>
          <w:color w:val="auto"/>
        </w:rPr>
        <w:t>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187" w:lineRule="exact"/>
        <w:rPr>
          <w:sz w:val="20"/>
          <w:szCs w:val="20"/>
          <w:color w:val="auto"/>
        </w:rPr>
      </w:pPr>
    </w:p>
    <w:p>
      <w:pPr>
        <w:jc w:val="both"/>
        <w:ind w:firstLine="1505"/>
        <w:spacing w:after="0" w:line="252" w:lineRule="auto"/>
        <w:tabs>
          <w:tab w:leader="none" w:pos="2995" w:val="left"/>
        </w:tabs>
        <w:numPr>
          <w:ilvl w:val="0"/>
          <w:numId w:val="30"/>
        </w:numPr>
        <w:rPr>
          <w:rFonts w:ascii="Arial" w:cs="Arial" w:eastAsia="Arial" w:hAnsi="Arial"/>
          <w:sz w:val="21"/>
          <w:szCs w:val="21"/>
          <w:b w:val="1"/>
          <w:bCs w:val="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73" w:lineRule="exact"/>
        <w:rPr>
          <w:rFonts w:ascii="Arial" w:cs="Arial" w:eastAsia="Arial" w:hAnsi="Arial"/>
          <w:sz w:val="21"/>
          <w:szCs w:val="21"/>
          <w:b w:val="1"/>
          <w:bCs w:val="1"/>
          <w:color w:val="auto"/>
        </w:rPr>
      </w:pPr>
    </w:p>
    <w:p>
      <w:pPr>
        <w:jc w:val="both"/>
        <w:ind w:firstLine="1505"/>
        <w:spacing w:after="0" w:line="328" w:lineRule="auto"/>
        <w:tabs>
          <w:tab w:leader="none" w:pos="2995" w:val="left"/>
        </w:tabs>
        <w:numPr>
          <w:ilvl w:val="0"/>
          <w:numId w:val="30"/>
        </w:numPr>
        <w:rPr>
          <w:rFonts w:ascii="Arial" w:cs="Arial" w:eastAsia="Arial" w:hAnsi="Arial"/>
          <w:sz w:val="19"/>
          <w:szCs w:val="19"/>
          <w:b w:val="1"/>
          <w:bCs w:val="1"/>
          <w:color w:val="auto"/>
        </w:rPr>
      </w:pPr>
      <w:r>
        <w:rPr>
          <w:rFonts w:ascii="Arial" w:cs="Arial" w:eastAsia="Arial" w:hAnsi="Arial"/>
          <w:sz w:val="19"/>
          <w:szCs w:val="19"/>
          <w:u w:val="single" w:color="auto"/>
          <w:color w:val="auto"/>
        </w:rPr>
        <w:t>Validity</w:t>
      </w:r>
      <w:r>
        <w:rPr>
          <w:rFonts w:ascii="Arial" w:cs="Arial" w:eastAsia="Arial" w:hAnsi="Arial"/>
          <w:sz w:val="19"/>
          <w:szCs w:val="19"/>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04" w:lineRule="exact"/>
        <w:rPr>
          <w:rFonts w:ascii="Arial" w:cs="Arial" w:eastAsia="Arial" w:hAnsi="Arial"/>
          <w:sz w:val="19"/>
          <w:szCs w:val="19"/>
          <w:b w:val="1"/>
          <w:bCs w:val="1"/>
          <w:color w:val="auto"/>
        </w:rPr>
      </w:pPr>
    </w:p>
    <w:p>
      <w:pPr>
        <w:jc w:val="both"/>
        <w:ind w:firstLine="1505"/>
        <w:spacing w:after="0" w:line="277" w:lineRule="auto"/>
        <w:tabs>
          <w:tab w:leader="none" w:pos="2995" w:val="left"/>
        </w:tabs>
        <w:numPr>
          <w:ilvl w:val="0"/>
          <w:numId w:val="30"/>
        </w:numPr>
        <w:rPr>
          <w:rFonts w:ascii="Arial" w:cs="Arial" w:eastAsia="Arial" w:hAnsi="Arial"/>
          <w:sz w:val="19"/>
          <w:szCs w:val="19"/>
          <w:b w:val="1"/>
          <w:bCs w:val="1"/>
          <w:color w:val="auto"/>
        </w:rPr>
      </w:pPr>
      <w:r>
        <w:rPr>
          <w:rFonts w:ascii="Arial" w:cs="Arial" w:eastAsia="Arial" w:hAnsi="Arial"/>
          <w:sz w:val="19"/>
          <w:szCs w:val="19"/>
          <w:u w:val="single" w:color="auto"/>
          <w:color w:val="auto"/>
        </w:rPr>
        <w:t>Amendments; Waivers</w:t>
      </w:r>
      <w:r>
        <w:rPr>
          <w:rFonts w:ascii="Arial" w:cs="Arial" w:eastAsia="Arial" w:hAnsi="Arial"/>
          <w:sz w:val="19"/>
          <w:szCs w:val="19"/>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51" w:lineRule="exact"/>
        <w:rPr>
          <w:rFonts w:ascii="Arial" w:cs="Arial" w:eastAsia="Arial" w:hAnsi="Arial"/>
          <w:sz w:val="19"/>
          <w:szCs w:val="19"/>
          <w:b w:val="1"/>
          <w:bCs w:val="1"/>
          <w:color w:val="auto"/>
        </w:rPr>
      </w:pPr>
    </w:p>
    <w:p>
      <w:pPr>
        <w:jc w:val="both"/>
        <w:ind w:firstLine="1505"/>
        <w:spacing w:after="0" w:line="272" w:lineRule="auto"/>
        <w:tabs>
          <w:tab w:leader="none" w:pos="2995" w:val="left"/>
        </w:tabs>
        <w:numPr>
          <w:ilvl w:val="0"/>
          <w:numId w:val="30"/>
        </w:numPr>
        <w:rPr>
          <w:rFonts w:ascii="Arial" w:cs="Arial" w:eastAsia="Arial" w:hAnsi="Arial"/>
          <w:sz w:val="19"/>
          <w:szCs w:val="19"/>
          <w:b w:val="1"/>
          <w:bCs w:val="1"/>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Executive agrees that if any disputes should arise between Executive and the Company (including claims against its employees, officers, directors, shareholders, agents, successors, and assigns) relating or pertaining to or arising out of Executive’s employment with the Company, the dispute will be submitted exclusively to binding arbitration before a neutral arbitrator mutually selected by the Company and Executive. This means that disputes will be decided by an arbitrator rather than a court or jury, and that both Executive and the Company waive their respective rights to a court or jury trial. Judgment on the arbitration award may be entered in any court having jurisdiction. Nothing herein shall prevent either Party from pursuing injunctive relief in court (without having to post a bond) to avoid irreparable harm pending completion of any arbitration. Within twenty (20) days of the conclusion of the arbitration hearing, the arbitrator shall prepare written findings of fact and conclusions of law. Each party shall bear its own costs and attorneys’ fees in connection with arbitration;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pay all costs unique to arbitration, including the arbitrator’s fees and costs, that Executive would not be required to pay if the claim was in court. Executive shall be entitled to recover reasonable attorneys’ fees and costs incurred by Executive in any arbitration Executive initiates to enforce Executive’s rights under this Agreement and in which Executive is deemed to be the prevailing party.</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ind w:firstLine="1505"/>
        <w:spacing w:after="0" w:line="250" w:lineRule="auto"/>
        <w:tabs>
          <w:tab w:leader="none" w:pos="2995" w:val="left"/>
        </w:tabs>
        <w:numPr>
          <w:ilvl w:val="0"/>
          <w:numId w:val="30"/>
        </w:numPr>
        <w:rPr>
          <w:rFonts w:ascii="Arial" w:cs="Arial" w:eastAsia="Arial" w:hAnsi="Arial"/>
          <w:sz w:val="22"/>
          <w:szCs w:val="22"/>
          <w:b w:val="1"/>
          <w:bCs w:val="1"/>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If any provision of this Agreement is held to be illegal, invalid, or unenforceable under present or future laws, such provision shall be fully severable; this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9"/>
          <w:szCs w:val="19"/>
          <w:color w:val="auto"/>
        </w:rPr>
        <w:t>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48" w:lineRule="exact"/>
        <w:rPr>
          <w:sz w:val="20"/>
          <w:szCs w:val="20"/>
          <w:color w:val="auto"/>
        </w:rPr>
      </w:pPr>
    </w:p>
    <w:p>
      <w:pPr>
        <w:jc w:val="both"/>
        <w:ind w:firstLine="1505"/>
        <w:spacing w:after="0" w:line="279" w:lineRule="auto"/>
        <w:tabs>
          <w:tab w:leader="none" w:pos="2995" w:val="left"/>
        </w:tabs>
        <w:numPr>
          <w:ilvl w:val="0"/>
          <w:numId w:val="31"/>
        </w:numPr>
        <w:rPr>
          <w:rFonts w:ascii="Arial" w:cs="Arial" w:eastAsia="Arial" w:hAnsi="Arial"/>
          <w:sz w:val="19"/>
          <w:szCs w:val="19"/>
          <w:b w:val="1"/>
          <w:bCs w:val="1"/>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terms of this Agreement are intended by the Parties to be the final expression of their agreement with respect to the employment or other service of Executive by the Company and supersede all prior understandings and agreements (including without limitation any consulting agreement between Executive and the Company), whether written or oral, regarding Executive’s employment or other service with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50" w:lineRule="exact"/>
        <w:rPr>
          <w:rFonts w:ascii="Arial" w:cs="Arial" w:eastAsia="Arial" w:hAnsi="Arial"/>
          <w:sz w:val="19"/>
          <w:szCs w:val="19"/>
          <w:b w:val="1"/>
          <w:bCs w:val="1"/>
          <w:color w:val="auto"/>
        </w:rPr>
      </w:pPr>
    </w:p>
    <w:p>
      <w:pPr>
        <w:jc w:val="both"/>
        <w:ind w:firstLine="1505"/>
        <w:spacing w:after="0" w:line="238" w:lineRule="auto"/>
        <w:tabs>
          <w:tab w:leader="none" w:pos="2995" w:val="left"/>
        </w:tabs>
        <w:numPr>
          <w:ilvl w:val="0"/>
          <w:numId w:val="31"/>
        </w:numPr>
        <w:rPr>
          <w:rFonts w:ascii="Arial" w:cs="Arial" w:eastAsia="Arial" w:hAnsi="Arial"/>
          <w:sz w:val="22"/>
          <w:szCs w:val="22"/>
          <w:b w:val="1"/>
          <w:bCs w:val="1"/>
          <w:color w:val="auto"/>
        </w:rPr>
      </w:pPr>
      <w:r>
        <w:rPr>
          <w:rFonts w:ascii="Arial" w:cs="Arial" w:eastAsia="Arial" w:hAnsi="Arial"/>
          <w:sz w:val="22"/>
          <w:szCs w:val="22"/>
          <w:u w:val="single" w:color="auto"/>
          <w:color w:val="auto"/>
        </w:rPr>
        <w:t>Employee Acknowledgement</w:t>
      </w:r>
      <w:r>
        <w:rPr>
          <w:rFonts w:ascii="Arial" w:cs="Arial" w:eastAsia="Arial" w:hAnsi="Arial"/>
          <w:sz w:val="22"/>
          <w:szCs w:val="22"/>
          <w:color w:val="auto"/>
        </w:rPr>
        <w:t>.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84" w:lineRule="exact"/>
        <w:rPr>
          <w:rFonts w:ascii="Arial" w:cs="Arial" w:eastAsia="Arial" w:hAnsi="Arial"/>
          <w:sz w:val="22"/>
          <w:szCs w:val="22"/>
          <w:b w:val="1"/>
          <w:bCs w:val="1"/>
          <w:color w:val="auto"/>
        </w:rPr>
      </w:pPr>
    </w:p>
    <w:p>
      <w:pPr>
        <w:jc w:val="both"/>
        <w:ind w:firstLine="1505"/>
        <w:spacing w:after="0"/>
        <w:tabs>
          <w:tab w:leader="none" w:pos="2995" w:val="left"/>
        </w:tabs>
        <w:numPr>
          <w:ilvl w:val="0"/>
          <w:numId w:val="31"/>
        </w:numPr>
        <w:rPr>
          <w:rFonts w:ascii="Arial" w:cs="Arial" w:eastAsia="Arial" w:hAnsi="Arial"/>
          <w:sz w:val="22"/>
          <w:szCs w:val="22"/>
          <w:b w:val="1"/>
          <w:bCs w:val="1"/>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9"/>
          <w:szCs w:val="19"/>
          <w:color w:val="auto"/>
        </w:rPr>
        <w:t>IN WITNESS WHEREOF, the Parties have duly executed this Agreement as of the date and year first above written.</w:t>
      </w:r>
    </w:p>
    <w:p>
      <w:pPr>
        <w:sectPr>
          <w:pgSz w:w="11900" w:h="16838" w:orient="portrait"/>
          <w:cols w:equalWidth="0" w:num="1">
            <w:col w:w="10100"/>
          </w:cols>
          <w:pgMar w:left="1080" w:top="321" w:right="71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TYRA BIOSCIENCES, INC.</w:t>
      </w:r>
    </w:p>
    <w:p>
      <w:pPr>
        <w:spacing w:after="0" w:line="200" w:lineRule="exact"/>
        <w:rPr>
          <w:sz w:val="20"/>
          <w:szCs w:val="20"/>
          <w:color w:val="auto"/>
        </w:rPr>
      </w:pPr>
    </w:p>
    <w:p>
      <w:pPr>
        <w:spacing w:after="0" w:line="25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Tood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-17780</wp:posOffset>
            </wp:positionV>
            <wp:extent cx="11391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186" w:lineRule="exact"/>
        <w:rPr>
          <w:sz w:val="20"/>
          <w:szCs w:val="20"/>
          <w:color w:val="auto"/>
        </w:rPr>
      </w:pPr>
    </w:p>
    <w:p>
      <w:pPr>
        <w:ind w:left="3740"/>
        <w:spacing w:after="0"/>
        <w:tabs>
          <w:tab w:leader="none" w:pos="4580" w:val="left"/>
        </w:tabs>
        <w:rPr>
          <w:sz w:val="20"/>
          <w:szCs w:val="20"/>
          <w:color w:val="auto"/>
        </w:rPr>
      </w:pPr>
      <w:r>
        <w:rPr>
          <w:rFonts w:ascii="Arial" w:cs="Arial" w:eastAsia="Arial" w:hAnsi="Arial"/>
          <w:sz w:val="22"/>
          <w:szCs w:val="22"/>
          <w:color w:val="auto"/>
        </w:rPr>
        <w:t>Name:</w:t>
        <w:tab/>
        <w:t>Todd Harris</w:t>
      </w:r>
    </w:p>
    <w:p>
      <w:pPr>
        <w:spacing w:after="0" w:line="206" w:lineRule="exact"/>
        <w:rPr>
          <w:sz w:val="20"/>
          <w:szCs w:val="20"/>
          <w:color w:val="auto"/>
        </w:rPr>
      </w:pPr>
    </w:p>
    <w:p>
      <w:pPr>
        <w:ind w:left="3740"/>
        <w:spacing w:after="0"/>
        <w:tabs>
          <w:tab w:leader="none" w:pos="45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Chief Executive Officer and President</w:t>
      </w:r>
    </w:p>
    <w:p>
      <w:pPr>
        <w:spacing w:after="0" w:line="200" w:lineRule="exact"/>
        <w:rPr>
          <w:sz w:val="20"/>
          <w:szCs w:val="20"/>
          <w:color w:val="auto"/>
        </w:rPr>
      </w:pPr>
    </w:p>
    <w:p>
      <w:pPr>
        <w:spacing w:after="0" w:line="278"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5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  /s/ Ali Fawaz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-17780</wp:posOffset>
            </wp:positionV>
            <wp:extent cx="830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86" w:lineRule="exact"/>
        <w:rPr>
          <w:sz w:val="20"/>
          <w:szCs w:val="20"/>
          <w:color w:val="auto"/>
        </w:rPr>
      </w:pPr>
    </w:p>
    <w:p>
      <w:pPr>
        <w:ind w:left="3740"/>
        <w:spacing w:after="0"/>
        <w:tabs>
          <w:tab w:leader="none" w:pos="4580" w:val="left"/>
        </w:tabs>
        <w:rPr>
          <w:sz w:val="20"/>
          <w:szCs w:val="20"/>
          <w:color w:val="auto"/>
        </w:rPr>
      </w:pPr>
      <w:r>
        <w:rPr>
          <w:rFonts w:ascii="Arial" w:cs="Arial" w:eastAsia="Arial" w:hAnsi="Arial"/>
          <w:sz w:val="22"/>
          <w:szCs w:val="22"/>
          <w:color w:val="auto"/>
        </w:rPr>
        <w:t>Name:</w:t>
        <w:tab/>
        <w:t>Ali Fawaz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Employment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174625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080" w:top="321" w:right="71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APPENDIX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All defined terms used in this Appendix I that are not otherwise defined in this Appendix I shall have the meaning ascribed to such terms in the Employment Agreement to which this Appendix I relates.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Acquiring Company</w:t>
      </w:r>
      <w:r>
        <w:rPr>
          <w:rFonts w:ascii="Arial" w:cs="Arial" w:eastAsia="Arial" w:hAnsi="Arial"/>
          <w:sz w:val="22"/>
          <w:szCs w:val="22"/>
          <w:color w:val="auto"/>
        </w:rPr>
        <w:t>” shall mean the resulting or surviving corporation, or the company issuing cash or securities (or its ultimate parent company), in a merger consolidation, tender offer or share exchange involving the Company, or the successor corporation to the Company (whether in any such transaction or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the occurrence of any one or more of the following events or conditions:</w:t>
      </w:r>
    </w:p>
    <w:p>
      <w:pPr>
        <w:spacing w:after="0" w:line="206"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any material failure on the part of Executive (other than by reason of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of Executive) to faithfully and professionally carry out Executive’s duties which failure continues for ten (10) days after written notice detailing such failure is delivered to Executive by the Company;</w:t>
      </w:r>
    </w:p>
    <w:p>
      <w:pPr>
        <w:spacing w:after="0" w:line="177" w:lineRule="exact"/>
        <w:rPr>
          <w:sz w:val="20"/>
          <w:szCs w:val="20"/>
          <w:color w:val="auto"/>
        </w:rPr>
      </w:pPr>
    </w:p>
    <w:p>
      <w:pPr>
        <w:jc w:val="both"/>
        <w:ind w:firstLine="2246"/>
        <w:spacing w:after="0" w:line="256"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Executive’s dishonesty or other misconduct, if such dishonesty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misconduct is intended to or likely to materially injure the business or reputation of the Company;</w:t>
      </w:r>
    </w:p>
    <w:p>
      <w:pPr>
        <w:spacing w:after="0" w:line="162" w:lineRule="exact"/>
        <w:rPr>
          <w:sz w:val="20"/>
          <w:szCs w:val="20"/>
          <w:color w:val="auto"/>
        </w:rPr>
      </w:pPr>
    </w:p>
    <w:p>
      <w:pPr>
        <w:jc w:val="both"/>
        <w:ind w:firstLine="2246"/>
        <w:spacing w:after="0" w:line="256"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22"/>
          <w:szCs w:val="22"/>
          <w:color w:val="auto"/>
        </w:rPr>
        <w:t>Executive’s conviction or no contest plea to any misdemeanor involving</w:t>
      </w:r>
      <w:r>
        <w:rPr>
          <w:rFonts w:ascii="Arial" w:cs="Arial" w:eastAsia="Arial" w:hAnsi="Arial"/>
          <w:sz w:val="22"/>
          <w:szCs w:val="22"/>
          <w:b w:val="1"/>
          <w:bCs w:val="1"/>
          <w:color w:val="auto"/>
        </w:rPr>
        <w:t xml:space="preserve"> </w:t>
      </w:r>
      <w:r>
        <w:rPr>
          <w:rFonts w:ascii="Arial" w:cs="Arial" w:eastAsia="Arial" w:hAnsi="Arial"/>
          <w:sz w:val="22"/>
          <w:szCs w:val="22"/>
          <w:color w:val="auto"/>
        </w:rPr>
        <w:t>dishonesty, theft, fraud or moral turpitude, or any felony.</w:t>
      </w:r>
    </w:p>
    <w:p>
      <w:pPr>
        <w:spacing w:after="0" w:line="162" w:lineRule="exact"/>
        <w:rPr>
          <w:sz w:val="20"/>
          <w:szCs w:val="20"/>
          <w:color w:val="auto"/>
        </w:rPr>
      </w:pPr>
    </w:p>
    <w:p>
      <w:pPr>
        <w:ind w:left="2260"/>
        <w:spacing w:after="0"/>
        <w:tabs>
          <w:tab w:leader="none" w:pos="430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color w:val="auto"/>
        </w:rPr>
        <w:t>Executive’s  insobriety  or  illegal  use  of  drugs,  chemicals  or  controlled</w:t>
      </w:r>
    </w:p>
    <w:p>
      <w:pPr>
        <w:spacing w:after="0" w:line="2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substances either (A) in the course of performing Executive’s duties and responsibilities under this Agreement or (B) otherwise materially affecting the ability of Executive to perform the same;</w:t>
      </w:r>
    </w:p>
    <w:p>
      <w:pPr>
        <w:spacing w:after="0" w:line="181" w:lineRule="exact"/>
        <w:rPr>
          <w:sz w:val="20"/>
          <w:szCs w:val="20"/>
          <w:color w:val="auto"/>
        </w:rPr>
      </w:pPr>
    </w:p>
    <w:p>
      <w:pPr>
        <w:jc w:val="both"/>
        <w:ind w:firstLine="2246"/>
        <w:spacing w:after="0" w:line="280" w:lineRule="auto"/>
        <w:rPr>
          <w:sz w:val="20"/>
          <w:szCs w:val="20"/>
          <w:color w:val="auto"/>
        </w:rPr>
      </w:pPr>
      <w:r>
        <w:rPr>
          <w:rFonts w:ascii="Arial" w:cs="Arial" w:eastAsia="Arial" w:hAnsi="Arial"/>
          <w:sz w:val="21"/>
          <w:szCs w:val="21"/>
          <w:b w:val="1"/>
          <w:bCs w:val="1"/>
          <w:color w:val="auto"/>
        </w:rPr>
        <w:t xml:space="preserve">(v) </w:t>
      </w:r>
      <w:r>
        <w:rPr>
          <w:rFonts w:ascii="Arial" w:cs="Arial" w:eastAsia="Arial" w:hAnsi="Arial"/>
          <w:sz w:val="21"/>
          <w:szCs w:val="21"/>
          <w:color w:val="auto"/>
        </w:rPr>
        <w:t>Executive’s material breach of any written agreement with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of its affiliates or material violation of the Company’s Code of Conduct or any other material written policy of the Company; or</w:t>
      </w:r>
    </w:p>
    <w:p>
      <w:pPr>
        <w:spacing w:after="0" w:line="139" w:lineRule="exact"/>
        <w:rPr>
          <w:sz w:val="20"/>
          <w:szCs w:val="20"/>
          <w:color w:val="auto"/>
        </w:rPr>
      </w:pPr>
    </w:p>
    <w:p>
      <w:pPr>
        <w:ind w:left="2260"/>
        <w:spacing w:after="0"/>
        <w:tabs>
          <w:tab w:leader="none" w:pos="43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color w:val="auto"/>
        </w:rPr>
        <w:t>Any wanton or willful dereliction of duties by Executive.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shall mean the occurrence of any of the following events or circumstances:</w:t>
      </w:r>
    </w:p>
    <w:p>
      <w:pPr>
        <w:spacing w:after="0" w:line="206" w:lineRule="exact"/>
        <w:rPr>
          <w:sz w:val="20"/>
          <w:szCs w:val="20"/>
          <w:color w:val="auto"/>
        </w:rPr>
      </w:pPr>
    </w:p>
    <w:p>
      <w:pPr>
        <w:jc w:val="both"/>
        <w:ind w:firstLine="2246"/>
        <w:spacing w:after="0" w:line="280"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any “person” (within the meaning of Section 13(d) or 14(d) of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including a “group” within the meaning of such Section 13(d) but excluding the Company and any of its subsidiaries and any employee benefit plan sponsored or maintained by the Company or any subsidiary thereof, shall become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w:t>
      </w:r>
      <w:r>
        <w:rPr>
          <w:rFonts w:ascii="Arial" w:cs="Arial" w:eastAsia="Arial" w:hAnsi="Arial"/>
          <w:sz w:val="19"/>
          <w:szCs w:val="19"/>
          <w:b w:val="1"/>
          <w:bCs w:val="1"/>
          <w:color w:val="auto"/>
        </w:rPr>
        <w:t>Company Voting Securities</w:t>
      </w:r>
      <w:r>
        <w:rPr>
          <w:rFonts w:ascii="Arial" w:cs="Arial" w:eastAsia="Arial" w:hAnsi="Arial"/>
          <w:sz w:val="19"/>
          <w:szCs w:val="19"/>
          <w:color w:val="auto"/>
        </w:rPr>
        <w:t>”);</w:t>
      </w:r>
    </w:p>
    <w:p>
      <w:pPr>
        <w:spacing w:after="0" w:line="145" w:lineRule="exact"/>
        <w:rPr>
          <w:sz w:val="20"/>
          <w:szCs w:val="20"/>
          <w:color w:val="auto"/>
        </w:rPr>
      </w:pPr>
    </w:p>
    <w:p>
      <w:pPr>
        <w:jc w:val="both"/>
        <w:ind w:firstLine="2246"/>
        <w:spacing w:after="0" w:line="256" w:lineRule="auto"/>
        <w:rPr>
          <w:sz w:val="20"/>
          <w:szCs w:val="20"/>
          <w:color w:val="auto"/>
        </w:rPr>
      </w:pPr>
      <w:r>
        <w:rPr>
          <w:rFonts w:ascii="Arial" w:cs="Arial" w:eastAsia="Arial" w:hAnsi="Arial"/>
          <w:sz w:val="22"/>
          <w:szCs w:val="22"/>
          <w:b w:val="1"/>
          <w:bCs w:val="1"/>
          <w:color w:val="auto"/>
        </w:rPr>
        <w:t xml:space="preserve">(vii) </w:t>
      </w:r>
      <w:r>
        <w:rPr>
          <w:rFonts w:ascii="Arial" w:cs="Arial" w:eastAsia="Arial" w:hAnsi="Arial"/>
          <w:sz w:val="22"/>
          <w:szCs w:val="22"/>
          <w:color w:val="auto"/>
        </w:rPr>
        <w:t>the consummation of a merger or consolidation involving the Company, or the</w:t>
      </w:r>
      <w:r>
        <w:rPr>
          <w:rFonts w:ascii="Arial" w:cs="Arial" w:eastAsia="Arial" w:hAnsi="Arial"/>
          <w:sz w:val="22"/>
          <w:szCs w:val="22"/>
          <w:b w:val="1"/>
          <w:bCs w:val="1"/>
          <w:color w:val="auto"/>
        </w:rPr>
        <w:t xml:space="preserve"> </w:t>
      </w:r>
      <w:r>
        <w:rPr>
          <w:rFonts w:ascii="Arial" w:cs="Arial" w:eastAsia="Arial" w:hAnsi="Arial"/>
          <w:sz w:val="22"/>
          <w:szCs w:val="22"/>
          <w:color w:val="auto"/>
        </w:rPr>
        <w:t>acceptance by the stockholders of the Company of equity securities in a share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8" w:name="page39"/>
    <w:bookmarkEnd w:id="38"/>
    <w:p>
      <w:pPr>
        <w:jc w:val="both"/>
        <w:spacing w:after="0" w:line="235" w:lineRule="auto"/>
        <w:rPr>
          <w:sz w:val="20"/>
          <w:szCs w:val="20"/>
          <w:color w:val="auto"/>
        </w:rPr>
      </w:pPr>
      <w:r>
        <w:rPr>
          <w:rFonts w:ascii="Arial" w:cs="Arial" w:eastAsia="Arial" w:hAnsi="Arial"/>
          <w:sz w:val="22"/>
          <w:szCs w:val="22"/>
          <w:color w:val="auto"/>
        </w:rPr>
        <w:t>where the Persons who were the beneficial owners of the Company Voting Securities outstanding immediately prior to such merger, consolidation or share exchange, do not beneficially own, directly or indirectly, immediately after such merger, consolidation or share exchange, securities representing more than fifty percent (50%) of the combined voting power of the then-outstanding Company Voting Securities or voting securities of the Acquiring Company in such merger, consolidation or share exchange, in substantially the same proportions as their ownership of the Company Voting Securities immediately prior to such merger, consolidation or share exchange;</w:t>
      </w:r>
    </w:p>
    <w:p>
      <w:pPr>
        <w:spacing w:after="0" w:line="182" w:lineRule="exact"/>
        <w:rPr>
          <w:sz w:val="20"/>
          <w:szCs w:val="20"/>
          <w:color w:val="auto"/>
        </w:rPr>
      </w:pPr>
    </w:p>
    <w:p>
      <w:pPr>
        <w:jc w:val="both"/>
        <w:ind w:firstLine="2246"/>
        <w:spacing w:after="0" w:line="280" w:lineRule="auto"/>
        <w:rPr>
          <w:sz w:val="20"/>
          <w:szCs w:val="20"/>
          <w:color w:val="auto"/>
        </w:rPr>
      </w:pPr>
      <w:r>
        <w:rPr>
          <w:rFonts w:ascii="Arial" w:cs="Arial" w:eastAsia="Arial" w:hAnsi="Arial"/>
          <w:sz w:val="19"/>
          <w:szCs w:val="19"/>
          <w:b w:val="1"/>
          <w:bCs w:val="1"/>
          <w:color w:val="auto"/>
        </w:rPr>
        <w:t xml:space="preserve">(viii) </w:t>
      </w:r>
      <w:r>
        <w:rPr>
          <w:rFonts w:ascii="Arial" w:cs="Arial" w:eastAsia="Arial" w:hAnsi="Arial"/>
          <w:sz w:val="19"/>
          <w:szCs w:val="19"/>
          <w:color w:val="auto"/>
        </w:rPr>
        <w:t>a sale, exchange or other disposition or transfer (in one transaction or a series of</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transactions) of all or substantially all of the assets of the Company; provided, however, that a Change in Control shall not be deemed to have occurred where: (x) the Company sells, exchanges or otherwise disposes or transfers all or substantially all of its assets to another Person which is beneficially owned, directly or indirectly, immediately following such transaction by the holders of Company Voting Securities in substantially the same proportions as their ownership of the Company Voting Securities immediately prior to such transaction; and (y) such Person expressly assumes this Agreement; or</w:t>
      </w:r>
    </w:p>
    <w:p>
      <w:pPr>
        <w:spacing w:after="0" w:line="145"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1"/>
          <w:szCs w:val="21"/>
          <w:b w:val="1"/>
          <w:bCs w:val="1"/>
          <w:color w:val="auto"/>
        </w:rPr>
        <w:t xml:space="preserve">(ix) </w:t>
      </w:r>
      <w:r>
        <w:rPr>
          <w:rFonts w:ascii="Arial" w:cs="Arial" w:eastAsia="Arial" w:hAnsi="Arial"/>
          <w:sz w:val="21"/>
          <w:szCs w:val="21"/>
          <w:color w:val="auto"/>
        </w:rPr>
        <w:t>such time as the Continuing Directors (as defined below) do not constitute at</w:t>
      </w:r>
      <w:r>
        <w:rPr>
          <w:rFonts w:ascii="Arial" w:cs="Arial" w:eastAsia="Arial" w:hAnsi="Arial"/>
          <w:sz w:val="21"/>
          <w:szCs w:val="21"/>
          <w:b w:val="1"/>
          <w:bCs w:val="1"/>
          <w:color w:val="auto"/>
        </w:rPr>
        <w:t xml:space="preserve"> </w:t>
      </w:r>
      <w:r>
        <w:rPr>
          <w:rFonts w:ascii="Arial" w:cs="Arial" w:eastAsia="Arial" w:hAnsi="Arial"/>
          <w:sz w:val="21"/>
          <w:szCs w:val="21"/>
          <w:color w:val="auto"/>
        </w:rPr>
        <w:t>least a majority of the Board (or, if applicable, the board of directors of a successor to the Company), where the term “Continuing Director” means at any date a member of the Board who was: (x) a member of the Board on the Effective Date; or (y)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(it being understood that no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shall be a Continuing Director).</w:t>
      </w:r>
    </w:p>
    <w:p>
      <w:pPr>
        <w:spacing w:after="0" w:line="175"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in Control Period</w:t>
      </w:r>
      <w:r>
        <w:rPr>
          <w:rFonts w:ascii="Arial" w:cs="Arial" w:eastAsia="Arial" w:hAnsi="Arial"/>
          <w:sz w:val="22"/>
          <w:szCs w:val="22"/>
          <w:color w:val="auto"/>
        </w:rPr>
        <w:t>” shall mean the period commencing three (3) months prior to a Change in Control and ending on the eighteen (18)-month anniversary of the Change in Control.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Disability</w:t>
      </w:r>
      <w:r>
        <w:rPr>
          <w:rFonts w:ascii="Arial" w:cs="Arial" w:eastAsia="Arial" w:hAnsi="Arial"/>
          <w:sz w:val="22"/>
          <w:szCs w:val="22"/>
          <w:color w:val="auto"/>
        </w:rPr>
        <w:t>” shall mean permanent and total disability within the meaning of Section 22(e) of the Code.</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shall mean any one of the following: (i) the material reduction of Executive’s Annual Base Salary (other than as part of a reduction in the base salaries of all or substantially all other similarly situated employees of the Company that is in the same proportion as the reduction in your Annual Base Salary); (ii) a material reduction of Executive’s duties and responsibilities from those in effect on the Effective Date; (iii) the Company’s material breach of this Agreement (other than a reduction of your Annual Base Salary as part of a reduction in the base salaries of all or substantially all other similarly situated employees of the Company that is in the same proportion as the reduction in your Annual Base Salary); or (iv) the permanent, non-voluntary relocation of Executive’s principal place of employment that increases Executive’s one-way commute by more than thirty-five</w:t>
      </w:r>
    </w:p>
    <w:p>
      <w:pPr>
        <w:spacing w:after="0" w:line="4" w:lineRule="exact"/>
        <w:rPr>
          <w:sz w:val="20"/>
          <w:szCs w:val="20"/>
          <w:color w:val="auto"/>
        </w:rPr>
      </w:pPr>
    </w:p>
    <w:p>
      <w:pPr>
        <w:ind w:firstLine="8"/>
        <w:spacing w:after="0" w:line="308" w:lineRule="auto"/>
        <w:tabs>
          <w:tab w:leader="none" w:pos="429" w:val="left"/>
        </w:tabs>
        <w:numPr>
          <w:ilvl w:val="0"/>
          <w:numId w:val="32"/>
        </w:numPr>
        <w:rPr>
          <w:rFonts w:ascii="Arial" w:cs="Arial" w:eastAsia="Arial" w:hAnsi="Arial"/>
          <w:sz w:val="19"/>
          <w:szCs w:val="19"/>
          <w:color w:val="auto"/>
        </w:rPr>
      </w:pPr>
      <w:r>
        <w:rPr>
          <w:rFonts w:ascii="Arial" w:cs="Arial" w:eastAsia="Arial" w:hAnsi="Arial"/>
          <w:sz w:val="19"/>
          <w:szCs w:val="19"/>
          <w:color w:val="auto"/>
        </w:rPr>
        <w:t>miles, provided, that, in each case, Executive will not be deemed to have Good Reason unless (A)Executive first provides the Board with written notice of the condition giving rise to Good Reason within thirty (30)days of its initial occurrence, (B)the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9" w:name="page40"/>
    <w:bookmarkEnd w:id="39"/>
    <w:p>
      <w:pPr>
        <w:jc w:val="both"/>
        <w:spacing w:after="0"/>
        <w:rPr>
          <w:sz w:val="20"/>
          <w:szCs w:val="20"/>
          <w:color w:val="auto"/>
        </w:rPr>
      </w:pPr>
      <w:r>
        <w:rPr>
          <w:rFonts w:ascii="Arial" w:cs="Arial" w:eastAsia="Arial" w:hAnsi="Arial"/>
          <w:sz w:val="22"/>
          <w:szCs w:val="22"/>
          <w:color w:val="auto"/>
        </w:rPr>
        <w:t>Company or the successor company fails to cure such condition within ten (10)days after receiving such written notice (the “Cure Period”), and (C)Executive’s resignation based on such Good Reason is effective within thirty (30)days after the expiration of the Cure Period.</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Involuntary Termination</w:t>
      </w:r>
      <w:r>
        <w:rPr>
          <w:rFonts w:ascii="Arial" w:cs="Arial" w:eastAsia="Arial" w:hAnsi="Arial"/>
          <w:sz w:val="22"/>
          <w:szCs w:val="22"/>
          <w:color w:val="auto"/>
        </w:rPr>
        <w:t>” shall mean Executive’s termination (A) by the Company without Cause, (B) by Executive for Good Reason, (C) due to death or (D) due to Disability.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shall mean any individual, corporation, limited liability corporation, partnership, or other business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Todd Harris, certify that:</w:t>
      </w:r>
    </w:p>
    <w:p>
      <w:pPr>
        <w:spacing w:after="0" w:line="212"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Tyra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Todd Harris, Ph.D.</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722"/>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212"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Tyra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Esther van den Boom</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09"/>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Quarterly Report of Tyra Biosciences,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Todd Harris, Ph.D.</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8"/>
              </w:rPr>
              <w:t>Todd Harris, Ph.D.</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507"/>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Quarterly Report of Tyra Biosciences,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Esther van den Boom</w:t>
            </w:r>
          </w:p>
        </w:tc>
      </w:tr>
      <w:tr>
        <w:trPr>
          <w:trHeight w:val="151"/>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Esther van den Boom</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7"/>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
      <w:numFmt w:val="bullet"/>
      <w:start w:val="1"/>
    </w:lvl>
    <w:lvl w:ilvl="1">
      <w:lvlJc w:val="left"/>
      <w:lvlText w:val="•"/>
      <w:numFmt w:val="bullet"/>
      <w:start w:val="1"/>
    </w:lvl>
  </w:abstractNum>
  <w:abstractNum w:abstractNumId="5">
    <w:nsid w:val="628C895D"/>
    <w:multiLevelType w:val="hybridMultilevel"/>
    <w:lvl w:ilvl="0">
      <w:lvlJc w:val="left"/>
      <w:lvlText w:val="•"/>
      <w:numFmt w:val="bullet"/>
      <w:start w:val="1"/>
    </w:lvl>
    <w:lvl w:ilvl="1">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lvl w:ilvl="1">
      <w:lvlJc w:val="left"/>
      <w:lvlText w:val="(%2)"/>
      <w:numFmt w:val="lowerLetter"/>
      <w:start w:val="1"/>
    </w:lvl>
  </w:abstractNum>
  <w:abstractNum w:abstractNumId="13">
    <w:nsid w:val="79838CB2"/>
    <w:multiLevelType w:val="hybridMultilevel"/>
    <w:lvl w:ilvl="0">
      <w:lvlJc w:val="left"/>
      <w:lvlText w:val="%1."/>
      <w:numFmt w:val="decimal"/>
      <w:start w:val="2"/>
    </w:lvl>
    <w:lvl w:ilvl="1">
      <w:lvlJc w:val="left"/>
      <w:lvlText w:val="(%2)"/>
      <w:numFmt w:val="lowerLetter"/>
      <w:start w:val="1"/>
    </w:lvl>
  </w:abstractNum>
  <w:abstractNum w:abstractNumId="14">
    <w:nsid w:val="4353D0CD"/>
    <w:multiLevelType w:val="hybridMultilevel"/>
    <w:lvl w:ilvl="0">
      <w:lvlJc w:val="left"/>
      <w:lvlText w:val="%1"/>
      <w:numFmt w:val="decimal"/>
      <w:start w:val="1"/>
    </w:lvl>
    <w:lvl w:ilvl="1">
      <w:lvlJc w:val="left"/>
      <w:lvlText w:val="(%2)"/>
      <w:numFmt w:val="lowerLetter"/>
      <w:start w:val="8"/>
    </w:lvl>
  </w:abstractNum>
  <w:abstractNum w:abstractNumId="15">
    <w:nsid w:val="B03E0C6"/>
    <w:multiLevelType w:val="hybridMultilevel"/>
    <w:lvl w:ilvl="0">
      <w:lvlJc w:val="left"/>
      <w:lvlText w:val="%1."/>
      <w:numFmt w:val="decimal"/>
      <w:start w:val="4"/>
    </w:lvl>
    <w:lvl w:ilvl="1">
      <w:lvlJc w:val="left"/>
      <w:lvlText w:val="(%2)"/>
      <w:numFmt w:val="lowerLetter"/>
      <w:start w:val="1"/>
    </w:lvl>
  </w:abstractNum>
  <w:abstractNum w:abstractNumId="16">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
    <w:nsid w:val="54E49EB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8">
    <w:nsid w:val="71F3245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9">
    <w:nsid w:val="2CA88611"/>
    <w:multiLevelType w:val="hybridMultilevel"/>
    <w:lvl w:ilvl="0">
      <w:lvlJc w:val="left"/>
      <w:lvlText w:val="(%1)"/>
      <w:numFmt w:val="lowerLetter"/>
      <w:start w:val="4"/>
    </w:lvl>
  </w:abstractNum>
  <w:abstractNum w:abstractNumId="20">
    <w:nsid w:val="836C4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21">
    <w:nsid w:val="2901D8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22">
    <w:nsid w:val="3A95F87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3">
    <w:nsid w:val="813864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8"/>
    </w:lvl>
    <w:lvl w:ilvl="3">
      <w:lvlJc w:val="left"/>
      <w:lvlText w:val="%4"/>
      <w:numFmt w:val="lowerLetter"/>
      <w:start w:val="1"/>
    </w:lvl>
  </w:abstractNum>
  <w:abstractNum w:abstractNumId="24">
    <w:nsid w:val="1E7FF52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lvl w:ilvl="3">
      <w:lvlJc w:val="left"/>
      <w:lvlText w:val="(%4)"/>
      <w:numFmt w:val="lowerLetter"/>
      <w:start w:val="1"/>
    </w:lvl>
  </w:abstractNum>
  <w:abstractNum w:abstractNumId="25">
    <w:nsid w:val="7C3DBD3D"/>
    <w:multiLevelType w:val="hybridMultilevel"/>
    <w:lvl w:ilvl="0">
      <w:lvlJc w:val="left"/>
      <w:lvlText w:val="%1"/>
      <w:numFmt w:val="decimal"/>
      <w:start w:val="1"/>
    </w:lvl>
    <w:lvl w:ilvl="1">
      <w:lvlJc w:val="left"/>
      <w:lvlText w:val="(%2)"/>
      <w:numFmt w:val="lowerLetter"/>
      <w:start w:val="2"/>
    </w:lvl>
  </w:abstractNum>
  <w:abstractNum w:abstractNumId="26">
    <w:nsid w:val="737B8DDC"/>
    <w:multiLevelType w:val="hybridMultilevel"/>
    <w:lvl w:ilvl="0">
      <w:lvlJc w:val="left"/>
      <w:lvlText w:val="%1."/>
      <w:numFmt w:val="decimal"/>
      <w:start w:val="10"/>
    </w:lvl>
    <w:lvl w:ilvl="1">
      <w:lvlJc w:val="left"/>
      <w:lvlText w:val="(%2)"/>
      <w:numFmt w:val="lowerLetter"/>
      <w:start w:val="1"/>
    </w:lvl>
  </w:abstractNum>
  <w:abstractNum w:abstractNumId="27">
    <w:nsid w:val="6CEAF087"/>
    <w:multiLevelType w:val="hybridMultilevel"/>
    <w:lvl w:ilvl="0">
      <w:lvlJc w:val="left"/>
      <w:lvlText w:val="%1"/>
      <w:numFmt w:val="decimal"/>
      <w:start w:val="1"/>
    </w:lvl>
    <w:lvl w:ilvl="1">
      <w:lvlJc w:val="left"/>
      <w:lvlText w:val="(%2)"/>
      <w:numFmt w:val="lowerLetter"/>
      <w:start w:val="3"/>
    </w:lvl>
  </w:abstractNum>
  <w:abstractNum w:abstractNumId="28">
    <w:nsid w:val="22221A70"/>
    <w:multiLevelType w:val="hybridMultilevel"/>
    <w:lvl w:ilvl="0">
      <w:lvlJc w:val="left"/>
      <w:lvlText w:val="%1."/>
      <w:numFmt w:val="decimal"/>
      <w:start w:val="11"/>
    </w:lvl>
    <w:lvl w:ilvl="1">
      <w:lvlJc w:val="left"/>
      <w:lvlText w:val="(%2)"/>
      <w:numFmt w:val="lowerLetter"/>
      <w:start w:val="1"/>
    </w:lvl>
  </w:abstractNum>
  <w:abstractNum w:abstractNumId="29">
    <w:nsid w:val="4516DDE9"/>
    <w:multiLevelType w:val="hybridMultilevel"/>
    <w:lvl w:ilvl="0">
      <w:lvlJc w:val="left"/>
      <w:lvlText w:val="(%1)"/>
      <w:numFmt w:val="lowerLetter"/>
      <w:start w:val="3"/>
    </w:lvl>
  </w:abstractNum>
  <w:abstractNum w:abstractNumId="30">
    <w:nsid w:val="3006C83E"/>
    <w:multiLevelType w:val="hybridMultilevel"/>
    <w:lvl w:ilvl="0">
      <w:lvlJc w:val="left"/>
      <w:lvlText w:val="(%1)"/>
      <w:numFmt w:val="lowerLetter"/>
      <w:start w:val="8"/>
    </w:lvl>
  </w:abstractNum>
  <w:abstractNum w:abstractNumId="31">
    <w:nsid w:val="614FD4A1"/>
    <w:multiLevelType w:val="hybridMultilevel"/>
    <w:lvl w:ilvl="0">
      <w:lvlJc w:val="left"/>
      <w:lvlText w:val="(%1)"/>
      <w:numFmt w:val="decimal"/>
      <w:start w:val="35"/>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169" Type="http://schemas.openxmlformats.org/officeDocument/2006/relationships/hyperlink" Target="https://www.sec.gov/Archives/edgar/data/1863127/000119312521276124/d220261dex31.htm" TargetMode="External"/><Relationship Id="rId170" Type="http://schemas.openxmlformats.org/officeDocument/2006/relationships/hyperlink" Target="https://www.sec.gov/Archives/edgar/data/1863127/000119312521276124/d220261dex32.htm" TargetMode="External"/><Relationship Id="rId171" Type="http://schemas.openxmlformats.org/officeDocument/2006/relationships/hyperlink" Target="https://www.sec.gov/Archives/edgar/data/1863127/000119312521252729/d189651dex41.htm" TargetMode="External"/><Relationship Id="rId172" Type="http://schemas.openxmlformats.org/officeDocument/2006/relationships/hyperlink" Target="https://www.sec.gov/Archives/edgar/data/1863127/000119312521268272/d18965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2022-08-04T16:16:04Z</dcterms:created>
  <dcterms:modified xsi:type="dcterms:W3CDTF">2022-08-04T16:16:04Z</dcterms:modified>
</cp:coreProperties>
</file>