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4692d424b5.htm"/>
        <w:bookmarkStart w:id="1" w:name="ksd84692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424(b)(5)</w:t>
        <w:br/>
        <w:t xml:space="preserve">Registration No. 333-298911 </w:t>
      </w:r>
    </w:p>
    <w:p>
      <w:pPr>
        <w:pStyle w:val="TextBody"/>
        <w:bidi w:val="0"/>
        <w:spacing w:before="12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September 14, 2026)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614170" cy="4851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14170" cy="48514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9,079,000 Shares of Common Stock </w:t>
      </w:r>
    </w:p>
    <w:p>
      <w:pPr>
        <w:pStyle w:val="TextBody"/>
        <w:bidi w:val="0"/>
        <w:spacing w:before="240" w:after="0"/>
        <w:jc w:val="center"/>
        <w:rPr>
          <w:rFonts w:ascii="Times New Roman" w:hAnsi="Times New Roman"/>
          <w:b/>
          <w:sz w:val="28"/>
        </w:rPr>
      </w:pPr>
      <w:r>
        <w:rPr>
          <w:rFonts w:ascii="Times New Roman" w:hAnsi="Times New Roman"/>
          <w:b/>
          <w:sz w:val="28"/>
        </w:rPr>
        <w:t xml:space="preserve">Pre-Funded Warrants to Purchase 9,078,529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9,079,000 shares of our common stock in this offering. We are also offering, in lieu of shares of common stock to certain investors that so choose, pre-funded warrants to purchase 9,078,529 shares of our common stock. The purchase price of each pre-funded warrant equals the price per share at which the shares of our common stock are being sold in this offering, minus $0.001, which is the exercise price of each pre-funded warrant per share. Each pre-funded warrant will be exercisable at any time after the date of issuance of such pre-funded warrant, subject to an ownership limitation. This prospectus supplement also relates to the offering of the shares of our common stock issuable upon the exercise of such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“TYRA.” On September 11, 2026, the last reported sale price of our common stock on the Nasdaq Global Select Market was $22.03 per share of common stock. There is no established public trading market for the pre-funded warrants and we do not expect a market to develop. We do not intend to list the pre-funded warrants on the Nasdaq Global Select Market or any other national securities exchange or nationally recognized trading system. </w:t>
      </w:r>
    </w:p>
    <w:p>
      <w:pPr>
        <w:pStyle w:val="TextBody"/>
        <w:bidi w:val="0"/>
        <w:spacing w:before="240" w:after="0"/>
        <w:jc w:val="left"/>
        <w:rPr/>
      </w:pPr>
      <w:r>
        <w:rPr>
          <w:rFonts w:ascii="Times New Roman" w:hAnsi="Times New Roman"/>
          <w:b/>
          <w:sz w:val="20"/>
        </w:rPr>
        <w:t>Investing in our securities involves risks. See section titled “</w:t>
      </w:r>
      <w:hyperlink w:anchor="suptoc84692_3">
        <w:r>
          <w:rPr>
            <w:rStyle w:val="InternetLink"/>
            <w:rFonts w:ascii="Times New Roman" w:hAnsi="Times New Roman"/>
            <w:b/>
            <w:sz w:val="20"/>
          </w:rPr>
          <w:t>Risk Factors</w:t>
        </w:r>
      </w:hyperlink>
      <w:r>
        <w:rPr>
          <w:rFonts w:ascii="Times New Roman" w:hAnsi="Times New Roman"/>
          <w:b/>
          <w:sz w:val="20"/>
        </w:rPr>
        <w:t xml:space="preserve">” beginning on page S-4 of this prospectus supplement, on page 5 of the accompanying prospectus and the documents incorporated by reference into this prospectus supplement and the accompanying prospectus before you invest in our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791"/>
        <w:gridCol w:w="317"/>
        <w:gridCol w:w="210"/>
        <w:gridCol w:w="1288"/>
        <w:gridCol w:w="60"/>
        <w:gridCol w:w="317"/>
        <w:gridCol w:w="199"/>
        <w:gridCol w:w="1188"/>
        <w:gridCol w:w="60"/>
        <w:gridCol w:w="317"/>
        <w:gridCol w:w="140"/>
        <w:gridCol w:w="1620"/>
        <w:gridCol w:w="65"/>
      </w:tblGrid>
      <w:tr>
        <w:trPr/>
        <w:tc>
          <w:tcPr>
            <w:tcW w:w="2791"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791"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SHARE</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3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PRE-</w:t>
              <w:br/>
              <w:t>FUNDED</w:t>
              <w:br/>
              <w:t>WARRANT</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760"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t> </w:t>
            </w:r>
          </w:p>
        </w:tc>
        <w:tc>
          <w:tcPr>
            <w:tcW w:w="65" w:type="dxa"/>
            <w:tcBorders/>
            <w:vAlign w:val="bottom"/>
          </w:tcPr>
          <w:p>
            <w:pPr>
              <w:pStyle w:val="TableContents"/>
              <w:bidi w:val="0"/>
              <w:spacing w:before="0" w:after="283"/>
              <w:jc w:val="left"/>
              <w:rPr/>
            </w:pPr>
            <w:r>
              <w:rPr/>
              <w:t> </w:t>
            </w:r>
          </w:p>
        </w:tc>
      </w:tr>
      <w:tr>
        <w:trPr/>
        <w:tc>
          <w:tcPr>
            <w:tcW w:w="27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Offering Price</w:t>
            </w:r>
          </w:p>
        </w:tc>
        <w:tc>
          <w:tcPr>
            <w:tcW w:w="317"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b/>
              </w:rPr>
            </w:pPr>
            <w:r>
              <w:rPr>
                <w:b/>
              </w:rPr>
              <w:t>$</w:t>
            </w:r>
          </w:p>
        </w:tc>
        <w:tc>
          <w:tcPr>
            <w:tcW w:w="1288" w:type="dxa"/>
            <w:tcBorders/>
            <w:shd w:fill="CCEEFF" w:val="clear"/>
            <w:vAlign w:val="bottom"/>
          </w:tcPr>
          <w:p>
            <w:pPr>
              <w:pStyle w:val="TableContents"/>
              <w:bidi w:val="0"/>
              <w:spacing w:before="0" w:after="283"/>
              <w:jc w:val="right"/>
              <w:rPr>
                <w:b/>
              </w:rPr>
            </w:pPr>
            <w:r>
              <w:rPr>
                <w:b/>
              </w:rPr>
              <w:t>22.0300</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1188" w:type="dxa"/>
            <w:tcBorders/>
            <w:shd w:fill="CCEEFF" w:val="clear"/>
            <w:vAlign w:val="bottom"/>
          </w:tcPr>
          <w:p>
            <w:pPr>
              <w:pStyle w:val="TableContents"/>
              <w:bidi w:val="0"/>
              <w:spacing w:before="0" w:after="283"/>
              <w:jc w:val="right"/>
              <w:rPr>
                <w:b/>
              </w:rPr>
            </w:pPr>
            <w:r>
              <w:rPr>
                <w:b/>
              </w:rPr>
              <w:t>22.0290</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620" w:type="dxa"/>
            <w:tcBorders/>
            <w:shd w:fill="CCEEFF" w:val="clear"/>
            <w:vAlign w:val="bottom"/>
          </w:tcPr>
          <w:p>
            <w:pPr>
              <w:pStyle w:val="TableContents"/>
              <w:bidi w:val="0"/>
              <w:spacing w:before="0" w:after="283"/>
              <w:jc w:val="right"/>
              <w:rPr>
                <w:b/>
              </w:rPr>
            </w:pPr>
            <w:r>
              <w:rPr>
                <w:b/>
              </w:rPr>
              <w:t>400,001,285.34</w:t>
            </w:r>
          </w:p>
        </w:tc>
        <w:tc>
          <w:tcPr>
            <w:tcW w:w="65" w:type="dxa"/>
            <w:tcBorders/>
            <w:shd w:fill="CCEEFF" w:val="clear"/>
            <w:vAlign w:val="bottom"/>
          </w:tcPr>
          <w:p>
            <w:pPr>
              <w:pStyle w:val="TableContents"/>
              <w:bidi w:val="0"/>
              <w:spacing w:before="0" w:after="283"/>
              <w:jc w:val="left"/>
              <w:rPr/>
            </w:pPr>
            <w:r>
              <w:rPr/>
              <w:t> </w:t>
            </w:r>
          </w:p>
        </w:tc>
      </w:tr>
      <w:tr>
        <w:trPr/>
        <w:tc>
          <w:tcPr>
            <w:tcW w:w="2791"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Commissions(1)</w:t>
            </w:r>
          </w:p>
        </w:tc>
        <w:tc>
          <w:tcPr>
            <w:tcW w:w="317"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b/>
              </w:rPr>
            </w:pPr>
            <w:r>
              <w:rPr>
                <w:b/>
              </w:rPr>
              <w:t>$</w:t>
            </w:r>
          </w:p>
        </w:tc>
        <w:tc>
          <w:tcPr>
            <w:tcW w:w="1288" w:type="dxa"/>
            <w:tcBorders/>
            <w:vAlign w:val="bottom"/>
          </w:tcPr>
          <w:p>
            <w:pPr>
              <w:pStyle w:val="TableContents"/>
              <w:bidi w:val="0"/>
              <w:spacing w:before="0" w:after="283"/>
              <w:jc w:val="right"/>
              <w:rPr>
                <w:b/>
              </w:rPr>
            </w:pPr>
            <w:r>
              <w:rPr>
                <w:b/>
              </w:rPr>
              <w:t>1.3218</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b/>
              </w:rPr>
            </w:pPr>
            <w:r>
              <w:rPr>
                <w:b/>
              </w:rPr>
              <w:t>$</w:t>
            </w:r>
          </w:p>
        </w:tc>
        <w:tc>
          <w:tcPr>
            <w:tcW w:w="1188" w:type="dxa"/>
            <w:tcBorders/>
            <w:vAlign w:val="bottom"/>
          </w:tcPr>
          <w:p>
            <w:pPr>
              <w:pStyle w:val="TableContents"/>
              <w:bidi w:val="0"/>
              <w:spacing w:before="0" w:after="283"/>
              <w:jc w:val="right"/>
              <w:rPr>
                <w:b/>
              </w:rPr>
            </w:pPr>
            <w:r>
              <w:rPr>
                <w:b/>
              </w:rPr>
              <w:t>1.3218</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620" w:type="dxa"/>
            <w:tcBorders/>
            <w:vAlign w:val="bottom"/>
          </w:tcPr>
          <w:p>
            <w:pPr>
              <w:pStyle w:val="TableContents"/>
              <w:bidi w:val="0"/>
              <w:spacing w:before="0" w:after="283"/>
              <w:jc w:val="right"/>
              <w:rPr>
                <w:b/>
              </w:rPr>
            </w:pPr>
            <w:r>
              <w:rPr>
                <w:b/>
              </w:rPr>
              <w:t>24,000,621.83</w:t>
            </w:r>
          </w:p>
        </w:tc>
        <w:tc>
          <w:tcPr>
            <w:tcW w:w="65" w:type="dxa"/>
            <w:tcBorders/>
            <w:vAlign w:val="bottom"/>
          </w:tcPr>
          <w:p>
            <w:pPr>
              <w:pStyle w:val="TableContents"/>
              <w:bidi w:val="0"/>
              <w:spacing w:before="0" w:after="283"/>
              <w:jc w:val="left"/>
              <w:rPr/>
            </w:pPr>
            <w:r>
              <w:rPr/>
              <w:t> </w:t>
            </w:r>
          </w:p>
        </w:tc>
      </w:tr>
      <w:tr>
        <w:trPr/>
        <w:tc>
          <w:tcPr>
            <w:tcW w:w="27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to Tyra Biosciences, Inc., before expenses</w:t>
            </w:r>
          </w:p>
        </w:tc>
        <w:tc>
          <w:tcPr>
            <w:tcW w:w="317"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b/>
              </w:rPr>
            </w:pPr>
            <w:r>
              <w:rPr>
                <w:b/>
              </w:rPr>
              <w:t>$</w:t>
            </w:r>
          </w:p>
        </w:tc>
        <w:tc>
          <w:tcPr>
            <w:tcW w:w="1288" w:type="dxa"/>
            <w:tcBorders/>
            <w:shd w:fill="CCEEFF" w:val="clear"/>
            <w:vAlign w:val="bottom"/>
          </w:tcPr>
          <w:p>
            <w:pPr>
              <w:pStyle w:val="TableContents"/>
              <w:bidi w:val="0"/>
              <w:spacing w:before="0" w:after="283"/>
              <w:jc w:val="right"/>
              <w:rPr>
                <w:b/>
              </w:rPr>
            </w:pPr>
            <w:r>
              <w:rPr>
                <w:b/>
              </w:rPr>
              <w:t>20.7082</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1188" w:type="dxa"/>
            <w:tcBorders/>
            <w:shd w:fill="CCEEFF" w:val="clear"/>
            <w:vAlign w:val="bottom"/>
          </w:tcPr>
          <w:p>
            <w:pPr>
              <w:pStyle w:val="TableContents"/>
              <w:bidi w:val="0"/>
              <w:spacing w:before="0" w:after="283"/>
              <w:jc w:val="right"/>
              <w:rPr>
                <w:b/>
              </w:rPr>
            </w:pPr>
            <w:r>
              <w:rPr>
                <w:b/>
              </w:rPr>
              <w:t>20.7072</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620" w:type="dxa"/>
            <w:tcBorders/>
            <w:shd w:fill="CCEEFF" w:val="clear"/>
            <w:vAlign w:val="bottom"/>
          </w:tcPr>
          <w:p>
            <w:pPr>
              <w:pStyle w:val="TableContents"/>
              <w:bidi w:val="0"/>
              <w:spacing w:before="0" w:after="283"/>
              <w:jc w:val="right"/>
              <w:rPr>
                <w:b/>
              </w:rPr>
            </w:pPr>
            <w:r>
              <w:rPr>
                <w:b/>
              </w:rPr>
              <w:t>376,000,663.51</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See section titled “Underwriting” for a description of the compensation payable to the underwriters.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Delivery of the shares of common stock and the pre-funded warrants is expected to be made on or about September 15, 2026. </w:t>
      </w:r>
    </w:p>
    <w:p>
      <w:pPr>
        <w:pStyle w:val="TextBody"/>
        <w:bidi w:val="0"/>
        <w:spacing w:before="240" w:after="0"/>
        <w:jc w:val="center"/>
        <w:rPr>
          <w:rFonts w:ascii="Times New Roman" w:hAnsi="Times New Roman"/>
          <w:b/>
          <w:i/>
          <w:sz w:val="20"/>
        </w:rPr>
      </w:pPr>
      <w:r>
        <w:rPr>
          <w:rFonts w:ascii="Times New Roman" w:hAnsi="Times New Roman"/>
          <w:b/>
          <w:i/>
          <w:sz w:val="20"/>
        </w:rPr>
        <w:t xml:space="preserve">Joint Book-Running Managers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102"/>
        <w:gridCol w:w="3573"/>
        <w:gridCol w:w="102"/>
        <w:gridCol w:w="1429"/>
        <w:gridCol w:w="101"/>
        <w:gridCol w:w="1633"/>
        <w:gridCol w:w="102"/>
        <w:gridCol w:w="1735"/>
      </w:tblGrid>
      <w:tr>
        <w:trPr/>
        <w:tc>
          <w:tcPr>
            <w:tcW w:w="142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57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283"/>
              <w:jc w:val="left"/>
              <w:rPr>
                <w:b/>
              </w:rPr>
            </w:pPr>
            <w:r>
              <w:rPr>
                <w:b/>
              </w:rPr>
              <w:t>Jefferies</w:t>
            </w:r>
          </w:p>
        </w:tc>
        <w:tc>
          <w:tcPr>
            <w:tcW w:w="102"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283"/>
              <w:jc w:val="center"/>
              <w:rPr>
                <w:b/>
              </w:rPr>
            </w:pPr>
            <w:r>
              <w:rPr>
                <w:b/>
              </w:rPr>
              <w:t>Guggenheim Securities</w:t>
            </w:r>
          </w:p>
        </w:tc>
        <w:tc>
          <w:tcPr>
            <w:tcW w:w="102"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center"/>
              <w:rPr>
                <w:b/>
              </w:rPr>
            </w:pPr>
            <w:r>
              <w:rPr>
                <w:b/>
              </w:rPr>
              <w:t>Cantor</w:t>
            </w:r>
          </w:p>
        </w:tc>
        <w:tc>
          <w:tcPr>
            <w:tcW w:w="101"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center"/>
              <w:rPr>
                <w:b/>
              </w:rPr>
            </w:pPr>
            <w:r>
              <w:rPr>
                <w:b/>
              </w:rPr>
              <w:t>Barclays</w:t>
            </w:r>
          </w:p>
        </w:tc>
        <w:tc>
          <w:tcPr>
            <w:tcW w:w="102" w:type="dxa"/>
            <w:tcBorders/>
            <w:vAlign w:val="bottom"/>
          </w:tcPr>
          <w:p>
            <w:pPr>
              <w:pStyle w:val="TableContents"/>
              <w:bidi w:val="0"/>
              <w:spacing w:before="0" w:after="283"/>
              <w:jc w:val="left"/>
              <w:rPr/>
            </w:pPr>
            <w:r>
              <w:rPr/>
              <w:t> </w:t>
            </w:r>
          </w:p>
        </w:tc>
        <w:tc>
          <w:tcPr>
            <w:tcW w:w="1735" w:type="dxa"/>
            <w:tcBorders/>
            <w:vAlign w:val="bottom"/>
          </w:tcPr>
          <w:p>
            <w:pPr>
              <w:pStyle w:val="TableContents"/>
              <w:bidi w:val="0"/>
              <w:spacing w:before="0" w:after="283"/>
              <w:jc w:val="right"/>
              <w:rPr>
                <w:b/>
              </w:rPr>
            </w:pPr>
            <w:r>
              <w:rPr>
                <w:b/>
              </w:rPr>
              <w:t>William Blair</w:t>
            </w:r>
          </w:p>
        </w:tc>
      </w:tr>
    </w:tbl>
    <w:p>
      <w:pPr>
        <w:pStyle w:val="TextBody"/>
        <w:bidi w:val="0"/>
        <w:spacing w:before="240" w:after="0"/>
        <w:jc w:val="center"/>
        <w:rPr>
          <w:rFonts w:ascii="Times New Roman" w:hAnsi="Times New Roman"/>
          <w:b/>
          <w:i/>
          <w:sz w:val="20"/>
        </w:rPr>
      </w:pPr>
      <w:r>
        <w:rPr>
          <w:rFonts w:ascii="Times New Roman" w:hAnsi="Times New Roman"/>
          <w:b/>
          <w:i/>
          <w:sz w:val="20"/>
        </w:rPr>
        <w:t xml:space="preserve">Lead Managers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164"/>
        <w:gridCol w:w="101"/>
        <w:gridCol w:w="3776"/>
        <w:gridCol w:w="101"/>
        <w:gridCol w:w="3063"/>
      </w:tblGrid>
      <w:tr>
        <w:trPr/>
        <w:tc>
          <w:tcPr>
            <w:tcW w:w="316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77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063" w:type="dxa"/>
            <w:tcBorders/>
            <w:vAlign w:val="center"/>
          </w:tcPr>
          <w:p>
            <w:pPr>
              <w:pStyle w:val="TableContents"/>
              <w:bidi w:val="0"/>
              <w:spacing w:before="0" w:after="283"/>
              <w:jc w:val="left"/>
              <w:rPr>
                <w:sz w:val="4"/>
                <w:szCs w:val="4"/>
              </w:rPr>
            </w:pPr>
            <w:r>
              <w:rPr>
                <w:sz w:val="4"/>
                <w:szCs w:val="4"/>
              </w:rPr>
            </w:r>
          </w:p>
        </w:tc>
      </w:tr>
      <w:tr>
        <w:trPr/>
        <w:tc>
          <w:tcPr>
            <w:tcW w:w="3164" w:type="dxa"/>
            <w:tcBorders/>
          </w:tcPr>
          <w:p>
            <w:pPr>
              <w:pStyle w:val="TableContents"/>
              <w:bidi w:val="0"/>
              <w:spacing w:before="0" w:after="283"/>
              <w:jc w:val="left"/>
              <w:rPr>
                <w:b/>
              </w:rPr>
            </w:pPr>
            <w:r>
              <w:rPr>
                <w:b/>
              </w:rPr>
              <w:t>Wedbush PacGrow</w:t>
            </w:r>
          </w:p>
        </w:tc>
        <w:tc>
          <w:tcPr>
            <w:tcW w:w="101"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283"/>
              <w:jc w:val="center"/>
              <w:rPr>
                <w:b/>
              </w:rPr>
            </w:pPr>
            <w:r>
              <w:rPr>
                <w:b/>
              </w:rPr>
              <w:t>Raymond James</w:t>
            </w:r>
          </w:p>
        </w:tc>
        <w:tc>
          <w:tcPr>
            <w:tcW w:w="101" w:type="dxa"/>
            <w:tcBorders/>
            <w:vAlign w:val="bottom"/>
          </w:tcPr>
          <w:p>
            <w:pPr>
              <w:pStyle w:val="TableContents"/>
              <w:bidi w:val="0"/>
              <w:spacing w:before="0" w:after="283"/>
              <w:jc w:val="left"/>
              <w:rPr/>
            </w:pPr>
            <w:r>
              <w:rPr/>
              <w:t> </w:t>
            </w:r>
          </w:p>
        </w:tc>
        <w:tc>
          <w:tcPr>
            <w:tcW w:w="3063" w:type="dxa"/>
            <w:tcBorders/>
            <w:vAlign w:val="bottom"/>
          </w:tcPr>
          <w:p>
            <w:pPr>
              <w:pStyle w:val="TableContents"/>
              <w:bidi w:val="0"/>
              <w:spacing w:before="0" w:after="283"/>
              <w:jc w:val="right"/>
              <w:rPr>
                <w:b/>
              </w:rPr>
            </w:pPr>
            <w:r>
              <w:rPr>
                <w:b/>
              </w:rPr>
              <w:t>Oppenheimer &amp; Co.</w:t>
            </w:r>
          </w:p>
        </w:tc>
      </w:tr>
    </w:tbl>
    <w:p>
      <w:pPr>
        <w:pStyle w:val="TextBody"/>
        <w:bidi w:val="0"/>
        <w:spacing w:before="240" w:after="0"/>
        <w:jc w:val="center"/>
        <w:rPr>
          <w:rFonts w:ascii="Times New Roman" w:hAnsi="Times New Roman"/>
          <w:sz w:val="20"/>
        </w:rPr>
      </w:pPr>
      <w:r>
        <w:rPr>
          <w:rFonts w:ascii="Times New Roman" w:hAnsi="Times New Roman"/>
          <w:sz w:val="20"/>
        </w:rPr>
        <w:t xml:space="preserve">Prospectus Supplement dated September 14,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tcPr>
          <w:p>
            <w:pPr>
              <w:pStyle w:val="TableContents"/>
              <w:bidi w:val="0"/>
              <w:spacing w:before="0" w:after="0"/>
              <w:jc w:val="left"/>
              <w:rPr>
                <w:rFonts w:ascii="Times New Roman" w:hAnsi="Times New Roman"/>
                <w:b/>
                <w:sz w:val="20"/>
              </w:rPr>
            </w:pPr>
            <w:r>
              <w:rPr>
                <w:rFonts w:ascii="Times New Roman" w:hAnsi="Times New Roman"/>
                <w:b/>
                <w:sz w:val="20"/>
              </w:rPr>
              <w:t>PROSPECTUS SUPPLEMENT</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0"/>
              <w:jc w:val="left"/>
              <w:rPr/>
            </w:pPr>
            <w:hyperlink w:anchor="suptoc84692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S-ii</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84692_2">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84692_3">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84692_4">
              <w:r>
                <w:rPr>
                  <w:rStyle w:val="InternetLink"/>
                  <w:rFonts w:ascii="Times New Roman" w:hAnsi="Times New Roman"/>
                  <w:sz w:val="20"/>
                </w:rPr>
                <w:t>CAUTIONARY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84692_5">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84692_6">
              <w:r>
                <w:rPr>
                  <w:rStyle w:val="InternetLink"/>
                  <w:rFonts w:ascii="Times New Roman" w:hAnsi="Times New Roman"/>
                  <w:sz w:val="20"/>
                </w:rPr>
                <w:t>DILUTION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S-9</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84692_7">
              <w:r>
                <w:rPr>
                  <w:rStyle w:val="InternetLink"/>
                  <w:rFonts w:ascii="Times New Roman" w:hAnsi="Times New Roman"/>
                  <w:sz w:val="20"/>
                </w:rPr>
                <w:t>DESCRIPTION OF PRE-FUNDED WARRANTS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84692_8">
              <w:r>
                <w:rPr>
                  <w:rStyle w:val="InternetLink"/>
                  <w:rFonts w:ascii="Times New Roman" w:hAnsi="Times New Roman"/>
                  <w:sz w:val="20"/>
                </w:rPr>
                <w:t>MATERIAL U.S. FEDERAL INCOME TAX CONSEQUENCES OF OUR COMMON STOCK AND PRE-FUNDED WARRANTS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84692_9">
              <w:r>
                <w:rPr>
                  <w:rStyle w:val="InternetLink"/>
                  <w:rFonts w:ascii="Times New Roman" w:hAnsi="Times New Roman"/>
                  <w:sz w:val="20"/>
                </w:rPr>
                <w:t>UNDERWRITING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84692_10">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S-29</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84692_11">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S-29</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84692_12">
              <w:r>
                <w:rPr>
                  <w:rStyle w:val="InternetLink"/>
                  <w:rFonts w:ascii="Times New Roman" w:hAnsi="Times New Roman"/>
                  <w:sz w:val="20"/>
                </w:rPr>
                <w:t>WHERE YOU CAN FIND MORE INFORMATION; INCORPORATION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S-29</w:t>
            </w:r>
          </w:p>
        </w:tc>
        <w:tc>
          <w:tcPr>
            <w:tcW w:w="62" w:type="dxa"/>
            <w:tcBorders/>
            <w:vAlign w:val="bottom"/>
          </w:tcPr>
          <w:p>
            <w:pPr>
              <w:pStyle w:val="TableContents"/>
              <w:bidi w:val="0"/>
              <w:spacing w:before="0" w:after="283"/>
              <w:jc w:val="left"/>
              <w:rPr/>
            </w:pPr>
            <w:r>
              <w:rPr/>
              <w:t> </w:t>
            </w:r>
          </w:p>
        </w:tc>
      </w:tr>
      <w:tr>
        <w:trPr>
          <w:trHeight w:val="240" w:hRule="atLeast"/>
        </w:trPr>
        <w:tc>
          <w:tcPr>
            <w:tcW w:w="9460" w:type="dxa"/>
            <w:tcBorders/>
            <w:vAlign w:val="center"/>
          </w:tcPr>
          <w:p>
            <w:pPr>
              <w:pStyle w:val="TableContents"/>
              <w:bidi w:val="0"/>
              <w:spacing w:before="0" w:after="283"/>
              <w:jc w:val="left"/>
              <w:rPr>
                <w:sz w:val="4"/>
                <w:szCs w:val="4"/>
              </w:rPr>
            </w:pPr>
            <w:r>
              <w:rPr>
                <w:sz w:val="4"/>
                <w:szCs w:val="4"/>
              </w:rPr>
            </w:r>
          </w:p>
        </w:tc>
        <w:tc>
          <w:tcPr>
            <w:tcW w:w="745" w:type="dxa"/>
            <w:gridSpan w:val="4"/>
            <w:tcBorders/>
            <w:vAlign w:val="center"/>
          </w:tcPr>
          <w:p>
            <w:pPr>
              <w:pStyle w:val="TableContents"/>
              <w:bidi w:val="0"/>
              <w:spacing w:before="0" w:after="283"/>
              <w:jc w:val="left"/>
              <w:rPr>
                <w:sz w:val="4"/>
                <w:szCs w:val="4"/>
              </w:rPr>
            </w:pPr>
            <w:r>
              <w:rPr>
                <w:sz w:val="4"/>
                <w:szCs w:val="4"/>
              </w:rPr>
            </w:r>
          </w:p>
        </w:tc>
      </w:tr>
      <w:tr>
        <w:trPr/>
        <w:tc>
          <w:tcPr>
            <w:tcW w:w="9460" w:type="dxa"/>
            <w:tcBorders/>
          </w:tcPr>
          <w:p>
            <w:pPr>
              <w:pStyle w:val="TableContents"/>
              <w:bidi w:val="0"/>
              <w:spacing w:before="0" w:after="0"/>
              <w:jc w:val="left"/>
              <w:rPr>
                <w:rFonts w:ascii="Times New Roman" w:hAnsi="Times New Roman"/>
                <w:b/>
                <w:sz w:val="20"/>
              </w:rPr>
            </w:pPr>
            <w:r>
              <w:rPr>
                <w:rFonts w:ascii="Times New Roman" w:hAnsi="Times New Roman"/>
                <w:b/>
                <w:sz w:val="20"/>
              </w:rPr>
              <w:t>PROSPECTUS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0"/>
              <w:jc w:val="left"/>
              <w:rPr/>
            </w:pPr>
            <w:hyperlink w:anchor="tx49930_1">
              <w:r>
                <w:rPr>
                  <w:rStyle w:val="InternetLink"/>
                  <w:rFonts w:ascii="Times New Roman" w:hAnsi="Times New Roman"/>
                  <w:sz w:val="20"/>
                </w:rPr>
                <w:t>ABOUT THIS PROSPECTUS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49930_2">
              <w:r>
                <w:rPr>
                  <w:rStyle w:val="InternetLink"/>
                  <w:rFonts w:ascii="Times New Roman" w:hAnsi="Times New Roman"/>
                  <w:sz w:val="20"/>
                </w:rPr>
                <w:t>WHERE YOU CAN FIND MORE INFORMATION; INCORPORATION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49930_3">
              <w:r>
                <w:rPr>
                  <w:rStyle w:val="InternetLink"/>
                  <w:rFonts w:ascii="Times New Roman" w:hAnsi="Times New Roman"/>
                  <w:sz w:val="20"/>
                </w:rPr>
                <w:t>THE COMPANY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49930_4">
              <w:r>
                <w:rPr>
                  <w:rStyle w:val="InternetLink"/>
                  <w:rFonts w:ascii="Times New Roman" w:hAnsi="Times New Roman"/>
                  <w:sz w:val="20"/>
                </w:rPr>
                <w:t xml:space="preserve">RISK FACTORS </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49930_5">
              <w:r>
                <w:rPr>
                  <w:rStyle w:val="InternetLink"/>
                  <w:rFonts w:ascii="Times New Roman" w:hAnsi="Times New Roman"/>
                  <w:sz w:val="20"/>
                </w:rPr>
                <w:t xml:space="preserve">CAUTIONARY NOTE REGARDING FORWARD-LOOKING STATEMENTS </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49930_6">
              <w:r>
                <w:rPr>
                  <w:rStyle w:val="InternetLink"/>
                  <w:rFonts w:ascii="Times New Roman" w:hAnsi="Times New Roman"/>
                  <w:sz w:val="20"/>
                </w:rPr>
                <w:t xml:space="preserve">USE OF PROCEEDS </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49930_7">
              <w:r>
                <w:rPr>
                  <w:rStyle w:val="InternetLink"/>
                  <w:rFonts w:ascii="Times New Roman" w:hAnsi="Times New Roman"/>
                  <w:sz w:val="20"/>
                </w:rPr>
                <w:t>DESCRIPTION OF CAPITAL STOCK</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49930_8">
              <w:r>
                <w:rPr>
                  <w:rStyle w:val="InternetLink"/>
                  <w:rFonts w:ascii="Times New Roman" w:hAnsi="Times New Roman"/>
                  <w:sz w:val="20"/>
                </w:rPr>
                <w:t>DESCRIPTION OF DEBT SECURITIES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49930_9">
              <w:r>
                <w:rPr>
                  <w:rStyle w:val="InternetLink"/>
                  <w:rFonts w:ascii="Times New Roman" w:hAnsi="Times New Roman"/>
                  <w:sz w:val="20"/>
                </w:rPr>
                <w:t>DESCRIPTION OF OTHER SECURITIES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49930_10">
              <w:r>
                <w:rPr>
                  <w:rStyle w:val="InternetLink"/>
                  <w:rFonts w:ascii="Times New Roman" w:hAnsi="Times New Roman"/>
                  <w:sz w:val="20"/>
                </w:rPr>
                <w:t>GLOBAL SECURITIES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49930_11">
              <w:r>
                <w:rPr>
                  <w:rStyle w:val="InternetLink"/>
                  <w:rFonts w:ascii="Times New Roman" w:hAnsi="Times New Roman"/>
                  <w:sz w:val="20"/>
                </w:rPr>
                <w:t>PLAN OF DISTRIBUTION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49930_12">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49930_13">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any of the underwriters have authorized anyone to provide information different from that contained in this prospectus supplement. When you make a decision about whether to invest in our securities, you should not rely upon any information other than the information in this prospectus supplement. Neither the delivery of this prospectus supplement nor the sale of our securities means that information contained in this prospectus supplement is correct after the date of this prospectus supplement. This prospectus supplement is not an offer to sell or solicitation of an offer to buy our securities in any circumstances under which the offer or solicitation is unlawful.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toc84692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dated September 14, 2026 are part of a registration statement that we filed with the Securities and Exchange Commission (the SEC) as a “well-known seasoned issuer” as defined in Rule 405 under the Securities Act of 1933, as amended (the Securities Act), utilizing a “shelf” registration process. This prospectus supplement and the accompanying prospectus relate to the offer by us of shares of our common stock and pre-funded warrants to certain investors. We provide information to you about this offering of shares of our common stock and pre-funded warrants in two separate documents that are bound together: (1) this prospectus supplement, which describes the specific details regarding this offering; and (2) the accompanying prospectus, which provides general information, some of which may not apply to this offering. Generally, when we refer to this “prospectus supplement,” we are referring to both documents combined. If information in this prospectus supplement is inconsistent with the accompanying prospectus, you should rely on this prospectus supplement. However, if any statement in one of these documents is inconsistent with a statement in another document having a later date—for example, a document incorporated by reference in this prospectus supplement or the accompanying prospectus—the statement in the document having the later date modifies or supersedes the earlier statement as our business, financial condition, results of operations and prospects may have changed since the earlier dates. You should read this prospectus supplement, the accompanying prospectus, the documents and information incorporated by reference in this prospectus supplement and the accompanying prospectus, and any free writing prospectus that we have authorized for use in connection with this offering when making your investment decision. You should also read and consider the information in the documents we have referred you to under the headings “Where You Can Find More Information;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information contained in or incorporated by reference into this prospectus supplement and the accompanying prospectus or any free writing prospectus prepared by or on behalf of us or to which we have referred you. We have not, and the underwriters have not, authorized anyone to provide you with information that is different. Neither we nor any of the underwriters take responsibility for, or provide assurance as to the reliability of, any other information that others may give you. We are offering to sell and seeking offers to buy shares of our common stock and pre-funded warrants only in jurisdictions where offers and sales are permitted. The information contained in this prospectus supplement, the accompanying prospectus, the documents and information incorporated by reference in this prospectus supplement and the accompanying prospectus, and any free writing prospectus that we have authorized for use in connection with this offering are accurate only as of their respective dates, regardless of the time of delivery of this prospectus supplement or of any sale of our common stock or pre-funded warrants. This prospectus supplement and the accompanying prospectus do not constitute an offer to sell or the solicitation of an offer to buy any securities other than the securities described in this prospectus supplement and the accompanying prospectus, or an offer to sell or the solicitation of an offer to buy such securities in any circumstances in which such offer or solicitation is unlawful.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supplement, unless the context otherwise indicates, the terms “Tyra,” the “Company,” “we,” “our” and “us” or similar terms refer to Tyra Biosciences, Inc. </w:t>
      </w:r>
    </w:p>
    <w:p>
      <w:pPr>
        <w:pStyle w:val="TextBody"/>
        <w:bidi w:val="0"/>
        <w:spacing w:before="240" w:after="0"/>
        <w:jc w:val="left"/>
        <w:rPr>
          <w:rFonts w:ascii="Times New Roman" w:hAnsi="Times New Roman"/>
          <w:sz w:val="20"/>
        </w:rPr>
      </w:pPr>
      <w:r>
        <w:rPr>
          <w:rFonts w:ascii="Times New Roman" w:hAnsi="Times New Roman"/>
          <w:sz w:val="20"/>
        </w:rPr>
        <w:t xml:space="preserve">We use our trademarks in this prospectus supplement as well as trademarks, tradenames and service marks that are the property of other organizations. Solely for convenience, trademarks and tradenames referred to in this prospectus supplement appear without the ® and  symbols, but those references are not intended to indicate, in any way, that we will not assert, to the fullest extent under applicable law, our rights or that the applicable owner will not assert its rights to these trademarks and tradenames.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suptoc84692_2"/>
      <w:bookmarkEnd w:id="4"/>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items in the following summary are described in more detail later in this prospectus supplement and in the accompanying prospectus. This summary provides an overview of selected information and does not contain all the information you should consider before investing in our common stock and pre-funded warrants. Therefore, you should read the entire prospectus supplement, the accompanying prospectus and any free writing prospectus that we have authorized for use in connection with this offering carefully, including the “Risk Factors” section, and other documents or information included or incorporated by reference in this prospectus supplement and the accompanying prospectus before making any investment decision.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biotechnology company focused on developing next-generation precision medicines that target large opportunities in Fibroblast Growth Factor Receptor (FGFR) biology. Our in-house precision medicine platform, SNÅP, enables rapid and precise drug design through iterative molecular SNÅPshots that help us design and predict which candidates may demonstrate the highest potency, selectivity and tolerability in the clinic. Our expertise in FGFR biology has created a differentiated pipeline with clinical-stage programs in targeted oncology and genetically defined conditions. Our lead precision candidate stemming from SNÅP, oral dabogratinib, is a potential first-in-class selective FGFR3 inhibitor in development for low-grade upper tract urothelial carcinoma, low-grade intermediate-risk non-muscle invasive bladder cancer and achondroplasia. We are also developing TYRA-430, an oral, investigational FGFR4/3-biased inhibitor for FGF19+/FGFR4-driven cancers, in the SURF431 study for advanced hepatocellular carcinoma, and TYRA-200, an oral, investigational FGFR1/2/3 inhibitor, in the SURF201 study for metastatic intrahepatic cholangiocarcinoma.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under the laws of the state of Delaware on August 2, 2018. Our principal executive offices are located at 2656 State Street, Carlsbad, California 92008, and our telephone number is (619) 728-4760. Our website address is www.tyra.bio. The information on, or accessible through, our website is not part of, and is not incorporated into, this prospectus supplement or the accompanying prospectus and should not be considered part of this prospectus supplement or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us </w:t>
            </w:r>
          </w:p>
        </w:tc>
        <w:tc>
          <w:tcPr>
            <w:tcW w:w="6327" w:type="dxa"/>
            <w:tcBorders/>
          </w:tcPr>
          <w:p>
            <w:pPr>
              <w:pStyle w:val="TableContents"/>
              <w:bidi w:val="0"/>
              <w:spacing w:before="0" w:after="283"/>
              <w:jc w:val="left"/>
              <w:rPr/>
            </w:pPr>
            <w:r>
              <w:rPr/>
              <w:t xml:space="preserve">9,079,000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Pre-funded warrants offered by us </w:t>
            </w:r>
          </w:p>
        </w:tc>
        <w:tc>
          <w:tcPr>
            <w:tcW w:w="6328" w:type="dxa"/>
            <w:tcBorders/>
          </w:tcPr>
          <w:p>
            <w:pPr>
              <w:pStyle w:val="TableContents"/>
              <w:bidi w:val="0"/>
              <w:spacing w:before="0" w:after="283"/>
              <w:jc w:val="left"/>
              <w:rPr/>
            </w:pPr>
            <w:r>
              <w:rPr/>
              <w:t xml:space="preserve">We are also offering, in lieu of common stock to certain investors, pre-funded warrants to purchase 9,078,529 shares of our common stock. The purchase price of each pre-funded warrant equals the price per share at which the shares of our common stock are being sold in this offering, minus $0.001, which is the exercise price of each pre-funded warrant per share. Each pre-funded warrant will be exercisable at any time after the date of issuance of such pre-funded warrant until the date the warrant is exercised in full, subject to an ownership limitation. See the section titled “Description of Pre-Funded Warrants” on page S-11 in this prospectus supplement. This prospectus supplement also relates to the offering of the shares of our common stock issuable upon exercise of the pre-funded warrants.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to be outstanding immediately </w:t>
              <w:br/>
              <w:t xml:space="preserve">after this offering </w:t>
            </w:r>
          </w:p>
        </w:tc>
        <w:tc>
          <w:tcPr>
            <w:tcW w:w="6329" w:type="dxa"/>
            <w:tcBorders/>
          </w:tcPr>
          <w:p>
            <w:pPr>
              <w:pStyle w:val="TableContents"/>
              <w:bidi w:val="0"/>
              <w:spacing w:before="0" w:after="283"/>
              <w:jc w:val="left"/>
              <w:rPr/>
            </w:pPr>
            <w:r>
              <w:rPr/>
              <w:t xml:space="preserve">68,741,877 shares, assuming no exercise of any pre-funded warrants offered and sold by us in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7" w:type="dxa"/>
            <w:tcBorders/>
          </w:tcPr>
          <w:p>
            <w:pPr>
              <w:pStyle w:val="TableContents"/>
              <w:bidi w:val="0"/>
              <w:spacing w:before="0" w:after="283"/>
              <w:jc w:val="left"/>
              <w:rPr/>
            </w:pPr>
            <w:r>
              <w:rPr/>
              <w:t xml:space="preserve">We intend to use the net proceeds from this offering, together with our existing cash, cash equivalents and marketable securities, to advance our “dabogratinib 3x3” development strategy in low-grade upper tract urothelial carcinoma (LG-UTUC), intermediate-risk non-muscle invasive bladder cancer (IR NMIBC) and achondroplasia (ACH), as well as to support our preclinical and drug discovery programs, working capital and other general corporate purposes. See the section titled “Use of Proceeds” on page S-8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7" w:type="dxa"/>
            <w:tcBorders/>
          </w:tcPr>
          <w:p>
            <w:pPr>
              <w:pStyle w:val="TableContents"/>
              <w:bidi w:val="0"/>
              <w:spacing w:before="0" w:after="283"/>
              <w:jc w:val="left"/>
              <w:rPr/>
            </w:pPr>
            <w:r>
              <w:rPr/>
              <w:t xml:space="preserve">See the section titled “Risk Factors” on page S-4 in this prospectus supplement and other information included in, or incorporated by reference into, this prospectus supplement for a discussion of certain factors you should carefully consider before deciding to invest in shares of our common stock or pre-funded warrants.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Global Select Market symbol </w:t>
            </w:r>
          </w:p>
        </w:tc>
        <w:tc>
          <w:tcPr>
            <w:tcW w:w="6326" w:type="dxa"/>
            <w:tcBorders/>
          </w:tcPr>
          <w:p>
            <w:pPr>
              <w:pStyle w:val="TableContents"/>
              <w:bidi w:val="0"/>
              <w:spacing w:before="0" w:after="283"/>
              <w:jc w:val="left"/>
              <w:rPr/>
            </w:pPr>
            <w:r>
              <w:rPr/>
              <w:t>“</w:t>
            </w:r>
            <w:r>
              <w:rPr/>
              <w:t xml:space="preserve">TYRA”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There is no established public trading market for the pre-funded warrants, and we do not expect a market to develop. We do not intend to list the pre-funded warrants on the Nasdaq Global Select Market or any other national securities exchange or nationally recognized trading system. Without an active trading market, the liquidity of the pre-funded warrants will be limited. See section titled “Description of Pre-Funded Warrants” on page S-11 in this prospectus supplement.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common stock to be outstanding immediately after this offering is based on 59,662,877 shares outstanding as of June 30, 2026, and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14,409,364 shares of common stock issuable upon the exercise of options outstanding as of June 30, 2026, at a weighted-average exercise price of $16.54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455,750 shares of common stock issuable upon the vesting of restricted stock units outstanding as of June 30,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6,381,950 shares of our common stock that are issuable upon the exercise of pre-funded warrants outstanding as of June 30, 2026, with an exercise price of $0.001 per share;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4,189,420 shares of common stock reserved for future issuance under our 2021 Incentive Award Plan and our 2021 Employee Stock Purchase Plan as of June 30, 2026.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Except as otherwise indicated, all information in this prospectus supplement assumes no exercise of outstanding options or pre-funded warrants, including the pre-funded warrants offered herein, or settlement of the outstanding restricted stock units referred to above.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pursuant to that certain Sales Agreement with TD Securities (USA) LLC (the Sales Agent), dated May 8, 2025, as amended on August 4, 2026 (the Sales Agreement), we may issue and sell from time to time through the Sales Agent shares of our common stock, in an aggregate amount not to exceed $250.0 million. As of the date of this prospectus supplement, $250.0 million of common stock remains available for sale under the Sales Agreement. We have agreed not to make any sales under the Sales Agreement until 30 days following the date of this prospectus as described in the section titled “Underwriting.”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suptoc84692_3"/>
      <w:bookmarkEnd w:id="5"/>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consider carefully the risks described below and discussed under the section captioned “Risk Factors” contained in our Annual Report on Form 10-K for the year ended December 31, 2025 as updated by our subsequent filings under the Securities Exchange Act of 1934, as amended (the Exchange Act), which are incorporated by reference in this prospectus supplement and the accompanying prospectus in their entirety, together with other information in this prospectus supplement, the accompanying prospectus and the information and documents incorporated by reference in this prospectus supplement and the accompanying prospectus, and any free writing prospectus that we have authorized for use in connection with this offering before you make a decision to invest in our common stock and pre-funded warrants. If any of the following events actually occur, our business, operating results, prospects or financial condition could be materially and adversely affected. This could cause the trading price of our common stock to decline and you may lose all or part of your investment. The risks described below are not the only ones that we face. Additional risks not presently known to us or that we currently deem immaterial may also affect our business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you purchase shares of our common stock or pre-funded warrants sold in this offering, you will experience immediate and substantial dilution in the net tangible book value of your shares. In addition, we may issue additional equity or convertible debt securities in the future, which may result in additional dilution to investors. </w:t>
      </w:r>
    </w:p>
    <w:p>
      <w:pPr>
        <w:pStyle w:val="TextBody"/>
        <w:bidi w:val="0"/>
        <w:spacing w:before="120" w:after="0"/>
        <w:jc w:val="left"/>
        <w:rPr>
          <w:rFonts w:ascii="Times New Roman" w:hAnsi="Times New Roman"/>
          <w:sz w:val="20"/>
        </w:rPr>
      </w:pPr>
      <w:r>
        <w:rPr>
          <w:rFonts w:ascii="Times New Roman" w:hAnsi="Times New Roman"/>
          <w:sz w:val="20"/>
        </w:rPr>
        <w:t xml:space="preserve">The offering price per share of common stock and pre-funded warrants in this offering is considerably more than the net tangible book value per share of our outstanding common stock. As a result, investors purchasing shares of common stock or pre-funded warrants in this offering will pay a price per share that substantially exceeds the value of our tangible assets after subtracting liabilities. Based upon the offering price of $22.03 per share of common stock and $22.029 per pre-funded warrant, and assuming no exercise of the pre-funded warrants issued in this offering, new investors will incur immediate dilution of $11.45 per share based on the net tangible book value as of June 30, 2026. For a more detailed discussion of the foregoing, see the section titled “Dilution” on page S-9 in this prospectus supplement. To the extent outstanding stock options or pre-funded warrants are exercised, there will be further dilution to new investors. In addition, to the extent we need to raise additional capital in the future and we issue additional shares of common stock or securities convertible or exchangeable for our common stock, our then existing stockholders may experience dilution, and the new securities may have rights senior to those of our common stock offered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In addition, pursuant to the Sales Agreement, we may issue and sell from time to time through the Sales Agent shares of our common stock, in an aggregate amount not to exceed $250.0 million. As of the date of this prospectus supplement, $250.0 million of common stock remains available for sale under the Sales Agreement. To the extent that we sell additional shares of our common stock pursuant to the Sales Agreement subsequent to this offering, investors purchasing the securities in this offering could experience further dilution.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broad discretion in the use of the net proceeds from this offering and may not use them effectively.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will have broad discretion in the application of the net proceeds from this offering,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We expect to use the net proceeds from this offering, together with our existing cash, cash equivalents and marketable securities, to advance our “dabogratinib 3x3” development strategy in low-grade upper tract urothelial carcinoma (LG-UTUC), intermediate-risk non-muscle invasive bladder cancer (IR NMIBC) and achondroplasia (ACH), as well as to support our preclinical and drug discovery programs, working capital and other general corporate purposes.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failure by our management to apply these funds effectively could harm our business. Pending their use, we may invest the net proceeds from this offering into capital preservation investments, including interest-bearing, investment-grade securities, certificates of deposit or government securities. These investments may not yield a favorable return to our stockholders. If we do not invest or apply the net proceeds from this offering in ways that enhance stockholder value, we may fail to achieve expected financial results, which could cause our stock price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is no public market for the pre-funded warrants being offered in this offering. The pre-funded warrants are not listed on any exchange, and we do not intend to list the pre-funded warrants on any exchange. </w:t>
      </w:r>
    </w:p>
    <w:p>
      <w:pPr>
        <w:pStyle w:val="TextBody"/>
        <w:bidi w:val="0"/>
        <w:spacing w:before="120" w:after="0"/>
        <w:jc w:val="left"/>
        <w:rPr>
          <w:rFonts w:ascii="Times New Roman" w:hAnsi="Times New Roman"/>
          <w:sz w:val="20"/>
        </w:rPr>
      </w:pPr>
      <w:r>
        <w:rPr>
          <w:rFonts w:ascii="Times New Roman" w:hAnsi="Times New Roman"/>
          <w:sz w:val="20"/>
        </w:rPr>
        <w:t xml:space="preserve">If you purchase pre-funded warrants, you may be unable to sell such warrants at the prices desired or at all. There is no existing trading market for the pre-funded warrants and there can be no assurance that a liquid market will develop or be maintained for the pre-funded warrants, or that you will be able to sell any of the pre-funded warrants at a particular time (if at all). In addition, we do not intend to apply for listing of the pre-funded warrants on the Nasdaq Global Select Market or any other securities exchange or nationally recognized trading system. Without an active trading market, the liquidity of the pre-funded warrants will be limited.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not receive a significant amount of or any additional funds upon the exercise of the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Each pre-funded warrant will be exercisable for $0.001 per share of common stock underlying such warrant, which may be paid by way of a cashless exercise, in which the holder would receive upon such exercise the net number of shares of common stock determined according to the formula set forth in the pre-funded warrant. Accordingly, we will not receive a significant amount of or any additional funds upon the exercise of the pre-funded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the pre-funded warrants will have no rights as stockholders until such holders exercise their pre-funded warrants and acquire shares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Until holders of the pre-funded warrants exercise their pre-funded warrants and acquire shares of our common stock, such holders will have no rights with respect to the shares of our common stock underlying such pre-funded warrants. Upon exercise of the pre-funded warrants, the holders will be entitled to exercise the rights of a holder of common stock only as to matters for which the record date occurs after the exercise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Significant holders or beneficial owners of our common stock may not be permitted to exercise the pre-funded warrants that they hold. </w:t>
      </w:r>
    </w:p>
    <w:p>
      <w:pPr>
        <w:pStyle w:val="TextBody"/>
        <w:bidi w:val="0"/>
        <w:spacing w:before="120" w:after="0"/>
        <w:jc w:val="left"/>
        <w:rPr>
          <w:rFonts w:ascii="Times New Roman" w:hAnsi="Times New Roman"/>
          <w:sz w:val="20"/>
        </w:rPr>
      </w:pPr>
      <w:r>
        <w:rPr>
          <w:rFonts w:ascii="Times New Roman" w:hAnsi="Times New Roman"/>
          <w:sz w:val="20"/>
        </w:rPr>
        <w:t xml:space="preserve">A holder of the pre-funded warrants will not be entitled to exercise any portion of any pre-funded warrant that, upon giving effect to such exercise, would cause the aggregate number of shares of our common stock beneficially owned by such holder (together with its affiliates) to exceed 4.99% or such other specified percentage of the number of shares of our common stock outstanding immediately after giving effect to the exercise, as such percentage ownership is determined in accordance with the terms of the pre-funded warrants and subject to such holder’s rights under the pre-funded warrants to increase or decrease such percentage to any other percentage not in excess of 19.99% upon at least 61 days’ prior notice from the holder to us. The beneficial ownership limitation may not be waived and applies to any successor holder. As a result, you may not be able to exercise your pre-funded warrants for shares of our common stock at a time when it would be financially beneficial for you to do so. In such a circumstance, you could seek to sell your pre-funded warrants to realize value, but you may be unable to do so in the absence of an established trading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we do not maintain a current and effective registration statement relating to the shares of common stock issuable upon exercise of the pre-funded warrants, holders will only be able to exercise such pre-funded warrants on a “cashless basis.” </w:t>
      </w:r>
    </w:p>
    <w:p>
      <w:pPr>
        <w:pStyle w:val="TextBody"/>
        <w:bidi w:val="0"/>
        <w:spacing w:before="120" w:after="0"/>
        <w:jc w:val="left"/>
        <w:rPr>
          <w:rFonts w:ascii="Times New Roman" w:hAnsi="Times New Roman"/>
          <w:sz w:val="20"/>
        </w:rPr>
      </w:pPr>
      <w:r>
        <w:rPr>
          <w:rFonts w:ascii="Times New Roman" w:hAnsi="Times New Roman"/>
          <w:sz w:val="20"/>
        </w:rPr>
        <w:t xml:space="preserve">If we do not maintain a current and effective registration statement relating to the shares of common stock issuable upon exercise of the pre-funded warrants at the time that holders wish to exercise such pre-funded warrants, they will only be able to exercise them on a “cashless basis” provided that an exemption from registration is available. As a result, the number of shares of common stock that holders will receive upon exercise of the pre-funded warrants will be fewer than it would have been had such holder exercised their warrant for cash, and holders may be limited in their ability to immediately sell shares upon exercise, subject to volume or other securities law limitations. Further, if an exemption from registration is not available, holders would not be able to exercise on a cashless basis and would only be able to exercise their pre-funded warrants for cash if a current and effective registration statement relating to the shares of common stock issuable upon exercise of the pre-funded warrants is available.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toc84692_4"/>
      <w:bookmarkEnd w:id="6"/>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including the documents incorporated by reference herein and therein, and any free writing prospectus that we have authorized for use in connection with this offering contain forward-looking statements within the meaning of Section 27A of the Securities Act and Section 21E of the Exchange Act. All statements other than statements of historical facts contained in this prospectus supplement, the accompanying prospectus and the documents incorporated by reference herein are forward-looking statements, including statements regarding our future results of operations and financial position, business strategy, and research and development plans, the anticipated timing and phase of development, costs, design and conduct of our ongoing and planned preclinical studies and clinical trials for our product candidates, the potential benefits of regulatory designations, the timing and likelihood of regulatory filings and approvals for our product candidates, the potential to develop product candidates and the safety and therapeutic benefits of our product candidates, our ability to commercialize our product candidates, if approved, the pricing and reimbursement of our product candidates, if approved, the timing and likelihood of success, plans and objectives of management for future operations and future results of anticipated product development efforts, and the anticipated use of our existing cash, cash equivalents and marketable securities and the net proceeds from this offering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prospectus supplement, the accompanying prospectus and the documents incorporated by reference herein and therein also contain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 </w:t>
      </w:r>
    </w:p>
    <w:p>
      <w:pPr>
        <w:pStyle w:val="TextBody"/>
        <w:bidi w:val="0"/>
        <w:spacing w:before="240" w:after="0"/>
        <w:jc w:val="left"/>
        <w:rPr>
          <w:rFonts w:ascii="Times New Roman" w:hAnsi="Times New Roman"/>
          <w:sz w:val="20"/>
        </w:rPr>
      </w:pPr>
      <w:r>
        <w:rPr>
          <w:rFonts w:ascii="Times New Roman" w:hAnsi="Times New Roman"/>
          <w:sz w:val="20"/>
        </w:rPr>
        <w:t xml:space="preserve">In some cases, you can identify forward-looking statements by terms such as “anticipate,” “believe,” “contemplate,” “continue,” “could,” “estimate,” “expect,” “intend,” “may,” “plan,” “potential,” “predict,” “project,” “should,” “target,” “will” or “would” or the negative of these terms or other similar expressions. The forward-looking statements in this prospectus supplement, the accompanying prospectus and the documents incorporated by reference herein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supplement and are subject to a number of risks, uncertainties and assumptions, which we discuss in greater detail in the documents incorporated by reference herein, including under the heading “Risk Factors” and elsewhere in this prospectus supplement.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Given these risks and uncertainties, you should not place undue reliance on these forward-looking statements. Except as required by applicable law, we do not plan to publicly update or revise any forward-looking statements contained in this prospectus supplement, the accompanying prospectus or the documents incorporated by reference herein or therein, whether as a result of any new information, future events, changed circumstances or otherwise. All forward-looking statements are qualified in their entirety by this cautionary statement, which is made under the safe harbor provisions of the Private Securities Litigation Reform Act of 1995.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toc84692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we will receive net proceeds of approximately $373.9 million from the sale of shares of common stock and pre-funded warrants offered by us in this offering, after deducting the underwriting discounts and commissions and estimated offering expenses payable by us. We will receive nominal proceeds, if any, from any exercise of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this offering, together with our existing cash, cash equivalents and marketable securities, to advance our “dabogratinib 3x3” development strategy in low-grade upper tract urothelial carcinoma (LG-UTUC), intermediate-risk non-muscle invasive bladder cancer (IR NMIBC) and achondroplasia (ACH), as well as to support our preclinical and drug discovery programs, working capital and other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The amounts and timing of our actual expenditures will depend on numerous factors, including the factors described under “Risk Factors” in this prospectus supplement and in the documents incorporated by reference herein, as well as the amount of cash used in our operations. We may find it necessary or advisable to use the net proceeds from this offering for other purposes, and we will have broad discretion in the application of the net proceeds. Pending the uses described above, we plan to invest the net proceeds from this offering into capital preservation investments, including interest-bearing, investment-grade securities, certificates of deposit or government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toc84692_6"/>
      <w:bookmarkEnd w:id="8"/>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invest in our common stock or pre-funded warrants in this offering, your interest will be diluted to the extent of the difference between the offering price per share of common stock or pre-funded warrant and the net tangible book value per share of our common stock or pre-funded warrants after this offering.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our net tangible book value was $353.7 million, or $5.93 per share of our common stock, based on 59,662,877 shares of our common stock outstanding as of June 30, 2026. Our net tangible book value per share represents the amount of our total tangible assets reduced by the amount of our total liabilities, divided by the total number of shares of our common stock outstanding as of June 30, 2026.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the issuance and sale in this offering of (i) 9,079,000 shares of our common stock at the offering price of $22.03 per share and (ii) pre-funded warrants to purchase 9,078,529 shares of common stock in the offering at the offering price of $22.029 per pre-funded warrant (which equals the price per share at which the shares of common stock are being sold in this offering, minus the $0.001 per share exercise price of each such pre-funded warrant), and after deducting the underwriting discounts and commissions and estimated offering expenses payable by us and excluding proceeds, if any, from the exercise of the pre-funded warrants issued pursuant to this offering or any resulting accounting associated with the pre-funded warrants, our as adjusted net tangible book value as of June 30, 2026 would have been approximately $727.6 million, or $10.58 per share of common stock. This represents an immediate increase in net tangible book value of $4.65 per share to our existing stockholders and immediate dilution of $11.45 per share to new investors purchasing our common stock and pre-funded warrants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illustrates this dilution on a per share basis, assuming no exercise of the pre-funded warrants issued in this offering.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258"/>
        <w:gridCol w:w="248"/>
        <w:gridCol w:w="140"/>
        <w:gridCol w:w="444"/>
        <w:gridCol w:w="60"/>
        <w:gridCol w:w="248"/>
        <w:gridCol w:w="140"/>
        <w:gridCol w:w="605"/>
        <w:gridCol w:w="62"/>
      </w:tblGrid>
      <w:tr>
        <w:trPr/>
        <w:tc>
          <w:tcPr>
            <w:tcW w:w="8258"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2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Offering price per share</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05" w:type="dxa"/>
            <w:tcBorders/>
            <w:shd w:fill="CCEEFF" w:val="clear"/>
            <w:vAlign w:val="bottom"/>
          </w:tcPr>
          <w:p>
            <w:pPr>
              <w:pStyle w:val="TableContents"/>
              <w:bidi w:val="0"/>
              <w:spacing w:before="0" w:after="283"/>
              <w:jc w:val="right"/>
              <w:rPr/>
            </w:pPr>
            <w:r>
              <w:rPr/>
              <w:t>22.03</w:t>
            </w:r>
          </w:p>
        </w:tc>
        <w:tc>
          <w:tcPr>
            <w:tcW w:w="62" w:type="dxa"/>
            <w:tcBorders/>
            <w:shd w:fill="CCEEFF" w:val="clear"/>
            <w:vAlign w:val="bottom"/>
          </w:tcPr>
          <w:p>
            <w:pPr>
              <w:pStyle w:val="TableContents"/>
              <w:bidi w:val="0"/>
              <w:spacing w:before="0" w:after="283"/>
              <w:jc w:val="left"/>
              <w:rPr/>
            </w:pPr>
            <w:r>
              <w:rPr/>
              <w:t> </w:t>
            </w:r>
          </w:p>
        </w:tc>
      </w:tr>
      <w:tr>
        <w:trPr/>
        <w:tc>
          <w:tcPr>
            <w:tcW w:w="8258" w:type="dxa"/>
            <w:tcBorders/>
          </w:tcPr>
          <w:p>
            <w:pPr>
              <w:pStyle w:val="TableContents"/>
              <w:bidi w:val="0"/>
              <w:spacing w:before="0" w:after="0"/>
              <w:jc w:val="left"/>
              <w:rPr>
                <w:rFonts w:ascii="Times New Roman" w:hAnsi="Times New Roman"/>
                <w:sz w:val="20"/>
              </w:rPr>
            </w:pPr>
            <w:r>
              <w:rPr>
                <w:rFonts w:ascii="Times New Roman" w:hAnsi="Times New Roman"/>
                <w:sz w:val="20"/>
              </w:rPr>
              <w:t>Net tangible book value per share at June 30, 2026</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44" w:type="dxa"/>
            <w:tcBorders/>
            <w:vAlign w:val="bottom"/>
          </w:tcPr>
          <w:p>
            <w:pPr>
              <w:pStyle w:val="TableContents"/>
              <w:bidi w:val="0"/>
              <w:spacing w:before="0" w:after="283"/>
              <w:jc w:val="right"/>
              <w:rPr/>
            </w:pPr>
            <w:r>
              <w:rPr/>
              <w:t>5.93</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0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2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net tangible book value per share attributable to investors participating in this offering</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4.65</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05"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8258"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0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258"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at June 30, 2026, after giving effect to this offering</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right"/>
              <w:rPr/>
            </w:pPr>
            <w:r>
              <w:rPr/>
              <w:t>10.58</w:t>
            </w:r>
          </w:p>
        </w:tc>
        <w:tc>
          <w:tcPr>
            <w:tcW w:w="62" w:type="dxa"/>
            <w:tcBorders/>
            <w:vAlign w:val="bottom"/>
          </w:tcPr>
          <w:p>
            <w:pPr>
              <w:pStyle w:val="TableContents"/>
              <w:bidi w:val="0"/>
              <w:spacing w:before="0" w:after="283"/>
              <w:jc w:val="left"/>
              <w:rPr/>
            </w:pPr>
            <w:r>
              <w:rPr/>
              <w:t> </w:t>
            </w:r>
          </w:p>
        </w:tc>
      </w:tr>
      <w:tr>
        <w:trPr/>
        <w:tc>
          <w:tcPr>
            <w:tcW w:w="8258"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05"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82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investors participating in this offering</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05" w:type="dxa"/>
            <w:tcBorders/>
            <w:shd w:fill="CCEEFF" w:val="clear"/>
            <w:vAlign w:val="bottom"/>
          </w:tcPr>
          <w:p>
            <w:pPr>
              <w:pStyle w:val="TableContents"/>
              <w:bidi w:val="0"/>
              <w:spacing w:before="0" w:after="283"/>
              <w:jc w:val="right"/>
              <w:rPr/>
            </w:pPr>
            <w:r>
              <w:rPr/>
              <w:t>11.45</w:t>
            </w:r>
          </w:p>
        </w:tc>
        <w:tc>
          <w:tcPr>
            <w:tcW w:w="62" w:type="dxa"/>
            <w:tcBorders/>
            <w:shd w:fill="CCEEFF" w:val="clear"/>
            <w:vAlign w:val="bottom"/>
          </w:tcPr>
          <w:p>
            <w:pPr>
              <w:pStyle w:val="TableContents"/>
              <w:bidi w:val="0"/>
              <w:spacing w:before="0" w:after="283"/>
              <w:jc w:val="left"/>
              <w:rPr/>
            </w:pPr>
            <w:r>
              <w:rPr/>
              <w:t> </w:t>
            </w:r>
          </w:p>
        </w:tc>
      </w:tr>
      <w:tr>
        <w:trPr/>
        <w:tc>
          <w:tcPr>
            <w:tcW w:w="8258"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05"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Times New Roman" w:hAnsi="Times New Roman"/>
          <w:sz w:val="20"/>
        </w:rPr>
      </w:pPr>
      <w:r>
        <w:rPr>
          <w:rFonts w:ascii="Times New Roman" w:hAnsi="Times New Roman"/>
          <w:sz w:val="20"/>
        </w:rPr>
        <w:t xml:space="preserve">In addition, the foregoing table and calculations (other than net tangible book value calculations) are based on 59,662,877 shares outstanding as of June 30, 2026, and exclude: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14,409,364 shares of common stock issuable upon the exercise of options outstanding as of June 30, 2026, at a weighted-average exercise price of $16.54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455,750 shares of common stock issuable upon the vesting of restricted stock units outstanding as of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6,381,950 shares of our common stock that are issuable upon the exercise of pre-funded warrants outstanding as of June 30, 2026, with an exercise price of $0.001 per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4,189,420 shares of common stock reserved for future issuance under our 2021 Incentive Award Plan and our 2021 Employee Stock Purchase Plan as of June 30,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as otherwise indicated, all information in this prospectus supplement assumes no exercise of outstanding options or pre-funded warrants, including the pre-funded warrants offered herein, or settlement of the outstanding restricted stock units referred to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toc84692_7"/>
      <w:bookmarkEnd w:id="9"/>
      <w:r>
        <w:rPr>
          <w:rFonts w:ascii="Times New Roman" w:hAnsi="Times New Roman"/>
          <w:b/>
          <w:sz w:val="20"/>
        </w:rPr>
        <w:t xml:space="preserve">DESCRIPTION OF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brief summary of certain terms and conditions of the pre-funded warrants being offered in this offering. The following description is subject to and qualified in its entirety by the form of pre-funded warrant. </w:t>
      </w:r>
    </w:p>
    <w:p>
      <w:pPr>
        <w:pStyle w:val="TextBody"/>
        <w:bidi w:val="0"/>
        <w:spacing w:before="360" w:after="0"/>
        <w:jc w:val="left"/>
        <w:rPr>
          <w:rFonts w:ascii="Times New Roman" w:hAnsi="Times New Roman"/>
          <w:b/>
          <w:sz w:val="20"/>
        </w:rPr>
      </w:pPr>
      <w:r>
        <w:rPr>
          <w:rFonts w:ascii="Times New Roman" w:hAnsi="Times New Roman"/>
          <w:b/>
          <w:sz w:val="20"/>
        </w:rPr>
        <w:t xml:space="preserve">Form </w:t>
      </w:r>
    </w:p>
    <w:p>
      <w:pPr>
        <w:pStyle w:val="TextBody"/>
        <w:bidi w:val="0"/>
        <w:spacing w:before="120" w:after="0"/>
        <w:jc w:val="left"/>
        <w:rPr>
          <w:rFonts w:ascii="Times New Roman" w:hAnsi="Times New Roman"/>
          <w:sz w:val="20"/>
        </w:rPr>
      </w:pPr>
      <w:r>
        <w:rPr>
          <w:rFonts w:ascii="Times New Roman" w:hAnsi="Times New Roman"/>
          <w:sz w:val="20"/>
        </w:rPr>
        <w:t xml:space="preserve">The pre-funded warrants will be issued as individual warrant agreements to the purchasers. The form of pre-funded warrant will be filed as an exhibit to a Current Report on Form 8-K that we will file with the SEC in connection with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Term </w:t>
      </w:r>
    </w:p>
    <w:p>
      <w:pPr>
        <w:pStyle w:val="TextBody"/>
        <w:bidi w:val="0"/>
        <w:spacing w:before="120" w:after="0"/>
        <w:jc w:val="left"/>
        <w:rPr>
          <w:rFonts w:ascii="Times New Roman" w:hAnsi="Times New Roman"/>
          <w:sz w:val="20"/>
        </w:rPr>
      </w:pPr>
      <w:r>
        <w:rPr>
          <w:rFonts w:ascii="Times New Roman" w:hAnsi="Times New Roman"/>
          <w:sz w:val="20"/>
        </w:rPr>
        <w:t xml:space="preserve">The pre-funded warrants will not expire until they are fully exercised. </w:t>
      </w:r>
    </w:p>
    <w:p>
      <w:pPr>
        <w:pStyle w:val="TextBody"/>
        <w:bidi w:val="0"/>
        <w:spacing w:before="360" w:after="0"/>
        <w:jc w:val="left"/>
        <w:rPr>
          <w:rFonts w:ascii="Times New Roman" w:hAnsi="Times New Roman"/>
          <w:b/>
          <w:sz w:val="20"/>
        </w:rPr>
      </w:pPr>
      <w:r>
        <w:rPr>
          <w:rFonts w:ascii="Times New Roman" w:hAnsi="Times New Roman"/>
          <w:b/>
          <w:sz w:val="20"/>
        </w:rPr>
        <w:t xml:space="preserve">Exercisability </w:t>
      </w:r>
    </w:p>
    <w:p>
      <w:pPr>
        <w:pStyle w:val="TextBody"/>
        <w:bidi w:val="0"/>
        <w:spacing w:before="120" w:after="0"/>
        <w:jc w:val="left"/>
        <w:rPr>
          <w:rFonts w:ascii="Times New Roman" w:hAnsi="Times New Roman"/>
          <w:sz w:val="20"/>
        </w:rPr>
      </w:pPr>
      <w:r>
        <w:rPr>
          <w:rFonts w:ascii="Times New Roman" w:hAnsi="Times New Roman"/>
          <w:sz w:val="20"/>
        </w:rPr>
        <w:t xml:space="preserve">The pre-funded warrants will be exercisable at any time until they are fully exercised. The pre-funded warrants will be exercisable, at the option of each holder, in whole or in part, by delivering to us a duly executed exercise notice and payment of the exercise price. No fractional shares of common stock will be issued in connection with the exercise of a pre-funded warrant. In lieu of any fractional shares that would otherwise be issuable, the number of shares of common stock to be issued shall be rounded down to the next whole number and we shall pay the holder in cash the fair market value (based on the Closing Sale Price, as defined in the pre-funded warrant) for any such fractional shares. The holder of the pre-funded warrants may also satisfy its obligation to pay the exercise price through a “cashless exercise,” in which the holder receives the net value of the pre-funded warrant in shares of common stock determined according to the formula set forth in the pre-funded warrant. </w:t>
      </w:r>
    </w:p>
    <w:p>
      <w:pPr>
        <w:pStyle w:val="TextBody"/>
        <w:bidi w:val="0"/>
        <w:spacing w:before="360" w:after="0"/>
        <w:jc w:val="left"/>
        <w:rPr>
          <w:rFonts w:ascii="Times New Roman" w:hAnsi="Times New Roman"/>
          <w:b/>
          <w:sz w:val="20"/>
        </w:rPr>
      </w:pPr>
      <w:r>
        <w:rPr>
          <w:rFonts w:ascii="Times New Roman" w:hAnsi="Times New Roman"/>
          <w:b/>
          <w:sz w:val="20"/>
        </w:rPr>
        <w:t xml:space="preserve">Exercise Limitations </w:t>
      </w:r>
    </w:p>
    <w:p>
      <w:pPr>
        <w:pStyle w:val="TextBody"/>
        <w:bidi w:val="0"/>
        <w:spacing w:before="120" w:after="0"/>
        <w:jc w:val="left"/>
        <w:rPr>
          <w:rFonts w:ascii="Times New Roman" w:hAnsi="Times New Roman"/>
          <w:sz w:val="20"/>
        </w:rPr>
      </w:pPr>
      <w:r>
        <w:rPr>
          <w:rFonts w:ascii="Times New Roman" w:hAnsi="Times New Roman"/>
          <w:sz w:val="20"/>
        </w:rPr>
        <w:t xml:space="preserve">We may not effect the exercise of any pre-funded warrant, and a holder will not be entitled to exercise any portion of any pre-funded warrant that, upon giving effect to such exercise, would cause the aggregate number of shares of common stock beneficially owned by such holder (together with its affiliates) to exceed 4.99% (or such other percentage that was elected by each holder prior to the issuance of the pre-funded warrants) of the number of shares of common stock outstanding immediately after giving effect to the exercise, as such percentage ownership is set forth in accordance with the terms of the pre-funded warrants. However, any holder of a pre-funded warrant may increase or decrease such percentage upon at least 61 days’ prior written notice from the holder to us, provided that such percentage may not be in excess of 19.99%. </w:t>
      </w:r>
    </w:p>
    <w:p>
      <w:pPr>
        <w:pStyle w:val="TextBody"/>
        <w:bidi w:val="0"/>
        <w:spacing w:before="360" w:after="0"/>
        <w:jc w:val="left"/>
        <w:rPr>
          <w:rFonts w:ascii="Times New Roman" w:hAnsi="Times New Roman"/>
          <w:b/>
          <w:sz w:val="20"/>
        </w:rPr>
      </w:pPr>
      <w:r>
        <w:rPr>
          <w:rFonts w:ascii="Times New Roman" w:hAnsi="Times New Roman"/>
          <w:b/>
          <w:sz w:val="20"/>
        </w:rPr>
        <w:t xml:space="preserve">Certain Adjustments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of the pre-funded warrants for shares of common stock to be issued upon the exercise of the pre-funded warrants is $0.001 per share. The exercise price of the pre-funded warrants and the number of shares of common stock issuable upon exercise of the pre-funded warrants are subject to appropriate adjustment in the event of certain stock dividends and distributions, stock splits, stock combinations, reclassifications or similar events affecting our shares of common stock, as well as upon any distribution of assets, including cash, stock or other property, to our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laws, the pre-funded warrants may be offered for sale, sold, transferred or assigned without our consent.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We do not intend to list the pre-funded warrants on the Nasdaq Global Select Market, any other national securities exchange or any other nationally recognized trading system. </w:t>
      </w:r>
    </w:p>
    <w:p>
      <w:pPr>
        <w:pStyle w:val="TextBody"/>
        <w:bidi w:val="0"/>
        <w:spacing w:before="360" w:after="0"/>
        <w:jc w:val="left"/>
        <w:rPr>
          <w:rFonts w:ascii="Times New Roman" w:hAnsi="Times New Roman"/>
          <w:b/>
          <w:sz w:val="20"/>
        </w:rPr>
      </w:pPr>
      <w:r>
        <w:rPr>
          <w:rFonts w:ascii="Times New Roman" w:hAnsi="Times New Roman"/>
          <w:b/>
          <w:sz w:val="20"/>
        </w:rPr>
        <w:t xml:space="preserve">Warrant Agent </w:t>
      </w:r>
    </w:p>
    <w:p>
      <w:pPr>
        <w:pStyle w:val="TextBody"/>
        <w:bidi w:val="0"/>
        <w:spacing w:before="120" w:after="0"/>
        <w:jc w:val="left"/>
        <w:rPr>
          <w:rFonts w:ascii="Times New Roman" w:hAnsi="Times New Roman"/>
          <w:sz w:val="20"/>
        </w:rPr>
      </w:pPr>
      <w:r>
        <w:rPr>
          <w:rFonts w:ascii="Times New Roman" w:hAnsi="Times New Roman"/>
          <w:sz w:val="20"/>
        </w:rPr>
        <w:t xml:space="preserve">We will initially serve as the warrant agent under the pre-funded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Fundamental Transactions </w:t>
      </w:r>
    </w:p>
    <w:p>
      <w:pPr>
        <w:pStyle w:val="TextBody"/>
        <w:bidi w:val="0"/>
        <w:spacing w:before="120" w:after="0"/>
        <w:jc w:val="left"/>
        <w:rPr>
          <w:rFonts w:ascii="Times New Roman" w:hAnsi="Times New Roman"/>
          <w:sz w:val="20"/>
        </w:rPr>
      </w:pPr>
      <w:r>
        <w:rPr>
          <w:rFonts w:ascii="Times New Roman" w:hAnsi="Times New Roman"/>
          <w:sz w:val="20"/>
        </w:rPr>
        <w:t xml:space="preserve">Upon the consummation of a fundamental transaction (as described in the pre-funded warrants), the holders of the pre-funded warrants will be entitled to receive, upon exercise of the pre-funded warrants, the kind and amount of securities, cash, or other property that such holders would have received had they exercised the pre-funded warrants immediately prior to such fundamental transaction, without regard to any limitations on exercise contained in the pre-funded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No Rights as a Stockholder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set forth in the form of pre-funded warrant or by virtue of such holder’s ownership of shares of our common stock, the holder of a pre-funded warrant does not have the rights or privileges of a holder of shares of our common stock, including any voting rights, until such holder exercises the pre-funded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toc84692_8"/>
      <w:bookmarkEnd w:id="10"/>
      <w:r>
        <w:rPr>
          <w:rFonts w:ascii="Times New Roman" w:hAnsi="Times New Roman"/>
          <w:b/>
          <w:sz w:val="20"/>
        </w:rPr>
        <w:t xml:space="preserve">MATERIAL U.S. FEDERAL INCOME TAX CONSEQUENCES OF OUR COMMON STOCK AND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is a summary of the material U.S. federal income tax consequences of the purchase, ownership, and disposition of our common stock and pre-funded warrants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or the Code, U.S. Treasury regulations promulgated thereunder, or the Treasury Regulations, judicial decisions, and published rulings and administrative pronouncements of the U.S. Internal Revenue Service, or the IRS, in each case, as in effect as of the date of this offering. These authorities may change or be subject to differing interpretations. Any such change or differing interpretation may be applied retroactively in a manner that could adversely affect a holder of our common stock or pre-funded warrants. We have not sought and do not currently intend to seek any rulings from the IRS regarding the matters discussed below. There can be no assurance that the IRS or a court will not take a contrary position to that discussed below regarding the tax consequences of the purchase, ownership, and disposition of our common stock or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holders that hold our common stock or pre-funded warrants as “capital assets” within the meaning of Section 1221 of the Code (generally, property held for investment). This discussion does not address all U.S. federal income tax consequences relevant to a holder’s particular circumstances, including the impact of the Medicare contribution tax on net investment income and the alternative minimum tax. In addition, it does not address consequences relevant to holders subject to special rules,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our common stock or pre-funded warrants as part of a hedge, straddle or other risk reduction strategy, or as part of a conversion transaction or other integrated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or regulated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or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controlled foreign corporations,” “foreign controlled foreign corporations,” “passive foreign investment companies,”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 corporations, partnerships or other entities or arrangements treated as pass-through entities for U.S. federal income tax purposes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our common stock or pre-funded warrants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qualified foreign pension funds” as defined in Section 897(l)(2) of the Code and entities all of the interests of which are held by qualified foreign pension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persons whose “functional currency” is not the United States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special tax accounting rules as a result of any item of gross income with respect to our common stock or pre-funded warrants being taken into account in an applicable financial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 our common stock or pre-funded warrants pursuant to the exercise of any employee stock option or otherwise as compensation;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an entity or arrangement treated as a partnership for U.S. federal income tax purposes holds our common stock or pre-funded warrants, the tax treatment of a partner in the partnership will depend on the status of the partner, the activities of the partnership, and certain determinations made at the partner level. Accordingly, entities or arrangements treated as partnerships for U.S. federal income tax purposes that hold our common stock or pre-funded warrants and the partners in such partnerships should consult their tax advisors regarding the U.S. federal income tax consequences to them. </w:t>
      </w:r>
    </w:p>
    <w:p>
      <w:pPr>
        <w:pStyle w:val="TextBody"/>
        <w:bidi w:val="0"/>
        <w:spacing w:before="240" w:after="0"/>
        <w:jc w:val="left"/>
        <w:rPr>
          <w:rFonts w:ascii="Times New Roman" w:hAnsi="Times New Roman"/>
          <w:b/>
          <w:sz w:val="20"/>
        </w:rPr>
      </w:pPr>
      <w:r>
        <w:rPr>
          <w:rFonts w:ascii="Times New Roman" w:hAnsi="Times New Roman"/>
          <w:b/>
          <w:sz w:val="20"/>
        </w:rPr>
        <w:t xml:space="preserve">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COMMON STOCK OR PRE-FUNDED WARRANTS ARISING UNDER THE U.S. FEDERAL ESTATE OR GIFT TAX LAWS OR UNDER THE LAWS OF ANY STATE, LOCAL OR NON-U.S. TAXING JURISDICTION, OR UNDER ANY APPLICABLE INCOME TAX TREATY. </w:t>
      </w:r>
    </w:p>
    <w:p>
      <w:pPr>
        <w:pStyle w:val="TextBody"/>
        <w:bidi w:val="0"/>
        <w:spacing w:before="360" w:after="0"/>
        <w:jc w:val="left"/>
        <w:rPr>
          <w:rFonts w:ascii="Times New Roman" w:hAnsi="Times New Roman"/>
          <w:b/>
          <w:sz w:val="20"/>
        </w:rPr>
      </w:pPr>
      <w:r>
        <w:rPr>
          <w:rFonts w:ascii="Times New Roman" w:hAnsi="Times New Roman"/>
          <w:b/>
          <w:sz w:val="20"/>
        </w:rPr>
        <w:t xml:space="preserve">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Although it is not entirely free from doubt, a pre-funded warrant should be treated as a share of our common stock for U.S. federal income tax purposes, and a holder of a pre-funded warrant should generally be taxed in the same manner as a holder of such common stock, as described below. Accordingly, no gain or loss should be recognized (other than with respect to any cash paid in lieu of a fractional share) upon the exercise of a pre-funded warrant and, upon exercise, the holding period of a pre-funded warrant should carry over to the common stock received. Similarly, the tax basis of the pre-funded warrant should carry over to the common stock received upon exercise, increased by the exercise price per share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Our characterization is not binding on the IRS, and the IRS may treat our pre-funded warrants as warrants to acquire our common stock. In that case, the amount and character of your gain or loss with respect to an investment in our pre-funded warrants could be materially different from the discussion set forth below. Accordingly, each holder should consult such holder’s tax advisor regarding the risks associated with the acquisition of pre-funded warrants pursuant to this offering (including potential alternative characterizations). The remainder of this discussion generally assumes that a pre-funded warrant is treated as a share of our common stock for U.S. federal income tax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Tax Considerations Applicable to 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Definition of a U.S. Holder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“U.S. holder” is a beneficial owner of our common stock or pre-funded warrants that, for U.S. federal income tax purposes, is or is treated as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that (1) is subject to the primary supervision of a U.S. court and one or more “United States persons” (within the meaning of Section 7701(a)(30) of the Code) have the authority to control all substantial decisions of the trust, or (2) has a valid election in effect to be treated as a United States person for U.S. federal income tax purposes.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 xml:space="preserve">We do not intend to pay cash dividends to our stockholders in the foreseeable future. However, if we do make distributions of cash or property on our common stock or pre-funded warrants, such distributions will constitute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dividends for U.S. federal income tax purposes to the extent paid from our current or accumulated earnings and profits, as determined under U.S. federal income tax principles. Dividends received by a corporate U.S. holder may be eligible for a dividends received deduction, subject to applicable limitations. Dividends received by certain non-corporate U.S. holders, including individuals, are generally taxed at the lower applicable capital gains rate provided certain holding period and other requirements are satisfied. </w:t>
      </w:r>
    </w:p>
    <w:p>
      <w:pPr>
        <w:pStyle w:val="TextBody"/>
        <w:bidi w:val="0"/>
        <w:spacing w:before="240" w:after="0"/>
        <w:jc w:val="left"/>
        <w:rPr>
          <w:rFonts w:ascii="Times New Roman" w:hAnsi="Times New Roman"/>
          <w:sz w:val="20"/>
        </w:rPr>
      </w:pPr>
      <w:r>
        <w:rPr>
          <w:rFonts w:ascii="Times New Roman" w:hAnsi="Times New Roman"/>
          <w:sz w:val="20"/>
        </w:rPr>
        <w:t>Amounts not treated as dividends for U.S. federal income tax purposes will constitute a return of capital and first be applied against and reduce a U.S. holder’s adjusted tax basis in our common stock or pre-funded warrants, but not below zero. Any excess will be treated as capital gain and will be treated as described below under “—</w:t>
      </w:r>
      <w:r>
        <w:rPr>
          <w:rFonts w:ascii="Times New Roman" w:hAnsi="Times New Roman"/>
          <w:i/>
          <w:sz w:val="20"/>
        </w:rPr>
        <w:t>Tax Considerations Applicable to U.S. Holders</w:t>
      </w:r>
      <w:r>
        <w:rPr>
          <w:rFonts w:ascii="Times New Roman" w:hAnsi="Times New Roman"/>
          <w:sz w:val="20"/>
        </w:rPr>
        <w:t>—</w:t>
      </w:r>
      <w:r>
        <w:rPr>
          <w:rFonts w:ascii="Times New Roman" w:hAnsi="Times New Roman"/>
          <w:i/>
          <w:sz w:val="20"/>
        </w:rPr>
        <w:t>Sale or Other Taxable Disposition</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Constructive Distributions on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A U.S. holder of pre-funded warrants may, in some circumstances, be deemed to have received a distribution subject to U.S. federal income tax as a result of an adjustment or the non-occurrence of an adjustment to the exercise price or number of shares of common stock issuable upon exercise of such pre-funded warrants. U.S. holders should consult their tax advisors regarding the proper treatment of any adjustments or the non-occurrence of an adjustment to pre-funded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or Other Taxable Disposition </w:t>
      </w:r>
    </w:p>
    <w:p>
      <w:pPr>
        <w:pStyle w:val="TextBody"/>
        <w:bidi w:val="0"/>
        <w:spacing w:before="120" w:after="0"/>
        <w:jc w:val="left"/>
        <w:rPr>
          <w:rFonts w:ascii="Times New Roman" w:hAnsi="Times New Roman"/>
          <w:sz w:val="20"/>
        </w:rPr>
      </w:pPr>
      <w:r>
        <w:rPr>
          <w:rFonts w:ascii="Times New Roman" w:hAnsi="Times New Roman"/>
          <w:sz w:val="20"/>
        </w:rPr>
        <w:t xml:space="preserve">Upon the sale, exchange, or other taxable disposition of the common stock or pre-funded warrants, a U.S. holder generally will recognize capital gain or loss equal to the difference between (i) the amount of cash and the fair market value of any property received upon the sale, exchange or other taxable disposition and (ii) such U.S. holder’s adjusted tax basis in the common stock or pre-funded warrants. Such capital gain or loss will be long term capital gain or loss if the U.S. holder’s holding period in such common stock or pre-funded warrants is more than one year at the time of the sale, exchange or other taxable disposition. Long-term capital gains recognized by certain non-corporate U.S. holders, including individuals, generally will be subject to reduced rates of U.S. federal income tax. The deductibility of capital losses is subject to certain limitations.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A U.S. holder may be subject to information reporting and backup withholding if such holder receives distributions on the common stock or pre-funded warrants (including constructive distributions) or receives proceeds from the sale or other taxable disposition of common stock or pre-funded warrants. Certain U.S. holders are exempt from backup withholding. A U.S. holder will be subject to backup withholding if such holder is not otherwise exempt and such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fails to furnish the holder’s taxpayer identification number, which for an individual is ordinarily such individual’s social security number;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furnishes an incorrect taxpayer identification number;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notified by the IRS that the holder previously failed to properly report payments of interest or dividends;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fails to certify under penalties of perjury that the holder has furnished a correct taxpayer identification number and that the IRS has not notified the holder that the holder is subject to backup withholding.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Tax Considerations Applicable to Non-U.S.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Definition of a Non-U.S. Holder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“non-U.S. holder” is a beneficial owner of our common stock or pre-funded warrants that is neither a U.S. holder nor an entity or arrangement treated as a partnership for U.S. federal income tax purposes.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 xml:space="preserve">We do not intend to pay cash dividends to our stockholders in the foreseeable future. However, if we do make distributions of cash or property on our common stock or pre-funded warrants, such distributions will constitute dividends for U.S. federal income tax purposes to the extent paid from our current or accumulated earnings and profits, as determined under U.S. federal income tax principles. </w:t>
      </w:r>
    </w:p>
    <w:p>
      <w:pPr>
        <w:pStyle w:val="TextBody"/>
        <w:bidi w:val="0"/>
        <w:spacing w:before="240" w:after="0"/>
        <w:jc w:val="left"/>
        <w:rPr>
          <w:rFonts w:ascii="Times New Roman" w:hAnsi="Times New Roman"/>
          <w:sz w:val="20"/>
        </w:rPr>
      </w:pPr>
      <w:r>
        <w:rPr>
          <w:rFonts w:ascii="Times New Roman" w:hAnsi="Times New Roman"/>
          <w:sz w:val="20"/>
        </w:rPr>
        <w:t>Amounts not treated as dividends for U.S. federal income tax purposes will constitute a return of capital and first be applied against and reduce a non-U.S. holder’s adjusted tax basis in our common stock or pre-funded warrants, but not below zero. Any excess will be treated as capital gain and will be treated as described below under “—</w:t>
      </w:r>
      <w:r>
        <w:rPr>
          <w:rFonts w:ascii="Times New Roman" w:hAnsi="Times New Roman"/>
          <w:i/>
          <w:sz w:val="20"/>
        </w:rPr>
        <w:t>Sale or Other Taxable Disposition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discussion below on effectively connected income, backup withholding and foreign accounts,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such lower rate under an income tax treaty between the United States and the country in which the non-U.S. holder resides or is established). This certification must be provided to the applicable withholding agent prior to the payment of dividends and must be updated periodically. A non-U.S. holder that does not timely furnish the required documentation, but that qualifies for a reduced treaty rate, may obtain a refund of any excess amounts withheld by timely filing an appropriate claim for refund with the IRS. </w:t>
      </w:r>
    </w:p>
    <w:p>
      <w:pPr>
        <w:pStyle w:val="TextBody"/>
        <w:bidi w:val="0"/>
        <w:spacing w:before="240" w:after="0"/>
        <w:jc w:val="left"/>
        <w:rPr>
          <w:rFonts w:ascii="Times New Roman" w:hAnsi="Times New Roman"/>
          <w:sz w:val="20"/>
        </w:rPr>
      </w:pPr>
      <w:r>
        <w:rPr>
          <w:rFonts w:ascii="Times New Roman" w:hAnsi="Times New Roman"/>
          <w:sz w:val="20"/>
        </w:rPr>
        <w:t xml:space="preserve">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then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 This certification must be provided to the applicable withholding agent prior to the payment of dividends and must be updated periodically. Any such effectively connected dividends will be subject to U.S. federal income tax on a net income basis at the regular rates applicable to U.S. persons. In addition, a non-U.S. holder that is a corporation may be subject to a branch profits tax at a rate of 30% (or such lower rate specified by an applicable income tax treaty) on its effectively connected dividends, as adjusted for certain items. </w:t>
      </w:r>
    </w:p>
    <w:p>
      <w:pPr>
        <w:pStyle w:val="TextBody"/>
        <w:bidi w:val="0"/>
        <w:spacing w:before="240" w:after="0"/>
        <w:jc w:val="left"/>
        <w:rPr>
          <w:rFonts w:ascii="Times New Roman" w:hAnsi="Times New Roman"/>
          <w:sz w:val="20"/>
        </w:rPr>
      </w:pPr>
      <w:r>
        <w:rPr>
          <w:rFonts w:ascii="Times New Roman" w:hAnsi="Times New Roman"/>
          <w:sz w:val="20"/>
        </w:rPr>
        <w:t xml:space="preserve">Non-U.S. holders should consult their tax advisors regarding potentially applicable income tax treaties that may provide for different rules.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Constructive Distributions on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A non-U.S. holder of pre-funded warrants may, in some circumstances, be deemed to have received a distribution subject to U.S. federal income tax as a result of an adjustment or the non-occurrence of an adjustment to the exercise price or number of shares of common stock issuable upon exercise of such pre-funded warrants. Any resulting withholding tax attributable to deemed dividends may be collected from other amounts payable or distributable to the non-U.S. holder. Non-U.S. holders should consult their tax advisors regarding the proper treatment of any adjustments or the non-occurrence of an adjustment to the pre-funded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Sale or Other Taxable Disposition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below on foreign accounts, a non-U.S. holder will not be subject to U.S. federal income tax on any gain realized upon the sale or other taxable disposition of our common stock or pre-funded warrants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holder’s conduct of a trade or business within the United States (and, if required by an applicable income tax treaty, the non-U.S. holder maintains a permanent establishment in the United States to which such gain is attributable);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present in the United States for 183 days or more during the taxable year of the disposition (as calculated pursuant to Section 7701(b) of the Code) and certain other requirements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common stock or pre-funded warrants constitute a U.S. real property interest, or USRPI, by reason of our status as a U.S. real property holding corporation, or USRPHC,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Gain described in the first bullet point above will generally be subject to U.S. federal income tax on a net income basis at the regular rates applicable to U.S. holders. A non-U.S. holder that is a corporation also may be subject to a branch profits tax at a rate of 30% (or such lower rate specified by an applicable income tax treaty) on such effectively connected gain, as adjusted for certain items.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described in the second bullet point above will be subject to U.S. federal income tax at a rate of 30% (or such lower rate specified by an applicable income tax treaty) on any gain realized upon the sale or other taxable disposition of our common stock or pre-funded warrants, which may be offset by U.S.-source capital losses of the non-U.S. holder (even though the individual is not considered a resident of the United States), provided the non-U.S. holder has timely filed U.S. federal income tax returns with respect to such losses.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third bullet point above, we believe we currently are not, and do not anticipate becoming, a USRPHC. Because the determination of whether we are a USRPHC depends, however, on the fair market value of our USRPIs relative to the fair market value of our other business assets and our non-U.S. real property interests, there can be no assurance we currently are not a USRPHC or will not become one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Non-U.S. holders should consult their tax advisors regarding potentially applicable income tax treaties that may provide for different rules.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Payments of dividends on our common stock or pre-funded warrants (including deemed dividends) to a non-U.S. holder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common stock or pre-funded warrants (including constructive distributions) paid to the non-U.S. holder, regardless of whether such distributions constitute dividends or whether any tax was actually withheld. In addition, proceeds of the sale or other taxable disposition of our common stock or pre-funded warrants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or pre-funded warrants conducted through a non-U.S. office of a non-U.S. broker generally will not be subject to backup withholding or information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Copies of information returns that are filed with the IRS may also be made available under the provisions of an applicable treaty or agreement to the tax authorities of the country in which the non-U.S. holder resides or is established.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may be allowed as a refund or a credit against a non-U.S. holder’s U.S. federal income tax liability, provided the required information is timely furnished to the IRS.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Additional Withholding Tax on Payments Made to Foreign Accounts </w:t>
      </w:r>
    </w:p>
    <w:p>
      <w:pPr>
        <w:pStyle w:val="TextBody"/>
        <w:bidi w:val="0"/>
        <w:spacing w:before="120" w:after="0"/>
        <w:jc w:val="left"/>
        <w:rPr>
          <w:rFonts w:ascii="Times New Roman" w:hAnsi="Times New Roman"/>
          <w:sz w:val="20"/>
        </w:rPr>
      </w:pPr>
      <w:r>
        <w:rPr>
          <w:rFonts w:ascii="Times New Roman" w:hAnsi="Times New Roman"/>
          <w:sz w:val="20"/>
        </w:rPr>
        <w:t xml:space="preserve">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(including deemed dividends) on, or (subject to the proposed Treasury Regulations discussed below) gross proceeds from the sale or other disposition of, our common stock or pre-funded warrants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clause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w:t>
      </w:r>
    </w:p>
    <w:p>
      <w:pPr>
        <w:pStyle w:val="TextBody"/>
        <w:bidi w:val="0"/>
        <w:spacing w:before="240" w:after="0"/>
        <w:jc w:val="left"/>
        <w:rPr>
          <w:rFonts w:ascii="Times New Roman" w:hAnsi="Times New Roman"/>
          <w:sz w:val="20"/>
        </w:rPr>
      </w:pPr>
      <w:r>
        <w:rPr>
          <w:rFonts w:ascii="Times New Roman" w:hAnsi="Times New Roman"/>
          <w:sz w:val="20"/>
        </w:rPr>
        <w:t xml:space="preserve">Under the applicable Treasury Regulations and administrative guidance, withholding under FATCA generally applies to payments of dividends (including deemed dividends) on our common stock or pre-funded warrants. While withholding under FATCA would have applied also to payments of gross proceeds from the sale or other disposition of stock, proposed Treasury Regulations eliminate FATCA withholding on payments of gross proceeds entirely. Taxpayers generally may rely on these proposed Treasury Regulations until final Treasury Regulations are issued. </w:t>
      </w:r>
    </w:p>
    <w:p>
      <w:pPr>
        <w:pStyle w:val="TextBody"/>
        <w:bidi w:val="0"/>
        <w:spacing w:before="240" w:after="0"/>
        <w:jc w:val="left"/>
        <w:rPr>
          <w:rFonts w:ascii="Times New Roman" w:hAnsi="Times New Roman"/>
          <w:sz w:val="20"/>
        </w:rPr>
      </w:pPr>
      <w:r>
        <w:rPr>
          <w:rFonts w:ascii="Times New Roman" w:hAnsi="Times New Roman"/>
          <w:sz w:val="20"/>
        </w:rPr>
        <w:t xml:space="preserve">Prospective investors should consult their tax advisors regarding the potential application of withholding under FATCA to their investment in our common stock or pre-funded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toc84692_9"/>
      <w:bookmarkEnd w:id="11"/>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set forth in the underwriting agreement, dated September 14, 2026, between us and Jefferies LLC, Guggenheim Securities, LLC, Cantor Fitzgerald &amp; Co. and Barclays Capital Inc., as the representatives of the underwriters named below and the joint book-running managers of this offering, we have agreed to sell to the underwriters, and each of the underwriters has agreed, severally and not jointly, to purchase from us, the respective number of shares of common stock and pre-funded warrants shown opposite its name below: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38"/>
        <w:gridCol w:w="286"/>
        <w:gridCol w:w="86"/>
        <w:gridCol w:w="1424"/>
        <w:gridCol w:w="60"/>
        <w:gridCol w:w="286"/>
        <w:gridCol w:w="93"/>
        <w:gridCol w:w="1568"/>
        <w:gridCol w:w="64"/>
      </w:tblGrid>
      <w:tr>
        <w:trPr/>
        <w:tc>
          <w:tcPr>
            <w:tcW w:w="6338" w:type="dxa"/>
            <w:tcBorders/>
            <w:vAlign w:val="center"/>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6338" w:type="dxa"/>
            <w:tcBorders/>
            <w:vAlign w:val="center"/>
          </w:tcPr>
          <w:p>
            <w:pPr>
              <w:pStyle w:val="TableContents"/>
              <w:bidi w:val="0"/>
              <w:spacing w:before="0" w:after="283"/>
              <w:jc w:val="left"/>
              <w:rPr>
                <w:sz w:val="4"/>
                <w:szCs w:val="4"/>
              </w:rPr>
            </w:pPr>
            <w:r>
              <w:rPr>
                <w:sz w:val="4"/>
                <w:szCs w:val="4"/>
              </w:rPr>
            </w:r>
          </w:p>
        </w:tc>
        <w:tc>
          <w:tcPr>
            <w:tcW w:w="1856" w:type="dxa"/>
            <w:gridSpan w:val="4"/>
            <w:tcBorders/>
            <w:vAlign w:val="center"/>
          </w:tcPr>
          <w:p>
            <w:pPr>
              <w:pStyle w:val="TableContents"/>
              <w:bidi w:val="0"/>
              <w:spacing w:before="0" w:after="283"/>
              <w:jc w:val="left"/>
              <w:rPr>
                <w:sz w:val="4"/>
                <w:szCs w:val="4"/>
              </w:rPr>
            </w:pPr>
            <w:r>
              <w:rPr>
                <w:sz w:val="4"/>
                <w:szCs w:val="4"/>
              </w:rPr>
            </w:r>
          </w:p>
        </w:tc>
        <w:tc>
          <w:tcPr>
            <w:tcW w:w="2011" w:type="dxa"/>
            <w:gridSpan w:val="4"/>
            <w:tcBorders/>
            <w:vAlign w:val="center"/>
          </w:tcPr>
          <w:p>
            <w:pPr>
              <w:pStyle w:val="TableContents"/>
              <w:bidi w:val="0"/>
              <w:spacing w:before="0" w:after="283"/>
              <w:jc w:val="left"/>
              <w:rPr>
                <w:sz w:val="4"/>
                <w:szCs w:val="4"/>
              </w:rPr>
            </w:pPr>
            <w:r>
              <w:rPr>
                <w:sz w:val="4"/>
                <w:szCs w:val="4"/>
              </w:rPr>
            </w:r>
          </w:p>
        </w:tc>
      </w:tr>
      <w:tr>
        <w:trPr/>
        <w:tc>
          <w:tcPr>
            <w:tcW w:w="633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286" w:type="dxa"/>
            <w:tcBorders/>
            <w:vAlign w:val="bottom"/>
          </w:tcPr>
          <w:p>
            <w:pPr>
              <w:pStyle w:val="TableContents"/>
              <w:bidi w:val="0"/>
              <w:spacing w:before="0" w:after="283"/>
              <w:jc w:val="left"/>
              <w:rPr/>
            </w:pPr>
            <w:r>
              <w:rPr/>
              <w:t>  </w:t>
            </w:r>
          </w:p>
        </w:tc>
        <w:tc>
          <w:tcPr>
            <w:tcW w:w="1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6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PRE-FUNDED</w:t>
              <w:br/>
              <w:t>WARRANTS</w:t>
            </w:r>
          </w:p>
        </w:tc>
        <w:tc>
          <w:tcPr>
            <w:tcW w:w="64" w:type="dxa"/>
            <w:tcBorders/>
            <w:vAlign w:val="bottom"/>
          </w:tcPr>
          <w:p>
            <w:pPr>
              <w:pStyle w:val="TableContents"/>
              <w:bidi w:val="0"/>
              <w:spacing w:before="0" w:after="283"/>
              <w:jc w:val="left"/>
              <w:rPr/>
            </w:pPr>
            <w:r>
              <w:rPr/>
              <w:t> </w:t>
            </w:r>
          </w:p>
        </w:tc>
      </w:tr>
      <w:tr>
        <w:trPr/>
        <w:tc>
          <w:tcPr>
            <w:tcW w:w="6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Jefferies LLC</w:t>
            </w:r>
          </w:p>
        </w:tc>
        <w:tc>
          <w:tcPr>
            <w:tcW w:w="28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24" w:type="dxa"/>
            <w:tcBorders/>
            <w:shd w:fill="CCEEFF" w:val="clear"/>
            <w:vAlign w:val="bottom"/>
          </w:tcPr>
          <w:p>
            <w:pPr>
              <w:pStyle w:val="TableContents"/>
              <w:bidi w:val="0"/>
              <w:spacing w:before="0" w:after="283"/>
              <w:jc w:val="right"/>
              <w:rPr/>
            </w:pPr>
            <w:r>
              <w:rPr/>
              <w:t>3,086,860</w:t>
            </w:r>
          </w:p>
        </w:tc>
        <w:tc>
          <w:tcPr>
            <w:tcW w:w="6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568" w:type="dxa"/>
            <w:tcBorders/>
            <w:shd w:fill="CCEEFF" w:val="clear"/>
            <w:vAlign w:val="bottom"/>
          </w:tcPr>
          <w:p>
            <w:pPr>
              <w:pStyle w:val="TableContents"/>
              <w:bidi w:val="0"/>
              <w:spacing w:before="0" w:after="283"/>
              <w:jc w:val="right"/>
              <w:rPr/>
            </w:pPr>
            <w:r>
              <w:rPr/>
              <w:t>3,086,701</w:t>
            </w:r>
          </w:p>
        </w:tc>
        <w:tc>
          <w:tcPr>
            <w:tcW w:w="64" w:type="dxa"/>
            <w:tcBorders/>
            <w:shd w:fill="CCEEFF" w:val="clear"/>
            <w:vAlign w:val="bottom"/>
          </w:tcPr>
          <w:p>
            <w:pPr>
              <w:pStyle w:val="TableContents"/>
              <w:bidi w:val="0"/>
              <w:spacing w:before="0" w:after="283"/>
              <w:jc w:val="left"/>
              <w:rPr/>
            </w:pPr>
            <w:r>
              <w:rPr/>
              <w:t> </w:t>
            </w:r>
          </w:p>
        </w:tc>
      </w:tr>
      <w:tr>
        <w:trPr/>
        <w:tc>
          <w:tcPr>
            <w:tcW w:w="6338" w:type="dxa"/>
            <w:tcBorders/>
          </w:tcPr>
          <w:p>
            <w:pPr>
              <w:pStyle w:val="TableContents"/>
              <w:bidi w:val="0"/>
              <w:spacing w:before="0" w:after="0"/>
              <w:jc w:val="left"/>
              <w:rPr>
                <w:rFonts w:ascii="Times New Roman" w:hAnsi="Times New Roman"/>
                <w:sz w:val="20"/>
              </w:rPr>
            </w:pPr>
            <w:r>
              <w:rPr>
                <w:rFonts w:ascii="Times New Roman" w:hAnsi="Times New Roman"/>
                <w:sz w:val="20"/>
              </w:rPr>
              <w:t>Guggenheim Securities, LLC</w:t>
            </w:r>
          </w:p>
        </w:tc>
        <w:tc>
          <w:tcPr>
            <w:tcW w:w="28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24" w:type="dxa"/>
            <w:tcBorders/>
            <w:vAlign w:val="bottom"/>
          </w:tcPr>
          <w:p>
            <w:pPr>
              <w:pStyle w:val="TableContents"/>
              <w:bidi w:val="0"/>
              <w:spacing w:before="0" w:after="283"/>
              <w:jc w:val="right"/>
              <w:rPr/>
            </w:pPr>
            <w:r>
              <w:rPr/>
              <w:t>1,634,220</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568" w:type="dxa"/>
            <w:tcBorders/>
            <w:vAlign w:val="bottom"/>
          </w:tcPr>
          <w:p>
            <w:pPr>
              <w:pStyle w:val="TableContents"/>
              <w:bidi w:val="0"/>
              <w:spacing w:before="0" w:after="283"/>
              <w:jc w:val="right"/>
              <w:rPr/>
            </w:pPr>
            <w:r>
              <w:rPr/>
              <w:t>1,634,135</w:t>
            </w:r>
          </w:p>
        </w:tc>
        <w:tc>
          <w:tcPr>
            <w:tcW w:w="64" w:type="dxa"/>
            <w:tcBorders/>
            <w:vAlign w:val="bottom"/>
          </w:tcPr>
          <w:p>
            <w:pPr>
              <w:pStyle w:val="TableContents"/>
              <w:bidi w:val="0"/>
              <w:spacing w:before="0" w:after="283"/>
              <w:jc w:val="left"/>
              <w:rPr/>
            </w:pPr>
            <w:r>
              <w:rPr/>
              <w:t> </w:t>
            </w:r>
          </w:p>
        </w:tc>
      </w:tr>
      <w:tr>
        <w:trPr/>
        <w:tc>
          <w:tcPr>
            <w:tcW w:w="6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Cantor Fitzgerald &amp; Co.</w:t>
            </w:r>
          </w:p>
        </w:tc>
        <w:tc>
          <w:tcPr>
            <w:tcW w:w="28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24" w:type="dxa"/>
            <w:tcBorders/>
            <w:shd w:fill="CCEEFF" w:val="clear"/>
            <w:vAlign w:val="bottom"/>
          </w:tcPr>
          <w:p>
            <w:pPr>
              <w:pStyle w:val="TableContents"/>
              <w:bidi w:val="0"/>
              <w:spacing w:before="0" w:after="283"/>
              <w:jc w:val="right"/>
              <w:rPr/>
            </w:pPr>
            <w:r>
              <w:rPr/>
              <w:t>1,271,060</w:t>
            </w:r>
          </w:p>
        </w:tc>
        <w:tc>
          <w:tcPr>
            <w:tcW w:w="6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568" w:type="dxa"/>
            <w:tcBorders/>
            <w:shd w:fill="CCEEFF" w:val="clear"/>
            <w:vAlign w:val="bottom"/>
          </w:tcPr>
          <w:p>
            <w:pPr>
              <w:pStyle w:val="TableContents"/>
              <w:bidi w:val="0"/>
              <w:spacing w:before="0" w:after="283"/>
              <w:jc w:val="right"/>
              <w:rPr/>
            </w:pPr>
            <w:r>
              <w:rPr/>
              <w:t>1,270,994</w:t>
            </w:r>
          </w:p>
        </w:tc>
        <w:tc>
          <w:tcPr>
            <w:tcW w:w="64" w:type="dxa"/>
            <w:tcBorders/>
            <w:shd w:fill="CCEEFF" w:val="clear"/>
            <w:vAlign w:val="bottom"/>
          </w:tcPr>
          <w:p>
            <w:pPr>
              <w:pStyle w:val="TableContents"/>
              <w:bidi w:val="0"/>
              <w:spacing w:before="0" w:after="283"/>
              <w:jc w:val="left"/>
              <w:rPr/>
            </w:pPr>
            <w:r>
              <w:rPr/>
              <w:t> </w:t>
            </w:r>
          </w:p>
        </w:tc>
      </w:tr>
      <w:tr>
        <w:trPr/>
        <w:tc>
          <w:tcPr>
            <w:tcW w:w="6338" w:type="dxa"/>
            <w:tcBorders/>
          </w:tcPr>
          <w:p>
            <w:pPr>
              <w:pStyle w:val="TableContents"/>
              <w:bidi w:val="0"/>
              <w:spacing w:before="0" w:after="0"/>
              <w:jc w:val="left"/>
              <w:rPr>
                <w:rFonts w:ascii="Times New Roman" w:hAnsi="Times New Roman"/>
                <w:sz w:val="20"/>
              </w:rPr>
            </w:pPr>
            <w:r>
              <w:rPr>
                <w:rFonts w:ascii="Times New Roman" w:hAnsi="Times New Roman"/>
                <w:sz w:val="20"/>
              </w:rPr>
              <w:t>Barclays Capital Inc.</w:t>
            </w:r>
          </w:p>
        </w:tc>
        <w:tc>
          <w:tcPr>
            <w:tcW w:w="28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24" w:type="dxa"/>
            <w:tcBorders/>
            <w:vAlign w:val="bottom"/>
          </w:tcPr>
          <w:p>
            <w:pPr>
              <w:pStyle w:val="TableContents"/>
              <w:bidi w:val="0"/>
              <w:spacing w:before="0" w:after="283"/>
              <w:jc w:val="right"/>
              <w:rPr/>
            </w:pPr>
            <w:r>
              <w:rPr/>
              <w:t>1,089,480</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568" w:type="dxa"/>
            <w:tcBorders/>
            <w:vAlign w:val="bottom"/>
          </w:tcPr>
          <w:p>
            <w:pPr>
              <w:pStyle w:val="TableContents"/>
              <w:bidi w:val="0"/>
              <w:spacing w:before="0" w:after="283"/>
              <w:jc w:val="right"/>
              <w:rPr/>
            </w:pPr>
            <w:r>
              <w:rPr/>
              <w:t>1,089,423</w:t>
            </w:r>
          </w:p>
        </w:tc>
        <w:tc>
          <w:tcPr>
            <w:tcW w:w="64" w:type="dxa"/>
            <w:tcBorders/>
            <w:vAlign w:val="bottom"/>
          </w:tcPr>
          <w:p>
            <w:pPr>
              <w:pStyle w:val="TableContents"/>
              <w:bidi w:val="0"/>
              <w:spacing w:before="0" w:after="283"/>
              <w:jc w:val="left"/>
              <w:rPr/>
            </w:pPr>
            <w:r>
              <w:rPr/>
              <w:t> </w:t>
            </w:r>
          </w:p>
        </w:tc>
      </w:tr>
      <w:tr>
        <w:trPr/>
        <w:tc>
          <w:tcPr>
            <w:tcW w:w="6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William Blair &amp; Company, L.L.C.</w:t>
            </w:r>
          </w:p>
        </w:tc>
        <w:tc>
          <w:tcPr>
            <w:tcW w:w="28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24" w:type="dxa"/>
            <w:tcBorders/>
            <w:shd w:fill="CCEEFF" w:val="clear"/>
            <w:vAlign w:val="bottom"/>
          </w:tcPr>
          <w:p>
            <w:pPr>
              <w:pStyle w:val="TableContents"/>
              <w:bidi w:val="0"/>
              <w:spacing w:before="0" w:after="283"/>
              <w:jc w:val="right"/>
              <w:rPr/>
            </w:pPr>
            <w:r>
              <w:rPr/>
              <w:t>771,715</w:t>
            </w:r>
          </w:p>
        </w:tc>
        <w:tc>
          <w:tcPr>
            <w:tcW w:w="6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568" w:type="dxa"/>
            <w:tcBorders/>
            <w:shd w:fill="CCEEFF" w:val="clear"/>
            <w:vAlign w:val="bottom"/>
          </w:tcPr>
          <w:p>
            <w:pPr>
              <w:pStyle w:val="TableContents"/>
              <w:bidi w:val="0"/>
              <w:spacing w:before="0" w:after="283"/>
              <w:jc w:val="right"/>
              <w:rPr/>
            </w:pPr>
            <w:r>
              <w:rPr/>
              <w:t>771,675</w:t>
            </w:r>
          </w:p>
        </w:tc>
        <w:tc>
          <w:tcPr>
            <w:tcW w:w="64" w:type="dxa"/>
            <w:tcBorders/>
            <w:shd w:fill="CCEEFF" w:val="clear"/>
            <w:vAlign w:val="bottom"/>
          </w:tcPr>
          <w:p>
            <w:pPr>
              <w:pStyle w:val="TableContents"/>
              <w:bidi w:val="0"/>
              <w:spacing w:before="0" w:after="283"/>
              <w:jc w:val="left"/>
              <w:rPr/>
            </w:pPr>
            <w:r>
              <w:rPr/>
              <w:t> </w:t>
            </w:r>
          </w:p>
        </w:tc>
      </w:tr>
      <w:tr>
        <w:trPr/>
        <w:tc>
          <w:tcPr>
            <w:tcW w:w="6338" w:type="dxa"/>
            <w:tcBorders/>
          </w:tcPr>
          <w:p>
            <w:pPr>
              <w:pStyle w:val="TableContents"/>
              <w:bidi w:val="0"/>
              <w:spacing w:before="0" w:after="0"/>
              <w:jc w:val="left"/>
              <w:rPr>
                <w:rFonts w:ascii="Times New Roman" w:hAnsi="Times New Roman"/>
                <w:sz w:val="20"/>
              </w:rPr>
            </w:pPr>
            <w:r>
              <w:rPr>
                <w:rFonts w:ascii="Times New Roman" w:hAnsi="Times New Roman"/>
                <w:sz w:val="20"/>
              </w:rPr>
              <w:t>Wedbush Securities Inc.</w:t>
            </w:r>
          </w:p>
        </w:tc>
        <w:tc>
          <w:tcPr>
            <w:tcW w:w="28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24" w:type="dxa"/>
            <w:tcBorders/>
            <w:vAlign w:val="bottom"/>
          </w:tcPr>
          <w:p>
            <w:pPr>
              <w:pStyle w:val="TableContents"/>
              <w:bidi w:val="0"/>
              <w:spacing w:before="0" w:after="283"/>
              <w:jc w:val="right"/>
              <w:rPr/>
            </w:pPr>
            <w:r>
              <w:rPr/>
              <w:t>453,950</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568" w:type="dxa"/>
            <w:tcBorders/>
            <w:vAlign w:val="bottom"/>
          </w:tcPr>
          <w:p>
            <w:pPr>
              <w:pStyle w:val="TableContents"/>
              <w:bidi w:val="0"/>
              <w:spacing w:before="0" w:after="283"/>
              <w:jc w:val="right"/>
              <w:rPr/>
            </w:pPr>
            <w:r>
              <w:rPr/>
              <w:t>453,926</w:t>
            </w:r>
          </w:p>
        </w:tc>
        <w:tc>
          <w:tcPr>
            <w:tcW w:w="64" w:type="dxa"/>
            <w:tcBorders/>
            <w:vAlign w:val="bottom"/>
          </w:tcPr>
          <w:p>
            <w:pPr>
              <w:pStyle w:val="TableContents"/>
              <w:bidi w:val="0"/>
              <w:spacing w:before="0" w:after="283"/>
              <w:jc w:val="left"/>
              <w:rPr/>
            </w:pPr>
            <w:r>
              <w:rPr/>
              <w:t> </w:t>
            </w:r>
          </w:p>
        </w:tc>
      </w:tr>
      <w:tr>
        <w:trPr/>
        <w:tc>
          <w:tcPr>
            <w:tcW w:w="6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Raymond James &amp; Associates, Inc.</w:t>
            </w:r>
          </w:p>
        </w:tc>
        <w:tc>
          <w:tcPr>
            <w:tcW w:w="28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24" w:type="dxa"/>
            <w:tcBorders/>
            <w:shd w:fill="CCEEFF" w:val="clear"/>
            <w:vAlign w:val="bottom"/>
          </w:tcPr>
          <w:p>
            <w:pPr>
              <w:pStyle w:val="TableContents"/>
              <w:bidi w:val="0"/>
              <w:spacing w:before="0" w:after="283"/>
              <w:jc w:val="right"/>
              <w:rPr/>
            </w:pPr>
            <w:r>
              <w:rPr/>
              <w:t>408,555</w:t>
            </w:r>
          </w:p>
        </w:tc>
        <w:tc>
          <w:tcPr>
            <w:tcW w:w="6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568" w:type="dxa"/>
            <w:tcBorders/>
            <w:shd w:fill="CCEEFF" w:val="clear"/>
            <w:vAlign w:val="bottom"/>
          </w:tcPr>
          <w:p>
            <w:pPr>
              <w:pStyle w:val="TableContents"/>
              <w:bidi w:val="0"/>
              <w:spacing w:before="0" w:after="283"/>
              <w:jc w:val="right"/>
              <w:rPr/>
            </w:pPr>
            <w:r>
              <w:rPr/>
              <w:t>408,534</w:t>
            </w:r>
          </w:p>
        </w:tc>
        <w:tc>
          <w:tcPr>
            <w:tcW w:w="64" w:type="dxa"/>
            <w:tcBorders/>
            <w:shd w:fill="CCEEFF" w:val="clear"/>
            <w:vAlign w:val="bottom"/>
          </w:tcPr>
          <w:p>
            <w:pPr>
              <w:pStyle w:val="TableContents"/>
              <w:bidi w:val="0"/>
              <w:spacing w:before="0" w:after="283"/>
              <w:jc w:val="left"/>
              <w:rPr/>
            </w:pPr>
            <w:r>
              <w:rPr/>
              <w:t> </w:t>
            </w:r>
          </w:p>
        </w:tc>
      </w:tr>
      <w:tr>
        <w:trPr/>
        <w:tc>
          <w:tcPr>
            <w:tcW w:w="6338" w:type="dxa"/>
            <w:tcBorders/>
          </w:tcPr>
          <w:p>
            <w:pPr>
              <w:pStyle w:val="TableContents"/>
              <w:bidi w:val="0"/>
              <w:spacing w:before="0" w:after="0"/>
              <w:jc w:val="left"/>
              <w:rPr>
                <w:rFonts w:ascii="Times New Roman" w:hAnsi="Times New Roman"/>
                <w:sz w:val="20"/>
              </w:rPr>
            </w:pPr>
            <w:r>
              <w:rPr>
                <w:rFonts w:ascii="Times New Roman" w:hAnsi="Times New Roman"/>
                <w:sz w:val="20"/>
              </w:rPr>
              <w:t>Oppenheimer &amp; Co. Inc.</w:t>
            </w:r>
          </w:p>
        </w:tc>
        <w:tc>
          <w:tcPr>
            <w:tcW w:w="28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24" w:type="dxa"/>
            <w:tcBorders/>
            <w:vAlign w:val="bottom"/>
          </w:tcPr>
          <w:p>
            <w:pPr>
              <w:pStyle w:val="TableContents"/>
              <w:bidi w:val="0"/>
              <w:spacing w:before="0" w:after="283"/>
              <w:jc w:val="right"/>
              <w:rPr/>
            </w:pPr>
            <w:r>
              <w:rPr/>
              <w:t>363,160</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568" w:type="dxa"/>
            <w:tcBorders/>
            <w:vAlign w:val="bottom"/>
          </w:tcPr>
          <w:p>
            <w:pPr>
              <w:pStyle w:val="TableContents"/>
              <w:bidi w:val="0"/>
              <w:spacing w:before="0" w:after="283"/>
              <w:jc w:val="right"/>
              <w:rPr/>
            </w:pPr>
            <w:r>
              <w:rPr/>
              <w:t>363,141</w:t>
            </w:r>
          </w:p>
        </w:tc>
        <w:tc>
          <w:tcPr>
            <w:tcW w:w="64" w:type="dxa"/>
            <w:tcBorders/>
            <w:vAlign w:val="bottom"/>
          </w:tcPr>
          <w:p>
            <w:pPr>
              <w:pStyle w:val="TableContents"/>
              <w:bidi w:val="0"/>
              <w:spacing w:before="0" w:after="283"/>
              <w:jc w:val="left"/>
              <w:rPr/>
            </w:pPr>
            <w:r>
              <w:rPr/>
              <w:t> </w:t>
            </w:r>
          </w:p>
        </w:tc>
      </w:tr>
      <w:tr>
        <w:trPr/>
        <w:tc>
          <w:tcPr>
            <w:tcW w:w="6338"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14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156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8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24" w:type="dxa"/>
            <w:tcBorders/>
            <w:shd w:fill="CCEEFF" w:val="clear"/>
            <w:vAlign w:val="bottom"/>
          </w:tcPr>
          <w:p>
            <w:pPr>
              <w:pStyle w:val="TableContents"/>
              <w:bidi w:val="0"/>
              <w:spacing w:before="0" w:after="283"/>
              <w:jc w:val="right"/>
              <w:rPr/>
            </w:pPr>
            <w:r>
              <w:rPr/>
              <w:t>9,079,000</w:t>
            </w:r>
          </w:p>
        </w:tc>
        <w:tc>
          <w:tcPr>
            <w:tcW w:w="6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568" w:type="dxa"/>
            <w:tcBorders/>
            <w:shd w:fill="CCEEFF" w:val="clear"/>
            <w:vAlign w:val="bottom"/>
          </w:tcPr>
          <w:p>
            <w:pPr>
              <w:pStyle w:val="TableContents"/>
              <w:bidi w:val="0"/>
              <w:spacing w:before="0" w:after="283"/>
              <w:jc w:val="right"/>
              <w:rPr/>
            </w:pPr>
            <w:r>
              <w:rPr/>
              <w:t>9,078,529</w:t>
            </w:r>
          </w:p>
        </w:tc>
        <w:tc>
          <w:tcPr>
            <w:tcW w:w="64" w:type="dxa"/>
            <w:tcBorders/>
            <w:shd w:fill="CCEEFF" w:val="clear"/>
            <w:vAlign w:val="bottom"/>
          </w:tcPr>
          <w:p>
            <w:pPr>
              <w:pStyle w:val="TableContents"/>
              <w:bidi w:val="0"/>
              <w:spacing w:before="0" w:after="283"/>
              <w:jc w:val="left"/>
              <w:rPr/>
            </w:pPr>
            <w:r>
              <w:rPr/>
              <w:t> </w:t>
            </w:r>
          </w:p>
        </w:tc>
      </w:tr>
      <w:tr>
        <w:trPr/>
        <w:tc>
          <w:tcPr>
            <w:tcW w:w="6338"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double" w:sz="6" w:space="1" w:color="000000"/>
              </w:pBdr>
              <w:bidi w:val="0"/>
              <w:spacing w:before="0" w:after="0"/>
              <w:jc w:val="left"/>
              <w:rPr/>
            </w:pPr>
            <w:r>
              <w:rPr/>
              <w:t> </w:t>
            </w:r>
          </w:p>
        </w:tc>
        <w:tc>
          <w:tcPr>
            <w:tcW w:w="142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double" w:sz="6" w:space="1" w:color="000000"/>
              </w:pBdr>
              <w:bidi w:val="0"/>
              <w:spacing w:before="0" w:after="0"/>
              <w:jc w:val="left"/>
              <w:rPr/>
            </w:pPr>
            <w:r>
              <w:rPr/>
              <w:t> </w:t>
            </w:r>
          </w:p>
        </w:tc>
        <w:tc>
          <w:tcPr>
            <w:tcW w:w="156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Times New Roman" w:hAnsi="Times New Roman"/>
          <w:sz w:val="20"/>
        </w:rPr>
      </w:pPr>
      <w:r>
        <w:rPr>
          <w:rFonts w:ascii="Times New Roman" w:hAnsi="Times New Roman"/>
          <w:sz w:val="20"/>
        </w:rPr>
        <w:t xml:space="preserve">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common stock and pre-funded warrants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have advised us that, following the completion of this offering, they currently intend to make a market in the common stock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common stock, that you will be able to sell any of the common stock held by you at a particular time or that the prices that you receive when you sell will be favorable.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are offering the shares of common stock and pre-funded warrants subject to their acceptance of the shares of common stock and pre-funded warrants from us and subject to prior sale. The underwriters reserve the right to withdraw, cancel or modify offers and to reject orders in whole or in part. The underwriters have not been engaged to act as warrant agent for the pre-funded warrants or to act as underwriter or agent or otherwise participate in the issuance of the shares of our common stock upon the exercise of the pre-funded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Commission and Expenses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have advised us that they propose to offer the shares of common stock and pre-funded warrants at the offering price set forth on the cover page of this prospectus supplement and to certain dealers, which may include the underwriters, at that price less a concession not in excess of $0.7931 per share of common stock and $0.7931 per pre-funded warrant. After the offering, the offering price, concession and reallowance to dealers may be reduced by the representatives. No such reduction will change the amount of proceeds to be received by us as set forth on the cover page of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shows the offering price, the underwriting discounts and commissions that we are to pay the underwriters and the proceeds, before expenses, to us in connection with this offering.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36"/>
        <w:gridCol w:w="321"/>
        <w:gridCol w:w="225"/>
        <w:gridCol w:w="1306"/>
        <w:gridCol w:w="60"/>
        <w:gridCol w:w="321"/>
        <w:gridCol w:w="324"/>
        <w:gridCol w:w="2001"/>
        <w:gridCol w:w="60"/>
        <w:gridCol w:w="321"/>
        <w:gridCol w:w="140"/>
        <w:gridCol w:w="1623"/>
        <w:gridCol w:w="67"/>
      </w:tblGrid>
      <w:tr>
        <w:trPr/>
        <w:tc>
          <w:tcPr>
            <w:tcW w:w="3436"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3436" w:type="dxa"/>
            <w:tcBorders/>
            <w:vAlign w:val="center"/>
          </w:tcPr>
          <w:p>
            <w:pPr>
              <w:pStyle w:val="TableContents"/>
              <w:bidi w:val="0"/>
              <w:spacing w:before="0" w:after="283"/>
              <w:jc w:val="left"/>
              <w:rPr>
                <w:sz w:val="4"/>
                <w:szCs w:val="4"/>
              </w:rPr>
            </w:pPr>
            <w:r>
              <w:rPr>
                <w:sz w:val="4"/>
                <w:szCs w:val="4"/>
              </w:rPr>
            </w:r>
          </w:p>
        </w:tc>
        <w:tc>
          <w:tcPr>
            <w:tcW w:w="1912" w:type="dxa"/>
            <w:gridSpan w:val="4"/>
            <w:tcBorders/>
            <w:vAlign w:val="center"/>
          </w:tcPr>
          <w:p>
            <w:pPr>
              <w:pStyle w:val="TableContents"/>
              <w:bidi w:val="0"/>
              <w:spacing w:before="0" w:after="283"/>
              <w:jc w:val="left"/>
              <w:rPr>
                <w:sz w:val="4"/>
                <w:szCs w:val="4"/>
              </w:rPr>
            </w:pPr>
            <w:r>
              <w:rPr>
                <w:sz w:val="4"/>
                <w:szCs w:val="4"/>
              </w:rPr>
            </w:r>
          </w:p>
        </w:tc>
        <w:tc>
          <w:tcPr>
            <w:tcW w:w="2706" w:type="dxa"/>
            <w:gridSpan w:val="4"/>
            <w:tcBorders/>
            <w:vAlign w:val="center"/>
          </w:tcPr>
          <w:p>
            <w:pPr>
              <w:pStyle w:val="TableContents"/>
              <w:bidi w:val="0"/>
              <w:spacing w:before="0" w:after="283"/>
              <w:jc w:val="left"/>
              <w:rPr>
                <w:sz w:val="4"/>
                <w:szCs w:val="4"/>
              </w:rPr>
            </w:pPr>
            <w:r>
              <w:rPr>
                <w:sz w:val="4"/>
                <w:szCs w:val="4"/>
              </w:rPr>
            </w:r>
          </w:p>
        </w:tc>
        <w:tc>
          <w:tcPr>
            <w:tcW w:w="2151" w:type="dxa"/>
            <w:gridSpan w:val="4"/>
            <w:tcBorders/>
            <w:vAlign w:val="center"/>
          </w:tcPr>
          <w:p>
            <w:pPr>
              <w:pStyle w:val="TableContents"/>
              <w:bidi w:val="0"/>
              <w:spacing w:before="0" w:after="283"/>
              <w:jc w:val="left"/>
              <w:rPr>
                <w:sz w:val="4"/>
                <w:szCs w:val="4"/>
              </w:rPr>
            </w:pPr>
            <w:r>
              <w:rPr>
                <w:sz w:val="4"/>
                <w:szCs w:val="4"/>
              </w:rPr>
            </w:r>
          </w:p>
        </w:tc>
      </w:tr>
      <w:tr>
        <w:trPr/>
        <w:tc>
          <w:tcPr>
            <w:tcW w:w="3436"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5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SHARE</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2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PRE-FUNDED</w:t>
              <w:br/>
              <w:t>WARRANT</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7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7" w:type="dxa"/>
            <w:tcBorders/>
            <w:vAlign w:val="bottom"/>
          </w:tcPr>
          <w:p>
            <w:pPr>
              <w:pStyle w:val="TableContents"/>
              <w:bidi w:val="0"/>
              <w:spacing w:before="0" w:after="283"/>
              <w:jc w:val="left"/>
              <w:rPr/>
            </w:pPr>
            <w:r>
              <w:rPr/>
              <w:t> </w:t>
            </w:r>
          </w:p>
        </w:tc>
      </w:tr>
      <w:tr>
        <w:trPr/>
        <w:tc>
          <w:tcPr>
            <w:tcW w:w="34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Offering price</w:t>
            </w:r>
          </w:p>
        </w:tc>
        <w:tc>
          <w:tcPr>
            <w:tcW w:w="321"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1306" w:type="dxa"/>
            <w:tcBorders/>
            <w:shd w:fill="CCEEFF" w:val="clear"/>
            <w:vAlign w:val="bottom"/>
          </w:tcPr>
          <w:p>
            <w:pPr>
              <w:pStyle w:val="TableContents"/>
              <w:bidi w:val="0"/>
              <w:spacing w:before="0" w:after="283"/>
              <w:jc w:val="right"/>
              <w:rPr/>
            </w:pPr>
            <w:r>
              <w:rPr/>
              <w:t>22.0300</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w:t>
            </w:r>
          </w:p>
        </w:tc>
        <w:tc>
          <w:tcPr>
            <w:tcW w:w="2001" w:type="dxa"/>
            <w:tcBorders/>
            <w:shd w:fill="CCEEFF" w:val="clear"/>
            <w:vAlign w:val="bottom"/>
          </w:tcPr>
          <w:p>
            <w:pPr>
              <w:pStyle w:val="TableContents"/>
              <w:bidi w:val="0"/>
              <w:spacing w:before="0" w:after="283"/>
              <w:jc w:val="right"/>
              <w:rPr/>
            </w:pPr>
            <w:r>
              <w:rPr/>
              <w:t>22.0290</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623" w:type="dxa"/>
            <w:tcBorders/>
            <w:shd w:fill="CCEEFF" w:val="clear"/>
            <w:vAlign w:val="bottom"/>
          </w:tcPr>
          <w:p>
            <w:pPr>
              <w:pStyle w:val="TableContents"/>
              <w:bidi w:val="0"/>
              <w:spacing w:before="0" w:after="283"/>
              <w:jc w:val="right"/>
              <w:rPr/>
            </w:pPr>
            <w:r>
              <w:rPr/>
              <w:t>400,001,285.34</w:t>
            </w:r>
          </w:p>
        </w:tc>
        <w:tc>
          <w:tcPr>
            <w:tcW w:w="67" w:type="dxa"/>
            <w:tcBorders/>
            <w:shd w:fill="CCEEFF" w:val="clear"/>
            <w:vAlign w:val="bottom"/>
          </w:tcPr>
          <w:p>
            <w:pPr>
              <w:pStyle w:val="TableContents"/>
              <w:bidi w:val="0"/>
              <w:spacing w:before="0" w:after="283"/>
              <w:jc w:val="left"/>
              <w:rPr/>
            </w:pPr>
            <w:r>
              <w:rPr/>
              <w:t> </w:t>
            </w:r>
          </w:p>
        </w:tc>
      </w:tr>
      <w:tr>
        <w:trPr/>
        <w:tc>
          <w:tcPr>
            <w:tcW w:w="3436"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 paid by us</w:t>
            </w:r>
          </w:p>
        </w:tc>
        <w:tc>
          <w:tcPr>
            <w:tcW w:w="321"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w:t>
            </w:r>
          </w:p>
        </w:tc>
        <w:tc>
          <w:tcPr>
            <w:tcW w:w="1306" w:type="dxa"/>
            <w:tcBorders/>
            <w:vAlign w:val="bottom"/>
          </w:tcPr>
          <w:p>
            <w:pPr>
              <w:pStyle w:val="TableContents"/>
              <w:bidi w:val="0"/>
              <w:spacing w:before="0" w:after="283"/>
              <w:jc w:val="right"/>
              <w:rPr/>
            </w:pPr>
            <w:r>
              <w:rPr/>
              <w:t>1.3218</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w:t>
            </w:r>
          </w:p>
        </w:tc>
        <w:tc>
          <w:tcPr>
            <w:tcW w:w="2001" w:type="dxa"/>
            <w:tcBorders/>
            <w:vAlign w:val="bottom"/>
          </w:tcPr>
          <w:p>
            <w:pPr>
              <w:pStyle w:val="TableContents"/>
              <w:bidi w:val="0"/>
              <w:spacing w:before="0" w:after="283"/>
              <w:jc w:val="right"/>
              <w:rPr/>
            </w:pPr>
            <w:r>
              <w:rPr/>
              <w:t>1.3218</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623" w:type="dxa"/>
            <w:tcBorders/>
            <w:vAlign w:val="bottom"/>
          </w:tcPr>
          <w:p>
            <w:pPr>
              <w:pStyle w:val="TableContents"/>
              <w:bidi w:val="0"/>
              <w:spacing w:before="0" w:after="283"/>
              <w:jc w:val="right"/>
              <w:rPr/>
            </w:pPr>
            <w:r>
              <w:rPr/>
              <w:t>24,000,621.83</w:t>
            </w:r>
          </w:p>
        </w:tc>
        <w:tc>
          <w:tcPr>
            <w:tcW w:w="67" w:type="dxa"/>
            <w:tcBorders/>
            <w:vAlign w:val="bottom"/>
          </w:tcPr>
          <w:p>
            <w:pPr>
              <w:pStyle w:val="TableContents"/>
              <w:bidi w:val="0"/>
              <w:spacing w:before="0" w:after="283"/>
              <w:jc w:val="left"/>
              <w:rPr/>
            </w:pPr>
            <w:r>
              <w:rPr/>
              <w:t> </w:t>
            </w:r>
          </w:p>
        </w:tc>
      </w:tr>
      <w:tr>
        <w:trPr/>
        <w:tc>
          <w:tcPr>
            <w:tcW w:w="34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to us, before expenses</w:t>
            </w:r>
          </w:p>
        </w:tc>
        <w:tc>
          <w:tcPr>
            <w:tcW w:w="321"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1306" w:type="dxa"/>
            <w:tcBorders/>
            <w:shd w:fill="CCEEFF" w:val="clear"/>
            <w:vAlign w:val="bottom"/>
          </w:tcPr>
          <w:p>
            <w:pPr>
              <w:pStyle w:val="TableContents"/>
              <w:bidi w:val="0"/>
              <w:spacing w:before="0" w:after="283"/>
              <w:jc w:val="right"/>
              <w:rPr/>
            </w:pPr>
            <w:r>
              <w:rPr/>
              <w:t>20.7082</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w:t>
            </w:r>
          </w:p>
        </w:tc>
        <w:tc>
          <w:tcPr>
            <w:tcW w:w="2001" w:type="dxa"/>
            <w:tcBorders/>
            <w:shd w:fill="CCEEFF" w:val="clear"/>
            <w:vAlign w:val="bottom"/>
          </w:tcPr>
          <w:p>
            <w:pPr>
              <w:pStyle w:val="TableContents"/>
              <w:bidi w:val="0"/>
              <w:spacing w:before="0" w:after="283"/>
              <w:jc w:val="right"/>
              <w:rPr/>
            </w:pPr>
            <w:r>
              <w:rPr/>
              <w:t>20.7072</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623" w:type="dxa"/>
            <w:tcBorders/>
            <w:shd w:fill="CCEEFF" w:val="clear"/>
            <w:vAlign w:val="bottom"/>
          </w:tcPr>
          <w:p>
            <w:pPr>
              <w:pStyle w:val="TableContents"/>
              <w:bidi w:val="0"/>
              <w:spacing w:before="0" w:after="283"/>
              <w:jc w:val="right"/>
              <w:rPr/>
            </w:pPr>
            <w:r>
              <w:rPr/>
              <w:t>376,000,663.51</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Times New Roman" w:hAnsi="Times New Roman"/>
          <w:sz w:val="20"/>
        </w:rPr>
      </w:pPr>
      <w:r>
        <w:rPr>
          <w:rFonts w:ascii="Times New Roman" w:hAnsi="Times New Roman"/>
          <w:sz w:val="20"/>
        </w:rPr>
        <w:t xml:space="preserve">We estimate expenses payable by us in connection with this offering, other than the underwriting discounts and commissions referred to above, will be approximately $2.1 million. We have agreed to reimburse the underwriters for certain expenses incurred in connection with this offering in an amount up to $40,000. The underwriters have also agreed to reimburse us for certain of our expenses incurred in connection with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Select Market under the symbol “TYRA.” There is no established market for the pre-funded warrants, and we do not expect a trading market to develop. We do not intend to list the pre-funded warrants on any securities exchange or nationally recognized trading system, including the Nasdaq Global Select Market. Without a trading market, the liquidity of the pre-funded warrants will be extremely limited. </w:t>
      </w:r>
    </w:p>
    <w:p>
      <w:pPr>
        <w:pStyle w:val="TextBody"/>
        <w:bidi w:val="0"/>
        <w:spacing w:before="360" w:after="0"/>
        <w:jc w:val="left"/>
        <w:rPr>
          <w:rFonts w:ascii="Times New Roman" w:hAnsi="Times New Roman"/>
          <w:b/>
          <w:sz w:val="20"/>
        </w:rPr>
      </w:pPr>
      <w:r>
        <w:rPr>
          <w:rFonts w:ascii="Times New Roman" w:hAnsi="Times New Roman"/>
          <w:b/>
          <w:sz w:val="20"/>
        </w:rPr>
        <w:t xml:space="preserve">No Sales of Similar Securities </w:t>
      </w:r>
    </w:p>
    <w:p>
      <w:pPr>
        <w:pStyle w:val="TextBody"/>
        <w:bidi w:val="0"/>
        <w:spacing w:before="120" w:after="0"/>
        <w:jc w:val="left"/>
        <w:rPr>
          <w:rFonts w:ascii="Times New Roman" w:hAnsi="Times New Roman"/>
          <w:sz w:val="20"/>
        </w:rPr>
      </w:pPr>
      <w:r>
        <w:rPr>
          <w:rFonts w:ascii="Times New Roman" w:hAnsi="Times New Roman"/>
          <w:sz w:val="20"/>
        </w:rPr>
        <w:t xml:space="preserve">We have agreed that, during a period of 60 days from the date of this prospectus supplement, we will not, without the prior written consent of Jefferies LLC,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or file or confidentially submit any registration statement under the Securities Act with respect to any of the foregoing or (ii) enter into any swap or any other agreement or any transaction that transfers, in whole or in part, directly or indirectly, the economic consequence of ownership of the common stock, whether any such swap or transaction described in clause (i) or (ii) above is to be settled by delivery of common stock or other securities, in cash or otherwise. The foregoing sentence shall not apply to (A) the shares of common stock and pre-funded warrants to be sold in this offering, (B) any shares of common stock issued by us upon the exercise, (including any net exercise or exercise by delivery of already-owned shares of common stock) of an option or warrant or the conversion of a security outstanding on the date of this prospectus supplement and referred to in this prospectus supplement and the accompanying prospectus, (C) any shares of common stock issued or options to purchase common stock granted pursuant to existing employee benefit plans of our company referred to in this prospectus supplement and the accompanying prospectus, (D) any shares of common stock issued pursuant to any non-employee director stock plan or dividend reinvestment plan referred to in this prospectus supplement and the accompanying prospectus, (E) the filing of a registration statement on Form S-8 or any successor form thereto with respect to the registration of securities to be offered under any employee benefit or equity incentive plans of our company referred to in this prospectus supplement and the accompanying prospectus, (F) the issuance of shares of common stock, restricted stock awards or securities convertible into or exercisable or exchangeable for shares of common stock in connection with (i) the acquisition of the securities, business, property or other assets of another person or pursuant to any employee benefit plan assumed in connection with any such acquisition, (ii) joint ventures, (iii) commercial relationships or (iv) other strategic transactions, provided that the aggregate number of shares of common stock, restricted stock awards and shares of common stock issuable upon the conversion, exercise or exchange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securities (on an as converted or as exercised basis, as the case may be) issued pursuant to this clause (F) shall not exceed 7.5% of the total number of shares of common stock issued and outstanding immediately following the issuance and sale of the securities on the delivery date of this offering; and provided, further, that each recipient of shares of common stock, restricted stock awards or securities convertible into or exercisable or exchangeable for shares of common stock pursuant to this clause (F) shall execute a lock-up agreement, or (G) any shares of our common stock sold in “at-the-market” offerings pursuant to the Sales Agreement, by and between us and TD Securities (USA) LLC, dated May 8, 2025, as amended on August 4, 2026, provided that no sales shall be made until 30 days after the date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Our executive officers and directors have agreed that, during the period beginning on the date of this prospectus supplement and ending on the date that is 60 days from the date of this prospectus supplement (the Lock-Up Period), the securityholder will not, without the prior written consent of Jefferies LLC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whether now owned or hereafter acquired by the securityholder or with respect to which the securityholder has or hereafter acquires the power of disposition (collectively, the Lock-Up Securities), or, in connection with any right with respect to the registration of the securityholder’s Lock-Up Securities, cause us to file or confidentially submit any registration statement following the date of this offering through the duration of the Lock-Up Period, under the Securities Act, or (ii) enter into any swap or any other agreement or any transaction that transfers, in whole or in part, directly or indirectly, the economic consequence of ownership of the Lock-Up Securities, whether any such swap or transaction is to be settled by delivery of common stock or other securities, in cash or otherwise.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and subject to the conditions below, the securityholder may transfer or otherwise dispose of the Lock-Up Securities without the prior written consent of Jefferies LLC, (a) provided that (1) the representatives receive a lock-up agreement for the balance of the Lock-Up Period from each donee, trustee, distributee, or transferee, as the case may be, (2) any such transfer shall not involve a disposition for value, (3) in the case of (iii), (v) and (vi) below, and, if applicable, (vii) below, such transfers are not required to be reported with the SEC on Form 4 in accordance with Section 16 of the Exchange Act, or, in the case of (i), (ii) and (iv) below, and, if applicable, (vii) below, any filing under the Exchange Act required to be made during the Lock-Up Period shall clearly indicate in the footnotes thereto that the filing relates to circumstances described below, as applicable, and (4) the securityholder does not otherwise voluntarily effect any public filing or report regarding such transfers during the Lock-Up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bona fide gift or gifts, including a bona fide gift or gifts to a trust, charitable organization or educational institution or other entity established for charitable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member of the immediate family of the securityholder, any trust for the direct or indirect benefit of the securityholder or the immediate family of the securityholder or for bona fide estate planning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securityholder’s affiliates or to any investment fund or other entity that, directly or indirectly, controls or manages, is controlled or managed by, or is under common control or management with, the securityholder;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securityholder is a trust, to the trustor or beneficiary of such trust or to the estate of a beneficiary of such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corporation, partnership, limited liability company or other entity all of the beneficial interests of which, in each case, are held by the securityholder;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distribution to general or limited partners, members, stockholders or other equity holders or trust beneficiaries of the securityholder;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nominee or custodian of a person or entity to whom a transfer or disposition would be permissible under clauses (i) through (vi) above.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provided that (1) the representatives receive a lock-up agreement for the balance of the Lock-Up Period from each donee, trustee, distributee, or transferee (excluding us), as the case may be, or, in the case of (iv) below, provided that any such shares of the common stock issued to the securityholder upon exercise of any such option, warrant or other right shall be subject to the restrictions set forth herein, (2) any filing under the Exchange Act required to be made during the Lock-Up Period shall clearly indicate in the footnotes thereto that the filing relates to circumstances described below, as applicable, and (3) the securityholder does not otherwise voluntarily effect any public filing or report regarding such transfers: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will, other testamentary document or intestate succession to the legal representative, heir, beneficiary or any immediate family of the securityholder;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a court or regulatory agency order, a qualified domestic order or in connection with the dissolution of a marriage or civil union;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us (or surrender such Lock-Up Securities to us) pursuant to any contractual arrangement that provides us with an option to repurchase such Lock-Up Securities in connection with the termination of the securityholder’s employment or other service relationship with us, or pursuant to a right of first refusal with respect to transfers of such Lock-Up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1"/>
        <w:gridCol w:w="9287"/>
      </w:tblGrid>
      <w:tr>
        <w:trPr/>
        <w:tc>
          <w:tcPr>
            <w:tcW w:w="407"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iv.</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us in connection with the exercise of options, warrants or other rights to acquire shares of common stock or any security convertible into or exercisable for shares of our common stock by way of net exercise and/or to cover withholding tax obligations or the exercise price thereof in connection with any such exercise pursuant to an employee benefit plan, option, warrant or other right disclosed in the final prospectus supplement for this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set forth above to the contrary, nothing in the lock-up agreement shall prevent the securityholder from (i) exercising any outstanding warrant, or any option to purchase shares granted under any stock incentive plan or stock purchase plan of our company, provided that the underlying shares shall continue to be subject to the restrictions on transfer set forth in the lock-up agreement, (ii) establishing a 10b5-1 trading plan that complies with Rule 10b5-1 under the Exchange Act (a 10b5-1 Trading Plan), so long as there are no sales of Lock-Up Securities under such plan during the Lock-Up Period; and provided that the establishment of a 10b5-1 Trading Plan providing for sales of Lock-Up Securities shall only be permitted if (1) to the extent a public announcement or filing under the Exchange Act, if any, is required to be made regarding the establishment of such new 10b5-1 Plan, such announcement or filing shall include a statement to the effect that no sale of securities may be made pursuant to such New 10b5-1 Plan during the Lock-Up Period and (2) the securityholder does not otherwise voluntarily effect any public announcement or filing regarding the establishment of such plan during the Lock-Up Period or (iii) transferring Lock-Up Securities pursuant to a bona fide third party tender offer, merger, consolidation or other similar transaction made to all holders of common stock and involving a change of control of our company, provided that in the event that the tender offer, merger, consolidation or other such transaction is not complete, the Lock-Up Securities owned by the securityholder shall remain subject to the restrictions contained in the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restrictions in the lock-up agreement shall not apply to sales of shares of our common stock made pursuant to a 10b5-1 Trading Plan that has been entered into by the securityholder prior to the date of the lock-up agreement and disclosed to the Representatives (an Existing 10b5-1 Plan); provided that if the securityholder reports any such sale on a Form 4 filed with the Securities and Exchange Commission, the securityholder shall cause such Form 4 to include a statement that such sale was effected pursuant to such Existing 10b5-1 Plan. </w:t>
      </w:r>
    </w:p>
    <w:p>
      <w:pPr>
        <w:pStyle w:val="TextBody"/>
        <w:bidi w:val="0"/>
        <w:spacing w:before="240" w:after="0"/>
        <w:jc w:val="left"/>
        <w:rPr>
          <w:rFonts w:ascii="Times New Roman" w:hAnsi="Times New Roman"/>
          <w:sz w:val="20"/>
        </w:rPr>
      </w:pPr>
      <w:r>
        <w:rPr>
          <w:rFonts w:ascii="Times New Roman" w:hAnsi="Times New Roman"/>
          <w:sz w:val="20"/>
        </w:rPr>
        <w:t xml:space="preserve">Furthermore, notwithstanding anything to the contrary herein, during the Lock-Up Period, the securityholder may sell shares of our common stock purchased by the securityholder from the underwriters in this offering or on the open market following this offering if and only if (i) such sales are not required to be reported in any public report or filing with the SEC, or otherwise, during the Lock-Up Period and (ii) the securityholder does not otherwise voluntarily effect any public filing or report regarding such sales during the Lock-Up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restrictions terminate after the close of trading of the shares on and including the 60th day after the date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Jefferies LLC may, in their sole discretion and at any time or from time to time before the termination of the Lock-up Period release all or any portion of the securities subject to lock-up agreements. There are no existing agreements between the underwriters and any of our shareholders who will execute a lockup agreement, providing consent to the sale of shares prior to the expiration of the lock up period. </w:t>
      </w:r>
    </w:p>
    <w:p>
      <w:pPr>
        <w:pStyle w:val="TextBody"/>
        <w:bidi w:val="0"/>
        <w:spacing w:before="360" w:after="0"/>
        <w:jc w:val="left"/>
        <w:rPr>
          <w:rFonts w:ascii="Times New Roman" w:hAnsi="Times New Roman"/>
          <w:b/>
          <w:sz w:val="20"/>
        </w:rPr>
      </w:pPr>
      <w:r>
        <w:rPr>
          <w:rFonts w:ascii="Times New Roman" w:hAnsi="Times New Roman"/>
          <w:b/>
          <w:sz w:val="20"/>
        </w:rPr>
        <w:t xml:space="preserve">Stabilization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have advised us that they, pursuant to Regulation M under the Exchange Act, and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w:t>
      </w:r>
    </w:p>
    <w:p>
      <w:pPr>
        <w:pStyle w:val="TextBody"/>
        <w:bidi w:val="0"/>
        <w:spacing w:before="240" w:after="0"/>
        <w:jc w:val="left"/>
        <w:rPr>
          <w:rFonts w:ascii="Times New Roman" w:hAnsi="Times New Roman"/>
          <w:sz w:val="20"/>
        </w:rPr>
      </w:pPr>
      <w:r>
        <w:rPr>
          <w:rFonts w:ascii="Times New Roman" w:hAnsi="Times New Roman"/>
          <w:sz w:val="20"/>
        </w:rPr>
        <w:t xml:space="preserve">A stabilizing bid is a bid for the purchase of common stock on behalf of the underwriters for the purpose of fixing or maintaining the price of the common stock. A syndicate covering transaction is the bid for or the purchase of common stock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underwriters to reclaim the selling concession otherwise accruing to a syndicate member in connection with the offering if the common stock originally sold by such syndicate member are purchased in a syndicate covering transaction and therefore have not been effectively placed by such syndicate member.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any of the underwriters make any representation or prediction as to the direction or magnitude of any effect that the transactions described above may have on the price of our common stock. The underwriters are not obligated to engage in these activities and, if commenced, any of the activities may be discontinued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may also engage in passive market making transactions in our common stock on The Nasdaq Global Select Market in accordance with Rule 103 of Regulation M during a period before the commencement of offers or sales of shares of our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w:t>
      </w:r>
    </w:p>
    <w:p>
      <w:pPr>
        <w:pStyle w:val="TextBody"/>
        <w:bidi w:val="0"/>
        <w:spacing w:before="360" w:after="0"/>
        <w:jc w:val="left"/>
        <w:rPr>
          <w:rFonts w:ascii="Times New Roman" w:hAnsi="Times New Roman"/>
          <w:b/>
          <w:sz w:val="20"/>
        </w:rPr>
      </w:pPr>
      <w:r>
        <w:rPr>
          <w:rFonts w:ascii="Times New Roman" w:hAnsi="Times New Roman"/>
          <w:b/>
          <w:sz w:val="20"/>
        </w:rPr>
        <w:t xml:space="preserve">Electronic Distribution </w:t>
      </w:r>
    </w:p>
    <w:p>
      <w:pPr>
        <w:pStyle w:val="TextBody"/>
        <w:bidi w:val="0"/>
        <w:spacing w:before="120" w:after="0"/>
        <w:jc w:val="left"/>
        <w:rPr>
          <w:rFonts w:ascii="Times New Roman" w:hAnsi="Times New Roman"/>
          <w:sz w:val="20"/>
        </w:rPr>
      </w:pPr>
      <w:r>
        <w:rPr>
          <w:rFonts w:ascii="Times New Roman" w:hAnsi="Times New Roman"/>
          <w:sz w:val="20"/>
        </w:rPr>
        <w:t xml:space="preserve">A prospectus in electronic format may be made available by e-mail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shares of common stock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has not been approved and/or endorsed by us or the underwriters and should not be relied upon by investors. </w:t>
      </w:r>
    </w:p>
    <w:p>
      <w:pPr>
        <w:pStyle w:val="TextBody"/>
        <w:bidi w:val="0"/>
        <w:spacing w:before="360" w:after="0"/>
        <w:jc w:val="left"/>
        <w:rPr>
          <w:rFonts w:ascii="Times New Roman" w:hAnsi="Times New Roman"/>
          <w:b/>
          <w:sz w:val="20"/>
        </w:rPr>
      </w:pPr>
      <w:r>
        <w:rPr>
          <w:rFonts w:ascii="Times New Roman" w:hAnsi="Times New Roman"/>
          <w:b/>
          <w:sz w:val="20"/>
        </w:rPr>
        <w:t xml:space="preserve">Other Activities and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and certain of their affiliates are full service financial institutions engaged in various activities, which may include securities trading, commercial and investment banking, financial advisory,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Australia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supplement in Australia: </w:t>
      </w:r>
    </w:p>
    <w:p>
      <w:pPr>
        <w:pStyle w:val="TextBody"/>
        <w:bidi w:val="0"/>
        <w:spacing w:before="240" w:after="0"/>
        <w:jc w:val="left"/>
        <w:rPr>
          <w:rFonts w:ascii="Times New Roman" w:hAnsi="Times New Roman"/>
          <w:sz w:val="20"/>
        </w:rPr>
      </w:pPr>
      <w:r>
        <w:rPr>
          <w:rFonts w:ascii="Times New Roman" w:hAnsi="Times New Roman"/>
          <w:sz w:val="20"/>
        </w:rPr>
        <w:t xml:space="preserve">You confirm and warrant that you are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“sophisticated investor” under section 708(8)(a) or (b) of the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associated with the Company under Section 708(12) of the Corporations 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d)</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“professional investor” within the meaning of section 708(11)(a) or (b) of the Corporations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you are unable to confirm or warrant that you are an exempt sophisticated investor, associated person or professional investor under the Corporations Act any offer made to you under this prospectus supplement is void and incapable of acceptance. </w:t>
      </w:r>
    </w:p>
    <w:p>
      <w:pPr>
        <w:pStyle w:val="TextBody"/>
        <w:bidi w:val="0"/>
        <w:spacing w:before="240" w:after="0"/>
        <w:jc w:val="left"/>
        <w:rPr>
          <w:rFonts w:ascii="Times New Roman" w:hAnsi="Times New Roman"/>
          <w:sz w:val="20"/>
        </w:rPr>
      </w:pPr>
      <w:r>
        <w:rPr>
          <w:rFonts w:ascii="Times New Roman" w:hAnsi="Times New Roman"/>
          <w:sz w:val="20"/>
        </w:rPr>
        <w:t xml:space="preserve">You warrant and agree that you will not offer any securities issued to you pursuant to this prospectus supplement for resale in Australia within 12 months of the securities being issued unless any such resale offer is exempt from the requirement to issue a disclosure document under section 708 of the Corporations 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State”), none of our securities have been offered or will be offered pursuant to this offering in that Relevant State prior to the publication of a prospectus in relation to our securities which has been approved by the competent authority in that Relevant State or, where appropriate, approved in another Relevant State and notified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competent authority in that Relevant State, all in accordance with the Prospectus Regulation, except that the shares of our common stock may be offered to the public in that Relevant State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qualified investor as defined under Article 2 of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w:t>
            </w:r>
          </w:p>
        </w:tc>
      </w:tr>
    </w:tbl>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no such offer of our securities shall require us or any of the representatives to publish a prospectus pursuant to Article 3 of the Prospectus Regulation or supplement a prospectus pursuant to Article 23 of the Prospectus Regulation or publish an Annex IX document pursuant to Article 1(4)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any shares of our securities in any Relevant State means the communication in any form and by any means of sufficient information on the terms of the offer and any of our securities to be offered so as to enable an investor to decide to purchase or subscribe for any of our securities, and the expression “Prospectus Regulation” means Regulation (EU) 2017/1129, as amended.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United Kingdom </w:t>
      </w:r>
    </w:p>
    <w:p>
      <w:pPr>
        <w:pStyle w:val="TextBody"/>
        <w:bidi w:val="0"/>
        <w:spacing w:before="120" w:after="0"/>
        <w:jc w:val="left"/>
        <w:rPr>
          <w:rFonts w:ascii="Times New Roman" w:hAnsi="Times New Roman"/>
          <w:sz w:val="20"/>
        </w:rPr>
      </w:pPr>
      <w:r>
        <w:rPr>
          <w:rFonts w:ascii="Times New Roman" w:hAnsi="Times New Roman"/>
          <w:sz w:val="20"/>
        </w:rPr>
        <w:t xml:space="preserve">None of our securities have been offered or will be offered pursuant to this offering in the United Kingdom except that our securities may be offered to the public in the United Kingdom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(i) the offer is conditional on the admission of the securities to trading on the London Stock Exchange plc’s main market (in reliance on the exception in paragraph 6(a) of Schedule 1 of the POATR) or (ii) the securities being offered are at the time of the offer already admitted to trading on London Stock Exchange plc’s main market (in reliance on the exception in paragraph 6(b) of Schedule 1 of the POATR);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“qualified investor” as defined in paragraph 15 of Schedule 1 of the POATR;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persons (other than qualified investors as defined in paragraph 15 of Schedule 1 of the POATR),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Part 1 of Schedule 1 of the POATR to any legal entity which is a qualified investor as defined under Article 2 of the UK Prospectus Regulation.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our securities in the United Kingdom means the communication to any person which presents sufficient information on: (a) our securities to be offered; and (b) the terms on which they are to be offered, to enable an investor to decide to buy or subscribe for our securities and the expression “POATR” means the Public Offers and Admissions to Trading Regulations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Canada </w:t>
      </w:r>
    </w:p>
    <w:p>
      <w:pPr>
        <w:pStyle w:val="TextBody"/>
        <w:bidi w:val="0"/>
        <w:spacing w:before="120" w:after="0"/>
        <w:jc w:val="left"/>
        <w:rPr>
          <w:rFonts w:ascii="Times New Roman" w:hAnsi="Times New Roman"/>
          <w:i/>
          <w:sz w:val="20"/>
        </w:rPr>
      </w:pPr>
      <w:r>
        <w:rPr>
          <w:rFonts w:ascii="Times New Roman" w:hAnsi="Times New Roman"/>
          <w:i/>
          <w:sz w:val="20"/>
        </w:rPr>
        <w:t xml:space="preserve">Resale Restrictions </w:t>
      </w:r>
    </w:p>
    <w:p>
      <w:pPr>
        <w:pStyle w:val="TextBody"/>
        <w:bidi w:val="0"/>
        <w:spacing w:before="120" w:after="0"/>
        <w:jc w:val="left"/>
        <w:rPr>
          <w:rFonts w:ascii="Times New Roman" w:hAnsi="Times New Roman"/>
          <w:sz w:val="20"/>
        </w:rPr>
      </w:pPr>
      <w:r>
        <w:rPr>
          <w:rFonts w:ascii="Times New Roman" w:hAnsi="Times New Roman"/>
          <w:sz w:val="20"/>
        </w:rPr>
        <w:t xml:space="preserve">The distribution of securities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securities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Representations of Canadian Purchasers </w:t>
      </w:r>
    </w:p>
    <w:p>
      <w:pPr>
        <w:pStyle w:val="TextBody"/>
        <w:bidi w:val="0"/>
        <w:spacing w:before="120" w:after="0"/>
        <w:jc w:val="left"/>
        <w:rPr>
          <w:rFonts w:ascii="Times New Roman" w:hAnsi="Times New Roman"/>
          <w:sz w:val="20"/>
        </w:rPr>
      </w:pPr>
      <w:r>
        <w:rPr>
          <w:rFonts w:ascii="Times New Roman" w:hAnsi="Times New Roman"/>
          <w:sz w:val="20"/>
        </w:rPr>
        <w:t xml:space="preserve">By purchasing the securities in Canada and accepting delivery of a purchase confirmation, a purchaser is representing to us and the dealer from whom the purchase confirmation is received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purchaser is entitled under applicable provincial securities laws to purchase the securities without the benefit of a prospectus qualified under those securities laws as it is an “accredited investor” as defined under National Instrument 45-106—Prospectus Exemptions,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purchaser is a “permitted client” as defined in National Instrument 31-103-Registration Requirements, Exemptions and Ongoing Registrant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required by law, the purchaser is purchasing as principal and not as agent,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purchaser has reviewed the text above under Resale Restrictions.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Conflicts of Interest </w:t>
      </w:r>
    </w:p>
    <w:p>
      <w:pPr>
        <w:pStyle w:val="TextBody"/>
        <w:bidi w:val="0"/>
        <w:spacing w:before="120" w:after="0"/>
        <w:jc w:val="left"/>
        <w:rPr>
          <w:rFonts w:ascii="Times New Roman" w:hAnsi="Times New Roman"/>
          <w:sz w:val="20"/>
        </w:rPr>
      </w:pPr>
      <w:r>
        <w:rPr>
          <w:rFonts w:ascii="Times New Roman" w:hAnsi="Times New Roman"/>
          <w:sz w:val="20"/>
        </w:rPr>
        <w:t xml:space="preserve">Canadian purchasers are hereby notified that the underwriters are relying on the exemption set out in section 3A.3 or 3A.4, if applicable, of National Instrument 33-105—Underwriting Conflicts from having to provide certain conflict of interest disclosure in this prospectus supplement. </w:t>
      </w:r>
    </w:p>
    <w:p>
      <w:pPr>
        <w:pStyle w:val="TextBody"/>
        <w:bidi w:val="0"/>
        <w:spacing w:before="360" w:after="0"/>
        <w:jc w:val="left"/>
        <w:rPr>
          <w:rFonts w:ascii="Times New Roman" w:hAnsi="Times New Roman"/>
          <w:i/>
          <w:sz w:val="20"/>
        </w:rPr>
      </w:pPr>
      <w:r>
        <w:rPr>
          <w:rFonts w:ascii="Times New Roman" w:hAnsi="Times New Roman"/>
          <w:i/>
          <w:sz w:val="20"/>
        </w:rPr>
        <w:t xml:space="preserve">Statutory Rights of Action </w:t>
      </w:r>
    </w:p>
    <w:p>
      <w:pPr>
        <w:pStyle w:val="TextBody"/>
        <w:bidi w:val="0"/>
        <w:spacing w:before="12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the prospectus (including any amendment thereto) such as this prospectus supplement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 </w:t>
      </w:r>
    </w:p>
    <w:p>
      <w:pPr>
        <w:pStyle w:val="TextBody"/>
        <w:bidi w:val="0"/>
        <w:spacing w:before="360" w:after="0"/>
        <w:jc w:val="left"/>
        <w:rPr>
          <w:rFonts w:ascii="Times New Roman" w:hAnsi="Times New Roman"/>
          <w:i/>
          <w:sz w:val="20"/>
        </w:rPr>
      </w:pPr>
      <w:r>
        <w:rPr>
          <w:rFonts w:ascii="Times New Roman" w:hAnsi="Times New Roman"/>
          <w:i/>
          <w:sz w:val="20"/>
        </w:rPr>
        <w:t xml:space="preserve">Enforcement of Legal Rights </w:t>
      </w:r>
    </w:p>
    <w:p>
      <w:pPr>
        <w:pStyle w:val="TextBody"/>
        <w:bidi w:val="0"/>
        <w:spacing w:before="120" w:after="0"/>
        <w:jc w:val="left"/>
        <w:rPr>
          <w:rFonts w:ascii="Times New Roman" w:hAnsi="Times New Roman"/>
          <w:sz w:val="20"/>
        </w:rPr>
      </w:pPr>
      <w:r>
        <w:rPr>
          <w:rFonts w:ascii="Times New Roman" w:hAnsi="Times New Roman"/>
          <w:sz w:val="20"/>
        </w:rPr>
        <w:t xml:space="preserve">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 </w:t>
      </w:r>
    </w:p>
    <w:p>
      <w:pPr>
        <w:pStyle w:val="TextBody"/>
        <w:bidi w:val="0"/>
        <w:spacing w:before="360" w:after="0"/>
        <w:jc w:val="left"/>
        <w:rPr>
          <w:rFonts w:ascii="Times New Roman" w:hAnsi="Times New Roman"/>
          <w:i/>
          <w:sz w:val="20"/>
        </w:rPr>
      </w:pPr>
      <w:r>
        <w:rPr>
          <w:rFonts w:ascii="Times New Roman" w:hAnsi="Times New Roman"/>
          <w:i/>
          <w:sz w:val="20"/>
        </w:rPr>
        <w:t xml:space="preserve">Taxation and Eligibility for Investment </w:t>
      </w:r>
    </w:p>
    <w:p>
      <w:pPr>
        <w:pStyle w:val="TextBody"/>
        <w:bidi w:val="0"/>
        <w:spacing w:before="120" w:after="0"/>
        <w:jc w:val="left"/>
        <w:rPr>
          <w:rFonts w:ascii="Times New Roman" w:hAnsi="Times New Roman"/>
          <w:sz w:val="20"/>
        </w:rPr>
      </w:pPr>
      <w:r>
        <w:rPr>
          <w:rFonts w:ascii="Times New Roman" w:hAnsi="Times New Roman"/>
          <w:sz w:val="20"/>
        </w:rPr>
        <w:t xml:space="preserve">Canadian purchasers of securities should consult their own legal and tax advisors with respect to the tax consequences of an investment in the securities in their particular circumstances and about the eligibility of the securities for investment by the purchaser under relevant Canadian legislation. </w:t>
      </w:r>
    </w:p>
    <w:p>
      <w:pPr>
        <w:pStyle w:val="TextBody"/>
        <w:bidi w:val="0"/>
        <w:spacing w:before="360" w:after="0"/>
        <w:jc w:val="left"/>
        <w:rPr>
          <w:rFonts w:ascii="Times New Roman" w:hAnsi="Times New Roman"/>
          <w:i/>
          <w:sz w:val="20"/>
        </w:rPr>
      </w:pPr>
      <w:r>
        <w:rPr>
          <w:rFonts w:ascii="Times New Roman" w:hAnsi="Times New Roman"/>
          <w:i/>
          <w:sz w:val="20"/>
        </w:rPr>
        <w:t xml:space="preserve">Language of Documents </w:t>
      </w:r>
    </w:p>
    <w:p>
      <w:pPr>
        <w:pStyle w:val="TextBody"/>
        <w:bidi w:val="0"/>
        <w:spacing w:before="120" w:after="0"/>
        <w:jc w:val="left"/>
        <w:rPr>
          <w:rFonts w:ascii="Times New Roman" w:hAnsi="Times New Roman"/>
          <w:sz w:val="20"/>
        </w:rPr>
      </w:pPr>
      <w:r>
        <w:rPr>
          <w:rFonts w:ascii="Times New Roman" w:hAnsi="Times New Roman"/>
          <w:sz w:val="20"/>
        </w:rPr>
        <w:t xml:space="preserve">The purchaser confirms its express wish and that it has requested that this document, all documents evidencing or relating to the sale of the securities described herein and all other related documents be drawn up exclusively in the English language. </w:t>
      </w:r>
      <w:r>
        <w:rPr>
          <w:rFonts w:ascii="Times New Roman" w:hAnsi="Times New Roman"/>
          <w:i/>
          <w:sz w:val="20"/>
        </w:rPr>
        <w:t>L’acquéreur confirme sa volonté expresse et qu’il a demandé que le présent document, tous les documents attestant de la vente des titres décrits dans le présent document ou s’y rapportant ainsi que tous les autres documents s’y rattachant soient rédigés exclusivement en langue anglaise.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Hong Kong </w:t>
      </w:r>
    </w:p>
    <w:p>
      <w:pPr>
        <w:pStyle w:val="TextBody"/>
        <w:bidi w:val="0"/>
        <w:spacing w:before="120" w:after="0"/>
        <w:jc w:val="left"/>
        <w:rPr>
          <w:rFonts w:ascii="Times New Roman" w:hAnsi="Times New Roman"/>
          <w:sz w:val="20"/>
        </w:rPr>
      </w:pPr>
      <w:r>
        <w:rPr>
          <w:rFonts w:ascii="Times New Roman" w:hAnsi="Times New Roman"/>
          <w:sz w:val="20"/>
        </w:rPr>
        <w:t xml:space="preserve">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(“SFO”) and any rules made under that Ordinance; or in other circumstances which do not result in the document being a “prospectus” as defined in the Companies Ordinance (Cap. 32) of Hong Kong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the securities which are or are intended to be disposed of only to persons outside Hong Kong or only to “professional investors” as defined in the SFO and any rules made under that Ordinance.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has not been registered with the Registrar of Companies in Hong Kong. Accordingly, this prospectus supplement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supplement and the relevant offering documents and that he is not acquiring, and has not been offered any securities in circumstances that contravene any such restrictions.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Israel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does not constitute a prospectus under the Israeli Securities Law, 5728-1968, or the Securities Law, and has not been filed with or approved by the Israel Securities Authority. In Israel, this prospectus supplement is being distributed only to, and is directed only at, and any offer of the securities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 </w:t>
      </w:r>
    </w:p>
    <w:p>
      <w:pPr>
        <w:pStyle w:val="TextBody"/>
        <w:bidi w:val="0"/>
        <w:spacing w:before="360" w:after="0"/>
        <w:jc w:val="left"/>
        <w:rPr>
          <w:rFonts w:ascii="Times New Roman" w:hAnsi="Times New Roman"/>
          <w:b/>
          <w:i/>
          <w:sz w:val="20"/>
        </w:rPr>
      </w:pPr>
      <w:r>
        <w:rPr>
          <w:rFonts w:ascii="Times New Roman" w:hAnsi="Times New Roman"/>
          <w:b/>
          <w:i/>
          <w:sz w:val="20"/>
        </w:rPr>
        <w:t xml:space="preserve">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has not been and will not be lodged or registered as a prospectus with the Monetary Authority of Singapore. Accordingly, this prospectus supplement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Where the securities are subscribed or purchased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or to a relevant person defined in Section 275(2) of the SFA, or to any person arising from an offer referred to in Section 275(1A) or Section 276(4)(i)(B)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Section 276(7)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Regulation 32 of the Securities and Futures (Offers of Investments) (Shares and Debentures) Regulations 2005 of Singapore.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Japan </w:t>
      </w:r>
    </w:p>
    <w:p>
      <w:pPr>
        <w:pStyle w:val="TextBody"/>
        <w:bidi w:val="0"/>
        <w:spacing w:before="120" w:after="0"/>
        <w:jc w:val="left"/>
        <w:rPr>
          <w:rFonts w:ascii="Times New Roman" w:hAnsi="Times New Roman"/>
          <w:sz w:val="20"/>
        </w:rPr>
      </w:pPr>
      <w:r>
        <w:rPr>
          <w:rFonts w:ascii="Times New Roman" w:hAnsi="Times New Roman"/>
          <w:sz w:val="20"/>
        </w:rPr>
        <w:t xml:space="preserve">The offering has not been and will not be registered under the Financial Instruments and Exchange Law of Japan (Law No. 25 of 1948 of Japan, as amended), or FIEL, and the underwriters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 </w:t>
      </w:r>
    </w:p>
    <w:p>
      <w:pPr>
        <w:pStyle w:val="TextBody"/>
        <w:bidi w:val="0"/>
        <w:spacing w:before="360" w:after="0"/>
        <w:jc w:val="left"/>
        <w:rPr>
          <w:rFonts w:ascii="Times New Roman" w:hAnsi="Times New Roman"/>
          <w:b/>
          <w:i/>
          <w:sz w:val="20"/>
        </w:rPr>
      </w:pPr>
      <w:r>
        <w:rPr>
          <w:rFonts w:ascii="Times New Roman" w:hAnsi="Times New Roman"/>
          <w:b/>
          <w:i/>
          <w:sz w:val="20"/>
        </w:rPr>
        <w:t xml:space="preserve">Switzerland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may not be publicly offered in Switzerland and will not be listed on the SIX Swiss Exchange (“SIX”) or on any other stock exchange or regulated trading facility in Switzerland. This prospectus supplement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any other offering or marketing material relating to the securities or the offering may be publicly distributed or otherwise made publicly available in Switzerland. </w:t>
      </w:r>
    </w:p>
    <w:p>
      <w:pPr>
        <w:pStyle w:val="TextBody"/>
        <w:bidi w:val="0"/>
        <w:spacing w:before="240" w:after="0"/>
        <w:jc w:val="left"/>
        <w:rPr>
          <w:rFonts w:ascii="Times New Roman" w:hAnsi="Times New Roman"/>
          <w:sz w:val="20"/>
        </w:rPr>
      </w:pPr>
      <w:r>
        <w:rPr>
          <w:rFonts w:ascii="Times New Roman" w:hAnsi="Times New Roman"/>
          <w:sz w:val="20"/>
        </w:rPr>
        <w:t xml:space="preserve">Neither this prospectus supplement nor any other offering or marketing material relating to the offering, the Company or the securities have been or will be filed with or approved by any Swiss regulatory authority. In particular, this prospectus supplement will not be filed with, and the offer of the securities will not be supervised by, the Swiss Financial Market Supervisory Authority FINMA, and the offer of the securities has not been and will not be authorized under the Swiss Federal Act on Collective Investment Schemes (“CISA”). The investor protection afforded to acquirers of interests in collective investment schemes under the CISA does not extend to acquirers of the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United Arab Emirates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have not been, and are not being, publicly offered, sold, promoted or advertised in the United Arab Emirates (including the Dubai International Financial Centre) other than in compliance with the laws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United Arab Emirates (and the Dubai International Financial Centre) governing the issue, offering and sale of securities. Further, this prospectus supplement does not constitute a public offer of securities in the United Arab Emirates (including the Dubai International Financial Centre) and is not intended to be a public offer. Neither this prospectus supplement nor the accompanying prospectus has been approved by or filed with the Central Bank of the United Arab Emirates, the Securities and Commodities Authority or the Dubai Financial Services Authority.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Dubai International Financial Centre </w:t>
      </w:r>
    </w:p>
    <w:p>
      <w:pPr>
        <w:pStyle w:val="TextBody"/>
        <w:bidi w:val="0"/>
        <w:spacing w:before="120" w:after="0"/>
        <w:jc w:val="left"/>
        <w:rPr>
          <w:rFonts w:ascii="Times New Roman" w:hAnsi="Times New Roman"/>
          <w:sz w:val="20"/>
        </w:rPr>
      </w:pPr>
      <w:r>
        <w:rPr>
          <w:rFonts w:ascii="Times New Roman" w:hAnsi="Times New Roman"/>
          <w:sz w:val="20"/>
        </w:rPr>
        <w:t xml:space="preserve">This document relates to an Exempt Offer in accordance with the Markets Rules of the Dubai Financial Services Authority. This document is intended for distribution only to Persons of a type specified in those rules to whom Exempt Offers can be made. It must not be delivered to, or relied on by, any other Person. The Dubai Financial Services Authority has no responsibility for reviewing or verifying any documents in connection with Exempt Offers. The Dubai Financial Services Authority has not approved this document nor taken steps to verify the information set out in it, and has no responsibility for it.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toc84692_10"/>
      <w:bookmarkEnd w:id="1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Latham &amp; Watkins LLP, San Diego, California, will pass upon certain legal matters relating to the issuance and sale of the securities offered hereby on behalf of Tyra Biosciences, Inc. The underwriters are being represented in connection with this offering by Cooley LLP, San Francisco, California. </w:t>
      </w:r>
    </w:p>
    <w:p>
      <w:pPr>
        <w:pStyle w:val="TextBody"/>
        <w:bidi w:val="0"/>
        <w:spacing w:before="480" w:after="0"/>
        <w:jc w:val="center"/>
        <w:rPr>
          <w:rFonts w:ascii="Times New Roman" w:hAnsi="Times New Roman"/>
          <w:b/>
          <w:sz w:val="20"/>
        </w:rPr>
      </w:pPr>
      <w:bookmarkStart w:id="13" w:name="suptoc84692_11"/>
      <w:bookmarkEnd w:id="1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Ernst &amp; Young LLP, independent registered public accounting firm, has audited our financial statements included in our Annual Report on Form 10-K for the year ended December 31, 2025, as set forth in their report, which is incorporated by reference in this prospectus supplement and elsewhere in the registration statement. Our financial statements are incorporated by reference in reliance on Ernst &amp; Young LLP’s report, given on their authority as experts in accounting and auditing. </w:t>
      </w:r>
    </w:p>
    <w:p>
      <w:pPr>
        <w:pStyle w:val="TextBody"/>
        <w:bidi w:val="0"/>
        <w:spacing w:before="480" w:after="0"/>
        <w:jc w:val="center"/>
        <w:rPr>
          <w:rFonts w:ascii="Times New Roman" w:hAnsi="Times New Roman"/>
          <w:b/>
          <w:sz w:val="20"/>
        </w:rPr>
      </w:pPr>
      <w:bookmarkStart w:id="14" w:name="suptoc84692_12"/>
      <w:bookmarkEnd w:id="14"/>
      <w:r>
        <w:rPr>
          <w:rFonts w:ascii="Times New Roman" w:hAnsi="Times New Roman"/>
          <w:b/>
          <w:sz w:val="20"/>
        </w:rPr>
        <w:t xml:space="preserve">WHERE YOU CAN FIND MORE INFORMATION; INCORPORATION BY REFERENCE </w:t>
      </w:r>
    </w:p>
    <w:p>
      <w:pPr>
        <w:pStyle w:val="TextBody"/>
        <w:bidi w:val="0"/>
        <w:spacing w:before="240" w:after="0"/>
        <w:jc w:val="left"/>
        <w:rPr>
          <w:rFonts w:ascii="Times New Roman" w:hAnsi="Times New Roman"/>
          <w:b/>
          <w:sz w:val="20"/>
        </w:rPr>
      </w:pPr>
      <w:r>
        <w:rPr>
          <w:rFonts w:ascii="Times New Roman" w:hAnsi="Times New Roman"/>
          <w:b/>
          <w:sz w:val="20"/>
        </w:rPr>
        <w:t xml:space="preserve">Available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have filed with the SEC a registration statement on Form S-3 under the Securities Act, of which this prospectus supplement forms a part. The rules and regulations of the SEC allow us to omit from this prospectus supplement and the accompanying prospectus certain information included in the registration statement. For further information about us and the securities we are offering under this prospectus supplement, you should refer to the registration statement and the exhibits and schedules filed with the registration statement. With respect to the statements contained in this prospectus supplement and the accompanying prospectus regarding the contents of any agreement or any other document, in each instance, the statement is qualified in all respects by the complete text of the agreement or document, a copy of which has been filed as an exhibit to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We file reports, proxy statements and other information with the SEC. The SEC maintains a website that contains reports, proxy and information statements and other information about issuers, including us, who file electronically with the SEC. The address of that website is www.sec.gov. </w:t>
      </w:r>
    </w:p>
    <w:p>
      <w:pPr>
        <w:pStyle w:val="TextBody"/>
        <w:bidi w:val="0"/>
        <w:spacing w:before="240" w:after="0"/>
        <w:jc w:val="left"/>
        <w:rPr>
          <w:rFonts w:ascii="Times New Roman" w:hAnsi="Times New Roman"/>
          <w:sz w:val="20"/>
        </w:rPr>
      </w:pPr>
      <w:r>
        <w:rPr>
          <w:rFonts w:ascii="Times New Roman" w:hAnsi="Times New Roman"/>
          <w:sz w:val="20"/>
        </w:rPr>
        <w:t xml:space="preserve">Our website address is www.tyra.bio. The information on, or accessible through, our website is not part of, and is not incorporated into, this prospectus supplement or the accompanying prospectus and should not be considered part of this prospectus supplement or the accompanying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Incorporation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and the accompanying prospectus, and subsequent information that we file with the SEC will automatically update and supersede that information. Any statement contained in this prospectus supplement or a previously filed document incorporated by reference will be deemed to be modified or superseded for purposes of this prospectus supplement and the accompanying prospectus to the extent that a statement contained in this prospectus supplement, the accompanying prospectus, or a subsequently filed document incorporated by reference modifies or replaces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our documents listed below. We are not, however, incorporating by reference any documents or portions thereof, whether specifically listed below or filed in the future, that are not deemed “filed”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the SEC, including our Compensation Committee report and performance graph or any information furnished pursuant to Items 2.02 or 7.01 of Form 8-K or related exhibits furnished pursuant to Item 9.01 of Form 8-K.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incorporate by reference the documents set forth below that have previously been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March 2,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from our Definitive Proxy Statement on </w:t>
            </w:r>
            <w:hyperlink r:id="rId4">
              <w:r>
                <w:rPr>
                  <w:rStyle w:val="InternetLink"/>
                  <w:rFonts w:ascii="Times New Roman" w:hAnsi="Times New Roman"/>
                  <w:sz w:val="20"/>
                </w:rPr>
                <w:t>Schedule 14A</w:t>
              </w:r>
            </w:hyperlink>
            <w:r>
              <w:rPr>
                <w:rFonts w:ascii="Times New Roman" w:hAnsi="Times New Roman"/>
                <w:sz w:val="20"/>
              </w:rPr>
              <w:t xml:space="preserve">, filed with the SEC on April 17,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w:t>
            </w:r>
            <w:hyperlink r:id="rId5">
              <w:r>
                <w:rPr>
                  <w:rStyle w:val="InternetLink"/>
                  <w:rFonts w:ascii="Times New Roman" w:hAnsi="Times New Roman"/>
                  <w:sz w:val="20"/>
                </w:rPr>
                <w:t>March 31, 2026</w:t>
              </w:r>
            </w:hyperlink>
            <w:r>
              <w:rPr>
                <w:rFonts w:ascii="Times New Roman" w:hAnsi="Times New Roman"/>
                <w:sz w:val="20"/>
              </w:rPr>
              <w:t xml:space="preserve"> and </w:t>
            </w:r>
            <w:hyperlink r:id="rId6">
              <w:r>
                <w:rPr>
                  <w:rStyle w:val="InternetLink"/>
                  <w:rFonts w:ascii="Times New Roman" w:hAnsi="Times New Roman"/>
                  <w:sz w:val="20"/>
                </w:rPr>
                <w:t>June 30, 2026</w:t>
              </w:r>
            </w:hyperlink>
            <w:r>
              <w:rPr>
                <w:rFonts w:ascii="Times New Roman" w:hAnsi="Times New Roman"/>
                <w:sz w:val="20"/>
              </w:rPr>
              <w:t xml:space="preserve">, filed with the SEC on May 13, 2026 and August 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7">
              <w:r>
                <w:rPr>
                  <w:rStyle w:val="InternetLink"/>
                  <w:rFonts w:ascii="Times New Roman" w:hAnsi="Times New Roman"/>
                  <w:sz w:val="20"/>
                </w:rPr>
                <w:t>March 4, 2026</w:t>
              </w:r>
            </w:hyperlink>
            <w:r>
              <w:rPr>
                <w:rFonts w:ascii="Times New Roman" w:hAnsi="Times New Roman"/>
                <w:sz w:val="20"/>
              </w:rPr>
              <w:t xml:space="preserve">, </w:t>
            </w:r>
            <w:hyperlink r:id="rId8">
              <w:r>
                <w:rPr>
                  <w:rStyle w:val="InternetLink"/>
                  <w:rFonts w:ascii="Times New Roman" w:hAnsi="Times New Roman"/>
                  <w:sz w:val="20"/>
                </w:rPr>
                <w:t>April  2, 2026</w:t>
              </w:r>
            </w:hyperlink>
            <w:r>
              <w:rPr>
                <w:rFonts w:ascii="Times New Roman" w:hAnsi="Times New Roman"/>
                <w:sz w:val="20"/>
              </w:rPr>
              <w:t xml:space="preserve">, </w:t>
            </w:r>
            <w:hyperlink r:id="rId9">
              <w:r>
                <w:rPr>
                  <w:rStyle w:val="InternetLink"/>
                  <w:rFonts w:ascii="Times New Roman" w:hAnsi="Times New Roman"/>
                  <w:sz w:val="20"/>
                </w:rPr>
                <w:t>April  17, 2026</w:t>
              </w:r>
            </w:hyperlink>
            <w:r>
              <w:rPr>
                <w:rFonts w:ascii="Times New Roman" w:hAnsi="Times New Roman"/>
                <w:sz w:val="20"/>
              </w:rPr>
              <w:t xml:space="preserve">, </w:t>
            </w:r>
            <w:hyperlink r:id="rId10">
              <w:r>
                <w:rPr>
                  <w:rStyle w:val="InternetLink"/>
                  <w:rFonts w:ascii="Times New Roman" w:hAnsi="Times New Roman"/>
                  <w:sz w:val="20"/>
                </w:rPr>
                <w:t>June  2, 2026</w:t>
              </w:r>
            </w:hyperlink>
            <w:r>
              <w:rPr>
                <w:rFonts w:ascii="Times New Roman" w:hAnsi="Times New Roman"/>
                <w:sz w:val="20"/>
              </w:rPr>
              <w:t xml:space="preserve"> and </w:t>
            </w:r>
            <w:hyperlink r:id="rId11">
              <w:r>
                <w:rPr>
                  <w:rStyle w:val="InternetLink"/>
                  <w:rFonts w:ascii="Times New Roman" w:hAnsi="Times New Roman"/>
                  <w:sz w:val="20"/>
                </w:rPr>
                <w:t>September 9,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the registration statement on </w:t>
            </w:r>
            <w:hyperlink r:id="rId12">
              <w:r>
                <w:rPr>
                  <w:rStyle w:val="InternetLink"/>
                  <w:rFonts w:ascii="Times New Roman" w:hAnsi="Times New Roman"/>
                  <w:sz w:val="20"/>
                </w:rPr>
                <w:t>Form 8-A</w:t>
              </w:r>
            </w:hyperlink>
            <w:r>
              <w:rPr>
                <w:rFonts w:ascii="Times New Roman" w:hAnsi="Times New Roman"/>
                <w:sz w:val="20"/>
              </w:rPr>
              <w:t xml:space="preserve">, filed with the SEC on September 10, 2021, as updated by </w:t>
            </w:r>
            <w:hyperlink r:id="rId13">
              <w:r>
                <w:rPr>
                  <w:rStyle w:val="InternetLink"/>
                  <w:rFonts w:ascii="Times New Roman" w:hAnsi="Times New Roman"/>
                  <w:sz w:val="20"/>
                </w:rPr>
                <w:t>Exhibit 4.3</w:t>
              </w:r>
            </w:hyperlink>
            <w:r>
              <w:rPr>
                <w:rFonts w:ascii="Times New Roman" w:hAnsi="Times New Roman"/>
                <w:sz w:val="20"/>
              </w:rPr>
              <w:t xml:space="preserve"> to our Annual Report on Form 10-K for the year ended December 31, 2021, and any amendment or report filed with the SEC for the purpose of updating the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reports and other documents we subsequently file pursuant to Section 13(a), 13(c), 14 or 15(d) of the Exchange Act prior to the termination of this offering, but excluding any information furnished to, rather than filed with, the SEC, will also be incorporated by reference into this prospectus supplement and the accompanying prospectus and deemed to be part of this prospectus supplement and the accompanying prospectus from the date of the filing of such reports and documents. </w:t>
      </w:r>
    </w:p>
    <w:p>
      <w:pPr>
        <w:pStyle w:val="TextBody"/>
        <w:bidi w:val="0"/>
        <w:spacing w:before="240" w:after="0"/>
        <w:jc w:val="left"/>
        <w:rPr>
          <w:rFonts w:ascii="Times New Roman" w:hAnsi="Times New Roman"/>
          <w:sz w:val="20"/>
        </w:rPr>
      </w:pPr>
      <w:r>
        <w:rPr>
          <w:rFonts w:ascii="Times New Roman" w:hAnsi="Times New Roman"/>
          <w:sz w:val="20"/>
        </w:rPr>
        <w:t xml:space="preserve">You may request a free copy of any of the documents incorporated by reference in this prospectus supplement and the accompanying prospectus (other than exhibits, unless they are specifically incorporated by reference in the documents) by writing or telephoning us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Tyra Biosciences, Inc.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2656 State Street </w:t>
      </w:r>
    </w:p>
    <w:p>
      <w:pPr>
        <w:pStyle w:val="TextBody"/>
        <w:bidi w:val="0"/>
        <w:spacing w:before="0" w:after="0"/>
        <w:jc w:val="center"/>
        <w:rPr>
          <w:rFonts w:ascii="Times New Roman" w:hAnsi="Times New Roman"/>
          <w:sz w:val="20"/>
        </w:rPr>
      </w:pPr>
      <w:r>
        <w:rPr>
          <w:rFonts w:ascii="Times New Roman" w:hAnsi="Times New Roman"/>
          <w:sz w:val="20"/>
        </w:rPr>
        <w:t xml:space="preserve">Carlsbad, California 92008 </w:t>
      </w:r>
    </w:p>
    <w:p>
      <w:pPr>
        <w:pStyle w:val="TextBody"/>
        <w:bidi w:val="0"/>
        <w:spacing w:before="0" w:after="0"/>
        <w:jc w:val="center"/>
        <w:rPr>
          <w:rFonts w:ascii="Times New Roman" w:hAnsi="Times New Roman"/>
          <w:sz w:val="20"/>
        </w:rPr>
      </w:pPr>
      <w:r>
        <w:rPr>
          <w:rFonts w:ascii="Times New Roman" w:hAnsi="Times New Roman"/>
          <w:sz w:val="20"/>
        </w:rPr>
        <w:t xml:space="preserve">(619) 728-4760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1614170" cy="48514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4"/>
                    <a:stretch>
                      <a:fillRect/>
                    </a:stretch>
                  </pic:blipFill>
                  <pic:spPr bwMode="auto">
                    <a:xfrm>
                      <a:off x="0" y="0"/>
                      <a:ext cx="1614170" cy="48514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 securities identified above from time to time in one or more offerings. This prospectus provides you with a general description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the documents we incorporate by reference, before you invest in any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0"/>
        </w:rPr>
        <w:t>INVESTING IN OUR SECURITIES INVOLVES RISKS. SEE THE “</w:t>
      </w:r>
      <w:hyperlink w:anchor="tx49930_4">
        <w:r>
          <w:rPr>
            <w:rStyle w:val="InternetLink"/>
            <w:rFonts w:ascii="Times New Roman" w:hAnsi="Times New Roman"/>
            <w:b/>
            <w:sz w:val="20"/>
          </w:rPr>
          <w:t>RISK FACTORS</w:t>
        </w:r>
      </w:hyperlink>
      <w:r>
        <w:rPr>
          <w:rFonts w:ascii="Times New Roman" w:hAnsi="Times New Roman"/>
          <w:b/>
          <w:sz w:val="20"/>
        </w:rPr>
        <w:t xml:space="preserve">” ON PAGE 5 OF THIS PROSPECTUS AND ANY SIMILAR SECTION CONTAINED IN THE APPLICABLE PROSPECTUS SUPPLEMENT CONCERNING FACTORS YOU SHOULD CONSIDER BEFORE INVESTING IN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“TYRA.” On September 11, 2026, the last reported sale price of our common stock on the Nasdaq Global Select Market was $22.03 per share.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September 14,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oc1"/>
      <w:bookmarkEnd w:id="15"/>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49930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49930_2">
              <w:r>
                <w:rPr>
                  <w:rStyle w:val="InternetLink"/>
                  <w:rFonts w:ascii="Times New Roman" w:hAnsi="Times New Roman"/>
                  <w:sz w:val="20"/>
                </w:rPr>
                <w:t>WHERE YOU CAN FIND MORE INFORMATION; INCORPORATION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49930_3">
              <w:r>
                <w:rPr>
                  <w:rStyle w:val="InternetLink"/>
                  <w:rFonts w:ascii="Times New Roman" w:hAnsi="Times New Roman"/>
                  <w:sz w:val="20"/>
                </w:rPr>
                <w:t>THE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49930_4">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49930_5">
              <w:r>
                <w:rPr>
                  <w:rStyle w:val="InternetLink"/>
                  <w:rFonts w:ascii="Times New Roman" w:hAnsi="Times New Roman"/>
                  <w:sz w:val="20"/>
                </w:rPr>
                <w:t>CAUTIONARY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49930_6">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49930_7">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49930_8">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49930_9">
              <w:r>
                <w:rPr>
                  <w:rStyle w:val="InternetLink"/>
                  <w:rFonts w:ascii="Times New Roman" w:hAnsi="Times New Roman"/>
                  <w:sz w:val="20"/>
                </w:rPr>
                <w:t>DESCRIPTION OF OTHER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49930_10">
              <w:r>
                <w:rPr>
                  <w:rStyle w:val="InternetLink"/>
                  <w:rFonts w:ascii="Times New Roman" w:hAnsi="Times New Roman"/>
                  <w:sz w:val="20"/>
                </w:rPr>
                <w:t>GLOBAL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49930_11">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49930_12">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49930_13">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49930_1"/>
      <w:bookmarkEnd w:id="16"/>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U.S. Securities and Exchange Commission (the SEC), as a “well-known seasoned issuer” as defined in Rule 405 under the Securities Act of 1933, as amended (the Securities Act),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supplements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“Tyra,” “we,” “our,” “us” and the “Company” in this prospectus, we mean Tyra Biosciences, Inc., unless otherwise specified. When we refer to “you,” we mean the potential holders of the applicable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We use our trademarks in this prospectus as well as trademarks, tradenames and service marks that are the property of other organizations. Solely for convenience, trademarks and tradenames referred to in this prospectus appear without the ® and  symbols, but those references are not intended to indicate, in any way, that we will not assert, to the fullest extent under applicable law, our rights or that the applicable owner will not assert its rights, to these trademarks and tradenames.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49930_2"/>
      <w:bookmarkEnd w:id="17"/>
      <w:r>
        <w:rPr>
          <w:rFonts w:ascii="Times New Roman" w:hAnsi="Times New Roman"/>
          <w:b/>
          <w:sz w:val="20"/>
        </w:rPr>
        <w:t xml:space="preserve">WHERE YOU CAN FIND MORE INFORMATION; INCORPORATION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Available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file reports, proxy statements and other information with the SEC. The SEC maintains a website that contains reports, proxy and information statements and other information about issuers, including us, who file electronically with the SEC. The address of that website is http://www.sec.gov. </w:t>
      </w:r>
    </w:p>
    <w:p>
      <w:pPr>
        <w:pStyle w:val="TextBody"/>
        <w:bidi w:val="0"/>
        <w:spacing w:before="240" w:after="0"/>
        <w:jc w:val="left"/>
        <w:rPr>
          <w:rFonts w:ascii="Times New Roman" w:hAnsi="Times New Roman"/>
          <w:sz w:val="20"/>
        </w:rPr>
      </w:pPr>
      <w:r>
        <w:rPr>
          <w:rFonts w:ascii="Times New Roman" w:hAnsi="Times New Roman"/>
          <w:sz w:val="20"/>
        </w:rPr>
        <w:t xml:space="preserve">Our website address is www.tyra.bio. The information on, or accessible through, our website, however, is not, and should not be deemed to be,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before="360" w:after="0"/>
        <w:jc w:val="left"/>
        <w:rPr>
          <w:rFonts w:ascii="Times New Roman" w:hAnsi="Times New Roman"/>
          <w:b/>
          <w:sz w:val="20"/>
        </w:rPr>
      </w:pPr>
      <w:r>
        <w:rPr>
          <w:rFonts w:ascii="Times New Roman" w:hAnsi="Times New Roman"/>
          <w:b/>
          <w:sz w:val="20"/>
        </w:rPr>
        <w:t xml:space="preserve">Incorporation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accompanying prospectus supplement incorporate by reference the documents set forth below that have previously been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5">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March 2,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from our Definitive Proxy Statement on </w:t>
            </w:r>
            <w:hyperlink r:id="rId16">
              <w:r>
                <w:rPr>
                  <w:rStyle w:val="InternetLink"/>
                  <w:rFonts w:ascii="Times New Roman" w:hAnsi="Times New Roman"/>
                  <w:sz w:val="20"/>
                </w:rPr>
                <w:t>Schedule 14A</w:t>
              </w:r>
            </w:hyperlink>
            <w:r>
              <w:rPr>
                <w:rFonts w:ascii="Times New Roman" w:hAnsi="Times New Roman"/>
                <w:sz w:val="20"/>
              </w:rPr>
              <w:t xml:space="preserve">, filed with the SEC on April 17,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March 31, 2026 and June 30, 2026, filed with the SEC on </w:t>
            </w:r>
            <w:hyperlink r:id="rId17">
              <w:r>
                <w:rPr>
                  <w:rStyle w:val="InternetLink"/>
                  <w:rFonts w:ascii="Times New Roman" w:hAnsi="Times New Roman"/>
                  <w:sz w:val="20"/>
                </w:rPr>
                <w:t>May  13, 2026</w:t>
              </w:r>
            </w:hyperlink>
            <w:r>
              <w:rPr>
                <w:rFonts w:ascii="Times New Roman" w:hAnsi="Times New Roman"/>
                <w:sz w:val="20"/>
              </w:rPr>
              <w:t xml:space="preserve"> and </w:t>
            </w:r>
            <w:hyperlink r:id="rId18">
              <w:r>
                <w:rPr>
                  <w:rStyle w:val="InternetLink"/>
                  <w:rFonts w:ascii="Times New Roman" w:hAnsi="Times New Roman"/>
                  <w:sz w:val="20"/>
                </w:rPr>
                <w:t>August 4,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19">
              <w:r>
                <w:rPr>
                  <w:rStyle w:val="InternetLink"/>
                  <w:rFonts w:ascii="Times New Roman" w:hAnsi="Times New Roman"/>
                  <w:sz w:val="20"/>
                </w:rPr>
                <w:t>March 4, 2026</w:t>
              </w:r>
            </w:hyperlink>
            <w:r>
              <w:rPr>
                <w:rFonts w:ascii="Times New Roman" w:hAnsi="Times New Roman"/>
                <w:sz w:val="20"/>
              </w:rPr>
              <w:t xml:space="preserve">, </w:t>
            </w:r>
            <w:hyperlink r:id="rId20">
              <w:r>
                <w:rPr>
                  <w:rStyle w:val="InternetLink"/>
                  <w:rFonts w:ascii="Times New Roman" w:hAnsi="Times New Roman"/>
                  <w:sz w:val="20"/>
                </w:rPr>
                <w:t>April  2, 2026</w:t>
              </w:r>
            </w:hyperlink>
            <w:r>
              <w:rPr>
                <w:rFonts w:ascii="Times New Roman" w:hAnsi="Times New Roman"/>
                <w:sz w:val="20"/>
              </w:rPr>
              <w:t xml:space="preserve">, </w:t>
            </w:r>
            <w:hyperlink r:id="rId21">
              <w:r>
                <w:rPr>
                  <w:rStyle w:val="InternetLink"/>
                  <w:rFonts w:ascii="Times New Roman" w:hAnsi="Times New Roman"/>
                  <w:sz w:val="20"/>
                </w:rPr>
                <w:t>April  17, 2026</w:t>
              </w:r>
            </w:hyperlink>
            <w:r>
              <w:rPr>
                <w:rFonts w:ascii="Times New Roman" w:hAnsi="Times New Roman"/>
                <w:sz w:val="20"/>
              </w:rPr>
              <w:t xml:space="preserve">, </w:t>
            </w:r>
            <w:hyperlink r:id="rId22">
              <w:r>
                <w:rPr>
                  <w:rStyle w:val="InternetLink"/>
                  <w:rFonts w:ascii="Times New Roman" w:hAnsi="Times New Roman"/>
                  <w:sz w:val="20"/>
                </w:rPr>
                <w:t>June  2, 2026</w:t>
              </w:r>
            </w:hyperlink>
            <w:r>
              <w:rPr>
                <w:rFonts w:ascii="Times New Roman" w:hAnsi="Times New Roman"/>
                <w:sz w:val="20"/>
              </w:rPr>
              <w:t xml:space="preserve"> and </w:t>
            </w:r>
            <w:hyperlink r:id="rId23">
              <w:r>
                <w:rPr>
                  <w:rStyle w:val="InternetLink"/>
                  <w:rFonts w:ascii="Times New Roman" w:hAnsi="Times New Roman"/>
                  <w:sz w:val="20"/>
                </w:rPr>
                <w:t>September 9, 2026</w:t>
              </w:r>
            </w:hyperlink>
            <w:r>
              <w:rPr>
                <w:rFonts w:ascii="Times New Roman" w:hAnsi="Times New Roman"/>
                <w:sz w:val="20"/>
              </w:rPr>
              <w:t xml:space="preserve"> ;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24">
              <w:r>
                <w:rPr>
                  <w:rStyle w:val="InternetLink"/>
                  <w:rFonts w:ascii="Times New Roman" w:hAnsi="Times New Roman"/>
                  <w:sz w:val="20"/>
                </w:rPr>
                <w:t>Form 8-A</w:t>
              </w:r>
            </w:hyperlink>
            <w:r>
              <w:rPr>
                <w:rFonts w:ascii="Times New Roman" w:hAnsi="Times New Roman"/>
                <w:sz w:val="20"/>
              </w:rPr>
              <w:t xml:space="preserve">, filed with the SEC on September 10, 2021, as updated by </w:t>
            </w:r>
            <w:hyperlink r:id="rId25">
              <w:r>
                <w:rPr>
                  <w:rStyle w:val="InternetLink"/>
                  <w:rFonts w:ascii="Times New Roman" w:hAnsi="Times New Roman"/>
                  <w:sz w:val="20"/>
                </w:rPr>
                <w:t>Exhibit 4.3</w:t>
              </w:r>
            </w:hyperlink>
            <w:r>
              <w:rPr>
                <w:rFonts w:ascii="Times New Roman" w:hAnsi="Times New Roman"/>
                <w:sz w:val="20"/>
              </w:rPr>
              <w:t xml:space="preserve"> to our Annual Report on Form 10-K for the year ended December 31, 2021, and any amendment or report filed with the SEC for the purpose of updating the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reports and other documents we subsequently file pursuant to Section 13(a), 13(c), 14 or 15(d) of the Securities Exchange Act of 1934, as amended (the Exchange Act) prior to the termination of this offering, but excluding any information furnished to, rather than filed with, the SEC, will also be incorporated by reference into this prospectus and deemed to be part of this prospectus from the date of the filing of such reports and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may request a free copy of any of the documents incorporated by reference in this prospectus (other than exhibits, unless they are specifically incorporated by reference in the documents) by writing or telephoning us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Tyra Biosciences, Inc.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2656 State Street </w:t>
      </w:r>
    </w:p>
    <w:p>
      <w:pPr>
        <w:pStyle w:val="TextBody"/>
        <w:bidi w:val="0"/>
        <w:spacing w:before="0" w:after="0"/>
        <w:jc w:val="center"/>
        <w:rPr>
          <w:rFonts w:ascii="Times New Roman" w:hAnsi="Times New Roman"/>
          <w:sz w:val="20"/>
        </w:rPr>
      </w:pPr>
      <w:r>
        <w:rPr>
          <w:rFonts w:ascii="Times New Roman" w:hAnsi="Times New Roman"/>
          <w:sz w:val="20"/>
        </w:rPr>
        <w:t xml:space="preserve">Carlsbad, California 92008 </w:t>
      </w:r>
    </w:p>
    <w:p>
      <w:pPr>
        <w:pStyle w:val="TextBody"/>
        <w:bidi w:val="0"/>
        <w:spacing w:before="0" w:after="0"/>
        <w:jc w:val="center"/>
        <w:rPr>
          <w:rFonts w:ascii="Times New Roman" w:hAnsi="Times New Roman"/>
          <w:sz w:val="20"/>
        </w:rPr>
      </w:pPr>
      <w:r>
        <w:rPr>
          <w:rFonts w:ascii="Times New Roman" w:hAnsi="Times New Roman"/>
          <w:sz w:val="20"/>
        </w:rPr>
        <w:t xml:space="preserve">(619) 728-4760 </w:t>
      </w:r>
    </w:p>
    <w:p>
      <w:pPr>
        <w:pStyle w:val="TextBody"/>
        <w:bidi w:val="0"/>
        <w:spacing w:before="240" w:after="0"/>
        <w:jc w:val="left"/>
        <w:rPr>
          <w:rFonts w:ascii="Times New Roman" w:hAnsi="Times New Roman"/>
          <w:sz w:val="20"/>
        </w:rPr>
      </w:pPr>
      <w:r>
        <w:rPr>
          <w:rFonts w:ascii="Times New Roman" w:hAnsi="Times New Roman"/>
          <w:sz w:val="20"/>
        </w:rPr>
        <w:t xml:space="preserve">Exhibits to the filings will not be sent, however, unless those exhibits have specifically been incorporated by reference in this prospectus or any accompanying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49930_3"/>
      <w:bookmarkEnd w:id="18"/>
      <w:r>
        <w:rPr>
          <w:rFonts w:ascii="Times New Roman" w:hAnsi="Times New Roman"/>
          <w:b/>
          <w:sz w:val="20"/>
        </w:rPr>
        <w:t xml:space="preserve">THE COMPANY </w:t>
      </w:r>
    </w:p>
    <w:p>
      <w:pPr>
        <w:pStyle w:val="TextBody"/>
        <w:bidi w:val="0"/>
        <w:spacing w:before="240" w:after="0"/>
        <w:jc w:val="left"/>
        <w:rPr>
          <w:rFonts w:ascii="Times New Roman" w:hAnsi="Times New Roman"/>
          <w:sz w:val="20"/>
        </w:rPr>
      </w:pPr>
      <w:r>
        <w:rPr>
          <w:rFonts w:ascii="Times New Roman" w:hAnsi="Times New Roman"/>
          <w:sz w:val="20"/>
        </w:rPr>
        <w:t>We are a clinical-stage biotechnology company focused on developing next-generation precision medicines that target large opportunities in Fibroblast Growth Factor Receptor (FGFR) biology. Our in-house precision medicine platform, SNÅP, enables rapid and precise drug design through iterative molecular SNÅPshots that help us design and predict which candidates may demonstrate the highest potency, selectivity and tolerability in the clinic. Our expertise in FGFR biology has created a differentiated pipeline with clinical-stage programs in targeted oncology and genetically defined conditions. Our lead precision candidate stemming from SNÅP, oral dabogratinib, is a potential first-in-class selective FGFR3 inhibitor in development for low-grade upper tract urothelial carcinoma, low-grade intermediate-risk non-muscle invasive bladder cancer and achondroplasia. We are also developing TYRA-430, an oral, investigational FGFR4/3-biased inhibitor for FGF19+/FGFR4-driven cancers, in the SURF431 study for advanced hepatocellular carcinoma, and TYRA-200, an oral, investigational FGFR1/2/3 inhibitor, in the SURF201 study for metastatic intrahepatic cholangiocarcinoma.</w:t>
      </w:r>
    </w:p>
    <w:p>
      <w:pPr>
        <w:pStyle w:val="TextBody"/>
        <w:bidi w:val="0"/>
        <w:spacing w:before="240" w:after="0"/>
        <w:jc w:val="left"/>
        <w:rPr>
          <w:rFonts w:ascii="Times New Roman" w:hAnsi="Times New Roman"/>
          <w:sz w:val="20"/>
        </w:rPr>
      </w:pPr>
      <w:r>
        <w:rPr>
          <w:rFonts w:ascii="Times New Roman" w:hAnsi="Times New Roman"/>
          <w:sz w:val="20"/>
        </w:rPr>
        <w:t xml:space="preserve">We were incorporated under the laws of the state of Delaware on August 2, 2018. Our principal executive offices are located at 2656 State Street, Carlsbad, California 92008, and our telephone number is (619) 728-4760.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49930_4"/>
      <w:bookmarkEnd w:id="19"/>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Investment in any securities offered pursuant to this prospectus and the applicable prospectus supplement involves risks. You should carefully consider the risk factors incorporated by reference to our most recent Annual Report on Form 10-K and any subsequent Quarterly Reports on Form 10-Q or Current Reports on Form 8-K we file after the date of this prospectus, and all other information contained in or incorporated by reference into this prospectus, as updated by our subsequent filings under the Exchange Act,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49930_5"/>
      <w:bookmarkEnd w:id="20"/>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incorporated by reference herein contain forward-looking statements within the meaning of Section 27A of the Securities Act, and Section 21E of the Exchange Act. All statements other than statements of historical facts contained in this prospectus and the documents incorporated by reference herein, including statements regarding our future results of operations and financial position, business strategy, research and development plans, the anticipated timing, costs, design and conduct of our ongoing and planned preclinical studies and clinical trials for our product candidates, the timing and likelihood of regulatory filings and approvals for our product candidates, our ability to commercialize our product candidates, if approved, the impact of global geopolitical and economic events and war on our business, the pricing and reimbursement of our product candidates, if approved, the potential to develop future product candidates, the timing and likelihood of success, plans and objectives of management for future operations, and future results of anticipated product development efforts,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prospectus and the documents incorporated by reference herein also contain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 </w:t>
      </w:r>
    </w:p>
    <w:p>
      <w:pPr>
        <w:pStyle w:val="TextBody"/>
        <w:bidi w:val="0"/>
        <w:spacing w:before="240" w:after="0"/>
        <w:jc w:val="left"/>
        <w:rPr>
          <w:rFonts w:ascii="Times New Roman" w:hAnsi="Times New Roman"/>
          <w:sz w:val="20"/>
        </w:rPr>
      </w:pPr>
      <w:r>
        <w:rPr>
          <w:rFonts w:ascii="Times New Roman" w:hAnsi="Times New Roman"/>
          <w:sz w:val="20"/>
        </w:rPr>
        <w:t xml:space="preserve">In some cases, you can identify forward-looking statements by terms such as “may,” “will,” “would,” “could,” “should,” “expect,” “plan,” “anticipate,” “could,” “intend,” “target,” “project,” “contemplates,” “believes,” “estimates,” “predicts,” “potential” or “continue” or the negative of these terms or other similar expressions. The forward-looking statements in this prospectus and the documents incorporated by reference herein are only predictions. We have based these forward-looking statements largely on our current expectations and projections about future events and financial and other trends that we believe may affect our business, financial condition and results of operations. These forward-looking statements speak only as of the date of this prospectus and are subject to a number of known and unknown risks, uncertainties and assumptions, which we discuss in greater detail in the documents incorporated by reference herein, including under the heading “Risk Factors” and elsewhere in this prospectus. The events and circumstances reflected in our forward-looking statements may not be achieved or occur and actual results could differ materially from those expressed or implied by our forward-looking statements. Moreover, we operate in an evolving environment. New risk factors and uncertainties may emerge from time to time, and it is not possible for management to predict all risk factors and uncertainties. Given these risks and uncertainties, you should not place undue reliance on any forward-looking statement. Except as required by applicable law, we do not plan to publicly update or revise any forward-looking statements contained in this prospectus or the documents incorporated by reference herein, whether as a result of any new information, future events, changed circumstances or otherwise. For all forward-looking statements, we claim the protection of the safe harbor for forward-looking statements contained in the Private Securities Litigation Reform Act of 1995.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49930_6"/>
      <w:bookmarkEnd w:id="21"/>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 of the securities as set forth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49930_7"/>
      <w:bookmarkEnd w:id="22"/>
      <w:r>
        <w:rPr>
          <w:rFonts w:ascii="Times New Roman" w:hAnsi="Times New Roman"/>
          <w:b/>
          <w:sz w:val="20"/>
        </w:rPr>
        <w:t xml:space="preserve">DESCRIPTION OF CAPITAL STOCK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summarizes some of the terms of our capital stock. Because it is only a summary, it does not contain all the information that may be important to you and is subject to and qualified in its entirety by reference to our amended and restated certificate of incorporation and amended and restated bylaws, which are filed as exhibits to our most recent Annual Report on Form 10-K and are incorporated by reference herein. We encourage you to read our certificate of incorporation and our bylaws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our authorized capital stock consisted of 500,000,000 shares of common stock, $0.0001 par value per share, and 50,000,000 shares of preferred stock, $0.0001 par value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are entitled to one vote for each share held on all matters submitted to a vote of stockholders, including the election of directors, and do not have cumulative voting rights. Accordingly, the holders of a majority of the outstanding shares of common stock entitled to vote in any election of directors can elect all of the directors standing for election, if they so choose, other than any directors that holders of any preferred stock we may issue may be entitled to elect. Subject to supermajority votes for some matters, other matters shall be decided by the affirmative vote of our stockholders having a majority in voting power of the votes cast by the stockholders present or represented and voting on such matter. Our amended and restated certificate of incorporation and amended and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amended and restated certificate of incorporation. See below under the heading “Anti-Takeover Effects of Delaware Law and Our Certificate of Incorporation and Bylaws.” </w:t>
      </w:r>
    </w:p>
    <w:p>
      <w:pPr>
        <w:pStyle w:val="TextBody"/>
        <w:bidi w:val="0"/>
        <w:spacing w:before="240" w:after="0"/>
        <w:jc w:val="left"/>
        <w:rPr>
          <w:rFonts w:ascii="Times New Roman" w:hAnsi="Times New Roman"/>
          <w:sz w:val="20"/>
        </w:rPr>
      </w:pPr>
      <w:r>
        <w:rPr>
          <w:rFonts w:ascii="Times New Roman" w:hAnsi="Times New Roman"/>
          <w:sz w:val="20"/>
        </w:rPr>
        <w:t xml:space="preserve">Subject to preferences that may be applicable to any then outstanding preferred stock, holders of common stock are entitled to receive ratably those dividends, if any, as may be declared by the board of directors out of legally available funds.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our liquidation, dissolution or winding up, the holders of common stock will be entitled to share ratably in the assets legally available for distribution to stockholders after the payment of or provision for all of our debts and other liabilities, subject to the prior rights of any preferred stock then outstanding. </w:t>
      </w:r>
    </w:p>
    <w:p>
      <w:pPr>
        <w:pStyle w:val="TextBody"/>
        <w:bidi w:val="0"/>
        <w:spacing w:before="240" w:after="0"/>
        <w:jc w:val="left"/>
        <w:rPr>
          <w:rFonts w:ascii="Times New Roman" w:hAnsi="Times New Roman"/>
          <w:sz w:val="20"/>
        </w:rPr>
      </w:pPr>
      <w:r>
        <w:rPr>
          <w:rFonts w:ascii="Times New Roman" w:hAnsi="Times New Roman"/>
          <w:sz w:val="20"/>
        </w:rPr>
        <w:t xml:space="preserve">Holders of common stock have no preemptive or conversion rights or other subscription rights and there are no redemption or sinking funds provisions applicable to the common stock. The outstanding shares of common stock are duly authorized, validly issued, fully paid and nonassessable. The rights, preferences and privileges of holders of common stock are subject to, and may be adversely affected by, the rights of the holders of shares of any series of preferred stock that we may designate and issue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Computershare Trust Company, N.A. The transfer agent and registrar’s address is 150 Royall Street, Suite 101, Canton, Massachusetts 02021.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prospectus, we have no outstanding shares of preferred stock. Under the terms of our amended and restated certificate of incorporation, our board of directors has the authority, without further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by our stockholders, to issue up to 50,000,000 shares of preferred stock in one or more series, to establish from time to time the number of shares to be included in each such series, to fix the dividend, voting and other rights, preferences and privileges of the shares of each wholly unissued series and any qualifications, limitations or restrictions thereon, and to increase or decrease the number of shares of any such series, but not below the number of shares of such series then outstanding.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and may adversely affect the market price of the common stock and the voting and other rights of the holders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Prior to the issuance of shares of each series, the board of directors is required by the General Corporation Law of the State of Delaware (the DGCL) and our amended and restated certificate of incorporation to adopt resolutions and file a certificate of designation with the Secretary of State of the State of Delaware. The certificate of designation fixes for each class or series the designations, powers, preferences, rights, qualifications, limitations and restrictions, including dividend rights, conversion rights, redemption privileges and liquidation preferences. </w:t>
      </w:r>
    </w:p>
    <w:p>
      <w:pPr>
        <w:pStyle w:val="TextBody"/>
        <w:bidi w:val="0"/>
        <w:spacing w:before="240" w:after="0"/>
        <w:jc w:val="left"/>
        <w:rPr>
          <w:rFonts w:ascii="Times New Roman" w:hAnsi="Times New Roman"/>
          <w:sz w:val="20"/>
        </w:rPr>
      </w:pPr>
      <w:r>
        <w:rPr>
          <w:rFonts w:ascii="Times New Roman" w:hAnsi="Times New Roman"/>
          <w:sz w:val="20"/>
        </w:rPr>
        <w:t xml:space="preserve">All shares of preferred stock offered by this prospectus will, when issued, be fully paid and nonassessable and will not have any preemptive or similar rights.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and may adversely affect the market price of the common stock and the voting and other rights of the holders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a prospectus supplement relating to the class or series of preferred stock being offered the following terms: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stated value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the preferred stock offered, the liquidation preference per share and the offering price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rate(s), period(s) or payment date(s) or method(s) of calculation applicable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are cumulative or non-cumulative and, if cumulative, the date from which dividends on the preferred stock will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any auction and remarketing, if any, for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a sinking fund, if any, for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 for redemption, if applicable,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the preferred stock on any securities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applicable, upon which the preferred stock will be convertible into common stock, including the conversion price or manner of calculation and conversion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if any,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considerations applicable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ranking and preferences of the preferred stock as to dividend rights and rights upon the liquidation, dissolution or winding up of our affairs;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issuance of any class or series of preferred stock ranking senior to or on a parity with the class or series of preferred stock as to dividend rights and rights upon liquidation, dissolution or winding up of our affairs;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limitations or restrictions of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we specify otherwise in the applicable prospectus supplement, the preferred stock will rank, relating to dividends and upon our liquidation, dissolution or winding up: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to all classes or series of our common stock and to all of our equity securities ranking junior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 parity with all of our equity securities the terms of which specifically provide that the equity securities rank on a parity with the preferred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junior to all of our equity securities the terms of which specifically provide that the equity securities rank senior to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 equity securities does not include convertible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Delaware Law and Our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 </w:t>
      </w:r>
    </w:p>
    <w:p>
      <w:pPr>
        <w:pStyle w:val="TextBody"/>
        <w:bidi w:val="0"/>
        <w:spacing w:before="360" w:after="0"/>
        <w:jc w:val="left"/>
        <w:rPr>
          <w:rFonts w:ascii="Times New Roman" w:hAnsi="Times New Roman"/>
          <w:i/>
          <w:sz w:val="20"/>
        </w:rPr>
      </w:pPr>
      <w:r>
        <w:rPr>
          <w:rFonts w:ascii="Times New Roman" w:hAnsi="Times New Roman"/>
          <w:i/>
          <w:sz w:val="20"/>
        </w:rPr>
        <w:t xml:space="preserve">Undesignated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ability of our board of directors, without action by the stockholders, to issue up to 50,000,000 shares of undesignated preferred stock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 </w:t>
      </w:r>
    </w:p>
    <w:p>
      <w:pPr>
        <w:pStyle w:val="TextBody"/>
        <w:bidi w:val="0"/>
        <w:spacing w:before="360" w:after="0"/>
        <w:jc w:val="left"/>
        <w:rPr>
          <w:rFonts w:ascii="Times New Roman" w:hAnsi="Times New Roman"/>
          <w:i/>
          <w:sz w:val="20"/>
        </w:rPr>
      </w:pPr>
      <w:r>
        <w:rPr>
          <w:rFonts w:ascii="Times New Roman" w:hAnsi="Times New Roman"/>
          <w:i/>
          <w:sz w:val="20"/>
        </w:rPr>
        <w:t xml:space="preserve">Stockholder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a special meeting of stockholders may be called only by or at the direction of our board of directors, our chairperson of the board of directors, chief executive officer or president. </w:t>
      </w:r>
    </w:p>
    <w:p>
      <w:pPr>
        <w:pStyle w:val="TextBody"/>
        <w:bidi w:val="0"/>
        <w:spacing w:before="360" w:after="0"/>
        <w:jc w:val="left"/>
        <w:rPr>
          <w:rFonts w:ascii="Times New Roman" w:hAnsi="Times New Roman"/>
          <w:i/>
          <w:sz w:val="20"/>
        </w:rPr>
      </w:pPr>
      <w:r>
        <w:rPr>
          <w:rFonts w:ascii="Times New Roman" w:hAnsi="Times New Roman"/>
          <w:i/>
          <w:sz w:val="20"/>
        </w:rPr>
        <w:t xml:space="preserve">Requirements for Advance Notification of Stockholder Nominations and Proposals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Elimination of Stockholder 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eliminate the right of stockholders to act by written consent without a meeting. </w:t>
      </w:r>
    </w:p>
    <w:p>
      <w:pPr>
        <w:pStyle w:val="TextBody"/>
        <w:bidi w:val="0"/>
        <w:spacing w:before="360" w:after="0"/>
        <w:jc w:val="left"/>
        <w:rPr>
          <w:rFonts w:ascii="Times New Roman" w:hAnsi="Times New Roman"/>
          <w:i/>
          <w:sz w:val="20"/>
        </w:rPr>
      </w:pPr>
      <w:r>
        <w:rPr>
          <w:rFonts w:ascii="Times New Roman" w:hAnsi="Times New Roman"/>
          <w:i/>
          <w:sz w:val="20"/>
        </w:rPr>
        <w:t xml:space="preserve">Staggered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divided into three classes. The directors in each class serve for a three-year term, with one class being elected each year by our stockholders. This system of electing directors may tend to discourage a third party from attempting to obtain control of us, because it generally makes it more difficult for stockholders to replace a majority of the directors. </w:t>
      </w:r>
    </w:p>
    <w:p>
      <w:pPr>
        <w:pStyle w:val="TextBody"/>
        <w:bidi w:val="0"/>
        <w:spacing w:before="360" w:after="0"/>
        <w:jc w:val="left"/>
        <w:rPr>
          <w:rFonts w:ascii="Times New Roman" w:hAnsi="Times New Roman"/>
          <w:i/>
          <w:sz w:val="20"/>
        </w:rPr>
      </w:pPr>
      <w:r>
        <w:rPr>
          <w:rFonts w:ascii="Times New Roman" w:hAnsi="Times New Roman"/>
          <w:i/>
          <w:sz w:val="20"/>
        </w:rPr>
        <w:t xml:space="preserve">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no member of our board of directors may be removed from office except for cause and, in addition to any other vote required by law, upon the approval of not less than two thirds of the total voting power of all of our outstanding voting stock then entitled to vote in the election of directors. </w:t>
      </w:r>
    </w:p>
    <w:p>
      <w:pPr>
        <w:pStyle w:val="TextBody"/>
        <w:bidi w:val="0"/>
        <w:spacing w:before="360" w:after="0"/>
        <w:jc w:val="left"/>
        <w:rPr>
          <w:rFonts w:ascii="Times New Roman" w:hAnsi="Times New Roman"/>
          <w:i/>
          <w:sz w:val="20"/>
        </w:rPr>
      </w:pPr>
      <w:r>
        <w:rPr>
          <w:rFonts w:ascii="Times New Roman" w:hAnsi="Times New Roman"/>
          <w:i/>
          <w:sz w:val="20"/>
        </w:rPr>
        <w:t xml:space="preserve">Stockholders Not Entitled to 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 </w:t>
      </w:r>
    </w:p>
    <w:p>
      <w:pPr>
        <w:pStyle w:val="TextBody"/>
        <w:bidi w:val="0"/>
        <w:spacing w:before="360" w:after="0"/>
        <w:jc w:val="left"/>
        <w:rPr>
          <w:rFonts w:ascii="Times New Roman" w:hAnsi="Times New Roman"/>
          <w:i/>
          <w:sz w:val="20"/>
        </w:rPr>
      </w:pPr>
      <w:r>
        <w:rPr>
          <w:rFonts w:ascii="Times New Roman" w:hAnsi="Times New Roman"/>
          <w:i/>
          <w:sz w:val="20"/>
        </w:rPr>
        <w:t xml:space="preserve">Delaware Anti-Takeover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Section 203 of the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w:t>
      </w:r>
    </w:p>
    <w:p>
      <w:pPr>
        <w:pStyle w:val="TextBody"/>
        <w:bidi w:val="0"/>
        <w:spacing w:before="360" w:after="0"/>
        <w:jc w:val="left"/>
        <w:rPr>
          <w:rFonts w:ascii="Times New Roman" w:hAnsi="Times New Roman"/>
          <w:i/>
          <w:sz w:val="20"/>
        </w:rPr>
      </w:pPr>
      <w:r>
        <w:rPr>
          <w:rFonts w:ascii="Times New Roman" w:hAnsi="Times New Roman"/>
          <w:i/>
          <w:sz w:val="20"/>
        </w:rPr>
        <w:t xml:space="preserve">Choice of Forum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unless we consent in writing to the selection of an alternative forum, the Court of Chancery of the State of Delaware will be the sole and exclusive forum for the following types of actions or proceedings under Delaware statutory or common law: (i) any derivative action or proceeding brought on our behalf; (ii) any action asserting a claim of breach of a fiduciary duty by any of our directors, officers or stockholders to us or our stockholders; (iii) any action asserting a claim against us arising pursuant to any provision of the DGCL or our amended and restated certificate of incorporation or amended and restated bylaws; or (iv) any action asserting a claim governed by the internal affairs doctrine. This exclusive forum provision would not apply to actions arising under federal securities laws, including suits brought to enforce any liability or duty created by the Securities Act, the Exchange Act, the rules and regulations thereunder,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regulations thereunder. Furthermore, Section 22 of the Securities Act creates concurrent jurisdiction for federal and state courts over all suits brought to enforce any duty or liability created by the Securities Act or the rules and regulations thereunder. Our amended and restated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In any case, stockholders will not be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amended and restated certificate of incorporation is inapplicable or unenforceable if it is challenged in a proceeding or otherwise. </w:t>
      </w:r>
    </w:p>
    <w:p>
      <w:pPr>
        <w:pStyle w:val="TextBody"/>
        <w:bidi w:val="0"/>
        <w:spacing w:before="360" w:after="0"/>
        <w:jc w:val="left"/>
        <w:rPr>
          <w:rFonts w:ascii="Times New Roman" w:hAnsi="Times New Roman"/>
          <w:i/>
          <w:sz w:val="20"/>
        </w:rPr>
      </w:pPr>
      <w:r>
        <w:rPr>
          <w:rFonts w:ascii="Times New Roman" w:hAnsi="Times New Roman"/>
          <w:i/>
          <w:sz w:val="20"/>
        </w:rPr>
        <w:t xml:space="preserve">Amendment of Charter and Bylaw Provisions </w:t>
      </w:r>
    </w:p>
    <w:p>
      <w:pPr>
        <w:pStyle w:val="TextBody"/>
        <w:bidi w:val="0"/>
        <w:spacing w:before="120" w:after="0"/>
        <w:jc w:val="left"/>
        <w:rPr>
          <w:rFonts w:ascii="Times New Roman" w:hAnsi="Times New Roman"/>
          <w:sz w:val="20"/>
        </w:rPr>
      </w:pPr>
      <w:r>
        <w:rPr>
          <w:rFonts w:ascii="Times New Roman" w:hAnsi="Times New Roman"/>
          <w:sz w:val="20"/>
        </w:rPr>
        <w:t xml:space="preserve">The amendment of any of the above provisions, except for the provision making it possible for our board of directors to issue preferred stock, would require approval by holders of at least two thirds of the total voting power of all of our outstanding voting stock entitled to vote thereon.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of directors and management. It is possible that these provisions could make it more difficult to accomplish transactions that stockholders may otherwise deem to be in their best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49930_8"/>
      <w:bookmarkEnd w:id="23"/>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will be issued under an indenture between us and a trustee named in the prospectus supplement.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section only, “Tyra,” “we,” “our” or “us” refer to Tyra Biosciences, Inc., unless expressly stated or the context otherwise requires.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 </w:t>
      </w:r>
    </w:p>
    <w:p>
      <w:pPr>
        <w:pStyle w:val="TextBody"/>
        <w:bidi w:val="0"/>
        <w:spacing w:before="240" w:after="0"/>
        <w:jc w:val="left"/>
        <w:rPr>
          <w:rFonts w:ascii="Times New Roman" w:hAnsi="Times New Roman"/>
          <w:sz w:val="20"/>
        </w:rPr>
      </w:pPr>
      <w:r>
        <w:rPr>
          <w:rFonts w:ascii="Times New Roman" w:hAnsi="Times New Roman"/>
          <w:sz w:val="20"/>
        </w:rPr>
        <w:t xml:space="preserve">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ranking of the debt securities (including the terms of any subordination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(expressed as a percentage of the principal amount) at which we will sell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on the aggregate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the principal of the securities of the series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or periods within which, the price or prices at which and the terms and conditions upon which we may redeem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and the price or prices at which we will repurchase debt securities at the option of the holders of debt securities and other detailed terms and provisions of these repurchase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debt securities will be issued,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issued in the form of certificated debt securities or global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principal amount of the debt securities payable upon declaration of acceleration of the maturity date, if other than the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denomination of the debt securities, which may be United States Dollars or any foreign currency, and if such currency of denomination is a composite currency, the agency or organization, if any, responsible for overseeing such composite currency;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currency, currencies or currency units in which payment of principal of, premium and interest on the debt securities will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any security provided for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deletion of or change in the Events of Default described in this prospectus or in the indenture with respect to the debt securities and any change in the acceleration provisions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deletion of or change in the covenants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depositaries, interest rate calculation agents, exchange rate calculation agents or other agents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any of our direct or indirect subsidiaries will guarantee the debt securities of that series, including the terms of subordination, if any, of such guarantees. (Section 2.2)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and Exchange </w:t>
      </w:r>
    </w:p>
    <w:p>
      <w:pPr>
        <w:pStyle w:val="TextBody"/>
        <w:bidi w:val="0"/>
        <w:spacing w:before="120" w:after="0"/>
        <w:jc w:val="left"/>
        <w:rPr>
          <w:rFonts w:ascii="Times New Roman" w:hAnsi="Times New Roman"/>
          <w:sz w:val="20"/>
        </w:rPr>
      </w:pPr>
      <w:r>
        <w:rPr>
          <w:rFonts w:ascii="Times New Roman" w:hAnsi="Times New Roman"/>
          <w:sz w:val="20"/>
        </w:rPr>
        <w:t xml:space="preserve">Each debt security will be represented by either one or more global securities registered in the name of The Depository Trust Company (DTC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 </w:t>
      </w:r>
    </w:p>
    <w:p>
      <w:pPr>
        <w:pStyle w:val="TextBody"/>
        <w:bidi w:val="0"/>
        <w:spacing w:before="240" w:after="0"/>
        <w:jc w:val="left"/>
        <w:rPr>
          <w:rFonts w:ascii="Times New Roman" w:hAnsi="Times New Roman"/>
          <w:sz w:val="20"/>
        </w:rPr>
      </w:pPr>
      <w:r>
        <w:rPr>
          <w:rFonts w:ascii="Times New Roman" w:hAnsi="Times New Roman"/>
          <w:sz w:val="20"/>
        </w:rPr>
        <w:t xml:space="preserve">Certificated Debt Securities. You may transfer or exchange certificated debt securities at any office 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 </w:t>
      </w:r>
    </w:p>
    <w:p>
      <w:pPr>
        <w:pStyle w:val="TextBody"/>
        <w:bidi w:val="0"/>
        <w:spacing w:before="240" w:after="0"/>
        <w:jc w:val="left"/>
        <w:rPr>
          <w:rFonts w:ascii="Times New Roman" w:hAnsi="Times New Roman"/>
          <w:sz w:val="20"/>
        </w:rPr>
      </w:pPr>
      <w:r>
        <w:rPr>
          <w:rFonts w:ascii="Times New Roman" w:hAnsi="Times New Roman"/>
          <w:sz w:val="20"/>
        </w:rPr>
        <w:t xml:space="preserve">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 Global Debt Securities and Book-Entry System. Each global debt security representing book-entry debt securities will be deposited with, or on behalf of, the Depositary, and registered in the name of the Depositary or a nominee of the Depositary. Please see “Global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any restrictive covenants applicable to any issue of debt securities. (Article IV) </w:t>
      </w:r>
    </w:p>
    <w:p>
      <w:pPr>
        <w:pStyle w:val="TextBody"/>
        <w:bidi w:val="0"/>
        <w:spacing w:before="360" w:after="0"/>
        <w:jc w:val="left"/>
        <w:rPr>
          <w:rFonts w:ascii="Times New Roman" w:hAnsi="Times New Roman"/>
          <w:b/>
          <w:sz w:val="20"/>
        </w:rPr>
      </w:pPr>
      <w:r>
        <w:rPr>
          <w:rFonts w:ascii="Times New Roman" w:hAnsi="Times New Roman"/>
          <w:b/>
          <w:sz w:val="20"/>
        </w:rPr>
        <w:t xml:space="preserve">No Protection in the Event of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and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We may not consolidate with or merge with or into, or convey, transfer or lease all or substantially all of our properties and assets to any person (a successor person)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the surviving corporation, or the successor person (if other than Tyra) is a corporation organized and validly existing under the laws of any U.S. domestic jurisdiction and expressly assumes our obligations on the debt securities and under the indenture,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Default or Event of Default shall have occurred and be continuing.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any of our subsidiaries may consolidate with, merge into or transfer all or part of its properties to us. (Section 5.1)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pPr>
      <w:r>
        <w:rPr/>
        <w:t>“</w:t>
      </w:r>
      <w:r>
        <w:rPr>
          <w:rFonts w:ascii="Times New Roman" w:hAnsi="Times New Roman"/>
          <w:sz w:val="20"/>
        </w:rPr>
        <w:t xml:space="preserve">Event of Default” means with respect to any series of debt securities,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principal of any security of that series at its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Tyra and the trustee receive written notice from the holders of not less than 25% in principal amount of the outstanding debt securities of that series as provided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voluntary or involuntary events of bankruptcy, insolvency or reorganization of Tyra;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with respect to debt securities of that series that is described in the applicable prospectus supplement. (Section 6.1)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holder has previously given to the trustee written notice of a continuing Event of Default with respect to debt securities of that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 </w:t>
      </w:r>
    </w:p>
    <w:p>
      <w:pPr>
        <w:pStyle w:val="TextBody"/>
        <w:bidi w:val="0"/>
        <w:spacing w:before="240" w:after="0"/>
        <w:jc w:val="left"/>
        <w:rPr>
          <w:rFonts w:ascii="Times New Roman" w:hAnsi="Times New Roman"/>
          <w:sz w:val="20"/>
        </w:rPr>
      </w:pPr>
      <w:r>
        <w:rPr>
          <w:rFonts w:ascii="Times New Roman" w:hAnsi="Times New Roman"/>
          <w:sz w:val="20"/>
        </w:rPr>
        <w:t xml:space="preserve">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modify, amend or supplement the indenture or the debt securities of any series without the consent of any holder of any debt security: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covenants in the indenture described above under the heading “Consolidation, Merger and Sale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securities in addition to or in place of certificated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guarantees with respect to debt securities of any series or secure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surrender any of our rights or powers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covenants or events of default for the benefit of the holders of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applicable procedures of the applicable depositary;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rights of any holder of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debt securities of any series as permitted by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effect the appointment of a successor trustee with respect to the debt securities of any series and to add to or change any of the provisions of the indenture to provide for or facilitate administration by more than one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requirements of the SEC in order to effect or maintain the qualification of the indenture under the Trust Indenture Act. (Section 9.1)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debt securities whose holders must consent to an amendment, supplement or waiver;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of or extend the time for payment of interest (including default interest)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of or premium on or change the fixed maturity of any debt security or reduce the amount of, or postpone the date fixed for, the payment of any sinking fund or analogous obligation with respect to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discount securities payable upon acceleration of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the principal of or premium or interest on any debt security payable in currency other than that stated in the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redemption payment with respect to any debt security. (Section 9.3)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of Debt Securities and Certain Covenants in Certain Circumstances </w:t>
      </w:r>
    </w:p>
    <w:p>
      <w:pPr>
        <w:pStyle w:val="TextBody"/>
        <w:bidi w:val="0"/>
        <w:spacing w:before="120" w:after="0"/>
        <w:jc w:val="left"/>
        <w:rPr>
          <w:rFonts w:ascii="Times New Roman" w:hAnsi="Times New Roman"/>
          <w:sz w:val="20"/>
        </w:rPr>
      </w:pPr>
      <w:r>
        <w:rPr>
          <w:rFonts w:ascii="Times New Roman" w:hAnsi="Times New Roman"/>
          <w:i/>
          <w:sz w:val="20"/>
        </w:rPr>
        <w:t>Legal Defeasance</w:t>
      </w:r>
      <w:r>
        <w:rPr>
          <w:rFonts w:ascii="Times New Roman" w:hAnsi="Times New Roman"/>
          <w:sz w:val="20"/>
        </w:rPr>
        <w:t xml:space="preserve">. 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discharge may occur only if, among other things, we have delivered to the trustee an opinion of counsel stating that we have received from, or there has been published by, the U.S. Internal Revenue Service a ruling or, since the date of execution of the indenture, there has been a change in the applicable U.S. federal income tax law, in either case to the effect that, and based thereon such opinion shall confirm that, the holders of the debt securities of that series will not recognize income, gain or loss for U.S. federal income tax purposes as a result of the deposit, defeasance and discharge and will be subject to U.S. federal income tax on the same amounts and in the same manner and at the same times as would have been the case if the deposit, defeasance and discharge had not occurred. (Section 8.3) </w:t>
      </w:r>
    </w:p>
    <w:p>
      <w:pPr>
        <w:pStyle w:val="TextBody"/>
        <w:bidi w:val="0"/>
        <w:spacing w:before="240" w:after="0"/>
        <w:jc w:val="left"/>
        <w:rPr>
          <w:rFonts w:ascii="Times New Roman" w:hAnsi="Times New Roman"/>
          <w:sz w:val="20"/>
        </w:rPr>
      </w:pPr>
      <w:r>
        <w:rPr>
          <w:rFonts w:ascii="Times New Roman" w:hAnsi="Times New Roman"/>
          <w:i/>
          <w:sz w:val="20"/>
        </w:rPr>
        <w:t>Defeasance of Certain Covenants</w:t>
      </w:r>
      <w:r>
        <w:rPr>
          <w:rFonts w:ascii="Times New Roman" w:hAnsi="Times New Roman"/>
          <w:sz w:val="20"/>
        </w:rPr>
        <w:t xml:space="preserve">. The indenture provides that, unless otherwise provided by the terms of the applicable series of debt securities, upon compliance with certain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omit to comply with the covenant described under the heading “Consolidation, Merger and Sale of Assets” and certain other covenants set forth in the indenture, as well as any additional covenants which may be set forth in the applicable prospectus supplement;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omission to comply with those covenants will not constitute a Default or an Event of Default with respect to the debt securities of that series (covenant defeasance).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conditions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 Personal Liability of Directors, Officers, Employees or Securityholders </w:t>
      </w:r>
    </w:p>
    <w:p>
      <w:pPr>
        <w:pStyle w:val="TextBody"/>
        <w:bidi w:val="0"/>
        <w:spacing w:before="120" w:after="0"/>
        <w:jc w:val="left"/>
        <w:rPr>
          <w:rFonts w:ascii="Times New Roman" w:hAnsi="Times New Roman"/>
          <w:sz w:val="20"/>
        </w:rPr>
      </w:pPr>
      <w:r>
        <w:rPr>
          <w:rFonts w:ascii="Times New Roman" w:hAnsi="Times New Roman"/>
          <w:sz w:val="20"/>
        </w:rPr>
        <w:t xml:space="preserve">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including any claim or controversy arising out of or relating to the indenture or the securities, will be governed by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49930_9"/>
      <w:bookmarkEnd w:id="24"/>
      <w:r>
        <w:rPr>
          <w:rFonts w:ascii="Times New Roman" w:hAnsi="Times New Roman"/>
          <w:b/>
          <w:sz w:val="20"/>
        </w:rPr>
        <w:t xml:space="preserve">DESCRIPTION OF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set forth in the applicable prospectus supplement a description of any warrants or units issued by us that may be offered and sold pursuant 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49930_10"/>
      <w:bookmarkEnd w:id="25"/>
      <w:r>
        <w:rPr>
          <w:rFonts w:ascii="Times New Roman" w:hAnsi="Times New Roman"/>
          <w:b/>
          <w:sz w:val="20"/>
        </w:rPr>
        <w:t xml:space="preserve">GLOBAL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Book-Entry, Delivery and Form </w:t>
      </w:r>
    </w:p>
    <w:p>
      <w:pPr>
        <w:pStyle w:val="TextBody"/>
        <w:bidi w:val="0"/>
        <w:spacing w:before="120" w:after="0"/>
        <w:jc w:val="left"/>
        <w:rPr>
          <w:rFonts w:ascii="Times New Roman" w:hAnsi="Times New Roman"/>
          <w:sz w:val="20"/>
        </w:rPr>
      </w:pPr>
      <w:r>
        <w:rPr>
          <w:rFonts w:ascii="Times New Roman" w:hAnsi="Times New Roman"/>
          <w:sz w:val="20"/>
        </w:rPr>
        <w:t xml:space="preserve">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limited-purpose trust company organized under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“banking organization” within the meaning of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member of the Federal Reserve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corporation” within the meaning of the New York Uniform Commercial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agency” registered pursuant to the provisions of Section 17A of the Exchange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Redemption notices will be sent to DTC. If less than all of the securities of a particular series are being redeemed, DTC’s practice is to determine by lot the amount of the interest of each direct participant in the securities of such series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 </w:t>
      </w:r>
    </w:p>
    <w:p>
      <w:pPr>
        <w:pStyle w:val="TextBody"/>
        <w:bidi w:val="0"/>
        <w:spacing w:before="240" w:after="0"/>
        <w:jc w:val="left"/>
        <w:rPr>
          <w:rFonts w:ascii="Times New Roman" w:hAnsi="Times New Roman"/>
          <w:sz w:val="20"/>
        </w:rPr>
      </w:pPr>
      <w:r>
        <w:rPr>
          <w:rFonts w:ascii="Times New Roman" w:hAnsi="Times New Roman"/>
          <w:sz w:val="20"/>
        </w:rPr>
        <w:t xml:space="preserve">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 </w:t>
      </w:r>
    </w:p>
    <w:p>
      <w:pPr>
        <w:pStyle w:val="TextBody"/>
        <w:bidi w:val="0"/>
        <w:spacing w:before="240" w:after="0"/>
        <w:jc w:val="left"/>
        <w:rPr>
          <w:rFonts w:ascii="Times New Roman" w:hAnsi="Times New Roman"/>
          <w:sz w:val="20"/>
        </w:rPr>
      </w:pPr>
      <w:r>
        <w:rPr>
          <w:rFonts w:ascii="Times New Roman" w:hAnsi="Times New Roman"/>
          <w:sz w:val="20"/>
        </w:rPr>
        <w:t xml:space="preserve">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 </w:t>
      </w:r>
    </w:p>
    <w:p>
      <w:pPr>
        <w:pStyle w:val="TextBody"/>
        <w:bidi w:val="0"/>
        <w:spacing w:before="240" w:after="0"/>
        <w:jc w:val="left"/>
        <w:rPr>
          <w:rFonts w:ascii="Times New Roman" w:hAnsi="Times New Roman"/>
          <w:sz w:val="20"/>
        </w:rPr>
      </w:pPr>
      <w:r>
        <w:rPr>
          <w:rFonts w:ascii="Times New Roman" w:hAnsi="Times New Roman"/>
          <w:sz w:val="20"/>
        </w:rPr>
        <w:t xml:space="preserve">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laws of some jurisdictions may require that some purchasers of securities take physical delivery of securities in definitive form. Those laws may impair the ability to transfer or pledge beneficial interests in securities. </w:t>
      </w:r>
    </w:p>
    <w:p>
      <w:pPr>
        <w:pStyle w:val="TextBody"/>
        <w:bidi w:val="0"/>
        <w:spacing w:before="240" w:after="0"/>
        <w:jc w:val="left"/>
        <w:rPr>
          <w:rFonts w:ascii="Times New Roman" w:hAnsi="Times New Roman"/>
          <w:sz w:val="20"/>
        </w:rPr>
      </w:pPr>
      <w:r>
        <w:rPr>
          <w:rFonts w:ascii="Times New Roman" w:hAnsi="Times New Roman"/>
          <w:sz w:val="20"/>
        </w:rPr>
        <w:t xml:space="preserve">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noted above, beneficial owners of a particular series of securities generally will not receive certificates representing their ownership interests in those securities. However,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determine, in our sole discretion, not to have such securities represented by one or more global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of Default has occurred and is continuing with respect to such series of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Euroclear and Clearstream </w:t>
      </w:r>
    </w:p>
    <w:p>
      <w:pPr>
        <w:pStyle w:val="TextBody"/>
        <w:bidi w:val="0"/>
        <w:spacing w:before="120" w:after="0"/>
        <w:jc w:val="left"/>
        <w:rPr>
          <w:rFonts w:ascii="Times New Roman" w:hAnsi="Times New Roman"/>
          <w:sz w:val="20"/>
        </w:rPr>
      </w:pPr>
      <w:r>
        <w:rPr>
          <w:rFonts w:ascii="Times New Roman" w:hAnsi="Times New Roman"/>
          <w:sz w:val="20"/>
        </w:rPr>
        <w:t xml:space="preserve">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 </w:t>
      </w:r>
    </w:p>
    <w:p>
      <w:pPr>
        <w:pStyle w:val="TextBody"/>
        <w:bidi w:val="0"/>
        <w:spacing w:before="240" w:after="0"/>
        <w:jc w:val="left"/>
        <w:rPr>
          <w:rFonts w:ascii="Times New Roman" w:hAnsi="Times New Roman"/>
          <w:sz w:val="20"/>
        </w:rPr>
      </w:pPr>
      <w:r>
        <w:rPr>
          <w:rFonts w:ascii="Times New Roman" w:hAnsi="Times New Roman"/>
          <w:sz w:val="20"/>
        </w:rPr>
        <w:t xml:space="preserve">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 </w:t>
      </w:r>
    </w:p>
    <w:p>
      <w:pPr>
        <w:pStyle w:val="TextBody"/>
        <w:bidi w:val="0"/>
        <w:spacing w:before="240" w:after="0"/>
        <w:jc w:val="left"/>
        <w:rPr>
          <w:rFonts w:ascii="Times New Roman" w:hAnsi="Times New Roman"/>
          <w:sz w:val="20"/>
        </w:rPr>
      </w:pPr>
      <w:r>
        <w:rPr>
          <w:rFonts w:ascii="Times New Roman" w:hAnsi="Times New Roman"/>
          <w:sz w:val="20"/>
        </w:rPr>
        <w:t xml:space="preserve">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 </w:t>
      </w:r>
    </w:p>
    <w:p>
      <w:pPr>
        <w:pStyle w:val="TextBody"/>
        <w:bidi w:val="0"/>
        <w:spacing w:before="240" w:after="0"/>
        <w:jc w:val="left"/>
        <w:rPr>
          <w:rFonts w:ascii="Times New Roman" w:hAnsi="Times New Roman"/>
          <w:sz w:val="20"/>
        </w:rPr>
      </w:pPr>
      <w:r>
        <w:rPr>
          <w:rFonts w:ascii="Times New Roman" w:hAnsi="Times New Roman"/>
          <w:sz w:val="20"/>
        </w:rPr>
        <w:t xml:space="preserve">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49930_11"/>
      <w:bookmarkEnd w:id="26"/>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offered securities from time to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underwriters or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one or more purchasers;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these methods of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identify the specific plan of distribution, including any underwriters, dealers, agents or direct purchasers and their compensation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49930_12"/>
      <w:bookmarkEnd w:id="27"/>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Latham &amp; Watkins LLP, San Diego, California, will pass upon certain legal matters relating to the issuance and sale of the securities offered hereby on behalf of Tyra Biosciences, Inc. Latham &amp; Watkins LLP and certain attorneys in the firm who have rendered, and will continue to render, legal services to us, own shares of our common stock representing in the aggregate less than one percent of the shares of our common stock outstanding. Additional legal matters may be passed upon for us or any underwriters, dealers or agents, by counsel that we will name in the applicable prospectus supplement. </w:t>
      </w:r>
    </w:p>
    <w:p>
      <w:pPr>
        <w:pStyle w:val="TextBody"/>
        <w:bidi w:val="0"/>
        <w:spacing w:before="240" w:after="0"/>
        <w:jc w:val="center"/>
        <w:rPr>
          <w:rFonts w:ascii="Times New Roman" w:hAnsi="Times New Roman"/>
          <w:b/>
          <w:sz w:val="20"/>
        </w:rPr>
      </w:pPr>
      <w:bookmarkStart w:id="28" w:name="tx49930_13"/>
      <w:bookmarkEnd w:id="28"/>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Ernst &amp; Young LLP, independent registered public accounting firm, has audited our financial statements included in our Annual Report on Form 10-K for the year ended December 31, 2025,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614170" cy="48514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6"/>
                    <a:stretch>
                      <a:fillRect/>
                    </a:stretch>
                  </pic:blipFill>
                  <pic:spPr bwMode="auto">
                    <a:xfrm>
                      <a:off x="0" y="0"/>
                      <a:ext cx="1614170" cy="48514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 xml:space="preserve">9,079,000 Shares of Common Stock </w:t>
      </w:r>
    </w:p>
    <w:p>
      <w:pPr>
        <w:pStyle w:val="TextBody"/>
        <w:bidi w:val="0"/>
        <w:spacing w:before="240" w:after="0"/>
        <w:jc w:val="center"/>
        <w:rPr>
          <w:rFonts w:ascii="Times New Roman" w:hAnsi="Times New Roman"/>
          <w:b/>
          <w:sz w:val="28"/>
        </w:rPr>
      </w:pPr>
      <w:r>
        <w:rPr>
          <w:rFonts w:ascii="Times New Roman" w:hAnsi="Times New Roman"/>
          <w:b/>
          <w:sz w:val="28"/>
        </w:rPr>
        <w:t xml:space="preserve">Pre-Funded Warrants to Purchase 9,078,529 Shares of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0" w:after="0"/>
        <w:jc w:val="center"/>
        <w:rPr>
          <w:rFonts w:ascii="Times New Roman" w:hAnsi="Times New Roman"/>
          <w:b/>
          <w:i/>
          <w:sz w:val="24"/>
        </w:rPr>
      </w:pPr>
      <w:r>
        <w:rPr>
          <w:rFonts w:ascii="Times New Roman" w:hAnsi="Times New Roman"/>
          <w:b/>
          <w:i/>
          <w:sz w:val="24"/>
        </w:rPr>
        <w:t xml:space="preserve">Joint Book-Running Managers </w:t>
      </w:r>
    </w:p>
    <w:p>
      <w:pPr>
        <w:pStyle w:val="TextBody"/>
        <w:bidi w:val="0"/>
        <w:spacing w:before="120" w:after="0"/>
        <w:jc w:val="center"/>
        <w:rPr>
          <w:rFonts w:ascii="Times New Roman" w:hAnsi="Times New Roman"/>
          <w:b/>
          <w:sz w:val="32"/>
        </w:rPr>
      </w:pPr>
      <w:r>
        <w:rPr>
          <w:rFonts w:ascii="Times New Roman" w:hAnsi="Times New Roman"/>
          <w:b/>
          <w:sz w:val="32"/>
        </w:rPr>
        <w:t xml:space="preserve">Jefferies </w:t>
      </w:r>
    </w:p>
    <w:p>
      <w:pPr>
        <w:pStyle w:val="TextBody"/>
        <w:bidi w:val="0"/>
        <w:spacing w:before="120" w:after="0"/>
        <w:jc w:val="center"/>
        <w:rPr>
          <w:rFonts w:ascii="Times New Roman" w:hAnsi="Times New Roman"/>
          <w:b/>
          <w:sz w:val="32"/>
        </w:rPr>
      </w:pPr>
      <w:r>
        <w:rPr>
          <w:rFonts w:ascii="Times New Roman" w:hAnsi="Times New Roman"/>
          <w:b/>
          <w:sz w:val="32"/>
        </w:rPr>
        <w:t xml:space="preserve">Guggenheim Securities </w:t>
      </w:r>
    </w:p>
    <w:p>
      <w:pPr>
        <w:pStyle w:val="TextBody"/>
        <w:bidi w:val="0"/>
        <w:spacing w:before="120" w:after="0"/>
        <w:jc w:val="center"/>
        <w:rPr>
          <w:rFonts w:ascii="Times New Roman" w:hAnsi="Times New Roman"/>
          <w:b/>
          <w:sz w:val="32"/>
        </w:rPr>
      </w:pPr>
      <w:r>
        <w:rPr>
          <w:rFonts w:ascii="Times New Roman" w:hAnsi="Times New Roman"/>
          <w:b/>
          <w:sz w:val="32"/>
        </w:rPr>
        <w:t xml:space="preserve">Cantor </w:t>
      </w:r>
    </w:p>
    <w:p>
      <w:pPr>
        <w:pStyle w:val="TextBody"/>
        <w:bidi w:val="0"/>
        <w:spacing w:before="120" w:after="0"/>
        <w:jc w:val="center"/>
        <w:rPr>
          <w:rFonts w:ascii="Times New Roman" w:hAnsi="Times New Roman"/>
          <w:b/>
          <w:sz w:val="32"/>
        </w:rPr>
      </w:pPr>
      <w:r>
        <w:rPr>
          <w:rFonts w:ascii="Times New Roman" w:hAnsi="Times New Roman"/>
          <w:b/>
          <w:sz w:val="32"/>
        </w:rPr>
        <w:t xml:space="preserve">Barclays </w:t>
      </w:r>
    </w:p>
    <w:p>
      <w:pPr>
        <w:pStyle w:val="TextBody"/>
        <w:bidi w:val="0"/>
        <w:spacing w:before="120" w:after="0"/>
        <w:jc w:val="center"/>
        <w:rPr>
          <w:rFonts w:ascii="Times New Roman" w:hAnsi="Times New Roman"/>
          <w:b/>
          <w:sz w:val="32"/>
        </w:rPr>
      </w:pPr>
      <w:r>
        <w:rPr>
          <w:rFonts w:ascii="Times New Roman" w:hAnsi="Times New Roman"/>
          <w:b/>
          <w:sz w:val="32"/>
        </w:rPr>
        <w:t xml:space="preserve">William Blair </w:t>
      </w:r>
    </w:p>
    <w:p>
      <w:pPr>
        <w:pStyle w:val="TextBody"/>
        <w:bidi w:val="0"/>
        <w:spacing w:before="0" w:after="0"/>
        <w:jc w:val="left"/>
        <w:rPr/>
      </w:pPr>
      <w:r>
        <w:rPr/>
        <w:t> </w:t>
      </w:r>
    </w:p>
    <w:p>
      <w:pPr>
        <w:pStyle w:val="TextBody"/>
        <w:bidi w:val="0"/>
        <w:spacing w:before="480" w:after="0"/>
        <w:jc w:val="center"/>
        <w:rPr>
          <w:rFonts w:ascii="Times New Roman" w:hAnsi="Times New Roman"/>
          <w:b/>
          <w:i/>
          <w:sz w:val="24"/>
        </w:rPr>
      </w:pPr>
      <w:r>
        <w:rPr>
          <w:rFonts w:ascii="Times New Roman" w:hAnsi="Times New Roman"/>
          <w:b/>
          <w:i/>
          <w:sz w:val="24"/>
        </w:rPr>
        <w:t xml:space="preserve">Lead Managers </w:t>
      </w:r>
    </w:p>
    <w:p>
      <w:pPr>
        <w:pStyle w:val="TextBody"/>
        <w:bidi w:val="0"/>
        <w:spacing w:before="120" w:after="0"/>
        <w:jc w:val="center"/>
        <w:rPr>
          <w:rFonts w:ascii="Times New Roman" w:hAnsi="Times New Roman"/>
          <w:b/>
          <w:sz w:val="28"/>
        </w:rPr>
      </w:pPr>
      <w:r>
        <w:rPr>
          <w:rFonts w:ascii="Times New Roman" w:hAnsi="Times New Roman"/>
          <w:b/>
          <w:sz w:val="28"/>
        </w:rPr>
        <w:t xml:space="preserve">Wedbush PacGrow </w:t>
      </w:r>
    </w:p>
    <w:p>
      <w:pPr>
        <w:pStyle w:val="TextBody"/>
        <w:bidi w:val="0"/>
        <w:spacing w:before="120" w:after="0"/>
        <w:jc w:val="center"/>
        <w:rPr>
          <w:rFonts w:ascii="Times New Roman" w:hAnsi="Times New Roman"/>
          <w:b/>
          <w:sz w:val="28"/>
        </w:rPr>
      </w:pPr>
      <w:r>
        <w:rPr>
          <w:rFonts w:ascii="Times New Roman" w:hAnsi="Times New Roman"/>
          <w:b/>
          <w:sz w:val="28"/>
        </w:rPr>
        <w:t xml:space="preserve">Raymond James </w:t>
      </w:r>
    </w:p>
    <w:p>
      <w:pPr>
        <w:pStyle w:val="TextBody"/>
        <w:bidi w:val="0"/>
        <w:spacing w:before="120" w:after="0"/>
        <w:jc w:val="center"/>
        <w:rPr>
          <w:rFonts w:ascii="Times New Roman" w:hAnsi="Times New Roman"/>
          <w:b/>
          <w:sz w:val="28"/>
        </w:rPr>
      </w:pPr>
      <w:r>
        <w:rPr>
          <w:rFonts w:ascii="Times New Roman" w:hAnsi="Times New Roman"/>
          <w:b/>
          <w:sz w:val="28"/>
        </w:rPr>
        <w:t xml:space="preserve">Oppenheimer &amp; Co. </w:t>
      </w:r>
    </w:p>
    <w:p>
      <w:pPr>
        <w:pStyle w:val="TextBody"/>
        <w:bidi w:val="0"/>
        <w:spacing w:before="0" w:after="0"/>
        <w:jc w:val="left"/>
        <w:rPr/>
      </w:pPr>
      <w:r>
        <w:rPr/>
        <w:t> </w:t>
      </w:r>
    </w:p>
    <w:p>
      <w:pPr>
        <w:pStyle w:val="TextBody"/>
        <w:bidi w:val="0"/>
        <w:spacing w:before="480" w:after="0"/>
        <w:jc w:val="center"/>
        <w:rPr>
          <w:rFonts w:ascii="Times New Roman" w:hAnsi="Times New Roman"/>
          <w:sz w:val="20"/>
        </w:rPr>
      </w:pPr>
      <w:r>
        <w:rPr>
          <w:rFonts w:ascii="Times New Roman" w:hAnsi="Times New Roman"/>
          <w:sz w:val="20"/>
        </w:rPr>
        <w:t xml:space="preserve">September 14,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p>
      <w:pPr>
        <w:pStyle w:val="Normal"/>
        <w:bidi w:val="0"/>
        <w:spacing w:before="0" w:after="0"/>
        <w:jc w:val="left"/>
        <w:rPr>
          <w:sz w:val="4"/>
          <w:szCs w:val="4"/>
        </w:rPr>
      </w:pPr>
      <w:r>
        <w:rPr>
          <w:sz w:val="4"/>
          <w:szCs w:val="4"/>
        </w:rPr>
      </w:r>
      <w:bookmarkStart w:id="29" w:name="d84692dexfilingfees.htm"/>
      <w:bookmarkStart w:id="30" w:name="ksd84692dexfilingfees"/>
      <w:bookmarkStart w:id="31" w:name="d84692dexfilingfees.htm"/>
      <w:bookmarkStart w:id="32" w:name="ksd84692dexfilingfees"/>
      <w:bookmarkEnd w:id="31"/>
      <w:bookmarkEnd w:id="32"/>
      <w:r>
        <w:br w:type="page"/>
      </w:r>
    </w:p>
    <w:tbl>
      <w:tblPr>
        <w:tblW w:w="3572" w:type="dxa"/>
        <w:jc w:val="left"/>
        <w:tblInd w:w="0" w:type="dxa"/>
        <w:tblLayout w:type="fixed"/>
        <w:tblCellMar>
          <w:top w:w="28" w:type="dxa"/>
          <w:left w:w="28" w:type="dxa"/>
          <w:bottom w:w="28" w:type="dxa"/>
          <w:right w:w="28" w:type="dxa"/>
        </w:tblCellMar>
      </w:tblPr>
      <w:tblGrid>
        <w:gridCol w:w="3418"/>
        <w:gridCol w:w="154"/>
      </w:tblGrid>
      <w:tr>
        <w:trPr/>
        <w:tc>
          <w:tcPr>
            <w:tcW w:w="3572"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8"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18" w:type="dxa"/>
            <w:tcBorders/>
            <w:vAlign w:val="center"/>
          </w:tcPr>
          <w:p>
            <w:pPr>
              <w:pStyle w:val="TableContents"/>
              <w:bidi w:val="0"/>
              <w:spacing w:before="0" w:after="283"/>
              <w:jc w:val="left"/>
              <w:rPr>
                <w:b/>
              </w:rPr>
            </w:pPr>
            <w:r>
              <w:rPr>
                <w:b/>
              </w:rPr>
              <w:t xml:space="preserve">Tyra Biosciences,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779" w:type="dxa"/>
        <w:jc w:val="left"/>
        <w:tblInd w:w="0" w:type="dxa"/>
        <w:tblLayout w:type="fixed"/>
        <w:tblCellMar>
          <w:top w:w="28" w:type="dxa"/>
          <w:left w:w="28" w:type="dxa"/>
          <w:bottom w:w="28" w:type="dxa"/>
          <w:right w:w="28" w:type="dxa"/>
        </w:tblCellMar>
      </w:tblPr>
      <w:tblGrid>
        <w:gridCol w:w="1126"/>
        <w:gridCol w:w="226"/>
        <w:gridCol w:w="946"/>
        <w:gridCol w:w="1216"/>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77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216" w:type="dxa"/>
            <w:tcBorders/>
            <w:shd w:fill="E7E7E2" w:val="clear"/>
            <w:vAlign w:val="center"/>
          </w:tcPr>
          <w:p>
            <w:pPr>
              <w:pStyle w:val="TableContents"/>
              <w:bidi w:val="0"/>
              <w:spacing w:before="0" w:after="283"/>
              <w:jc w:val="left"/>
              <w:rPr/>
            </w:pPr>
            <w:r>
              <w:rPr/>
              <w:t xml:space="preserve">Common Stock, par value $0.0001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right"/>
              <w:rPr/>
            </w:pPr>
            <w:r>
              <w:rPr/>
              <w:t xml:space="preserve">9,079,000 </w:t>
            </w:r>
          </w:p>
        </w:tc>
        <w:tc>
          <w:tcPr>
            <w:tcW w:w="1156" w:type="dxa"/>
            <w:tcBorders/>
            <w:shd w:fill="E7E7E2" w:val="clear"/>
            <w:vAlign w:val="center"/>
          </w:tcPr>
          <w:p>
            <w:pPr>
              <w:pStyle w:val="TableContents"/>
              <w:bidi w:val="0"/>
              <w:spacing w:before="0" w:after="283"/>
              <w:jc w:val="right"/>
              <w:rPr/>
            </w:pPr>
            <w:r>
              <w:rPr/>
              <w:t xml:space="preserve">$ 22.03 </w:t>
            </w:r>
          </w:p>
        </w:tc>
        <w:tc>
          <w:tcPr>
            <w:tcW w:w="1786" w:type="dxa"/>
            <w:tcBorders/>
            <w:shd w:fill="E7E7E2" w:val="clear"/>
            <w:vAlign w:val="center"/>
          </w:tcPr>
          <w:p>
            <w:pPr>
              <w:pStyle w:val="TableContents"/>
              <w:bidi w:val="0"/>
              <w:spacing w:before="0" w:after="283"/>
              <w:jc w:val="right"/>
              <w:rPr/>
            </w:pPr>
            <w:r>
              <w:rPr/>
              <w:t xml:space="preserve">$ 200,010,370.00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$ 27,621.43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216" w:type="dxa"/>
            <w:tcBorders/>
            <w:shd w:fill="E7E7E2" w:val="clear"/>
            <w:vAlign w:val="center"/>
          </w:tcPr>
          <w:p>
            <w:pPr>
              <w:pStyle w:val="TableContents"/>
              <w:bidi w:val="0"/>
              <w:spacing w:before="0" w:after="283"/>
              <w:jc w:val="left"/>
              <w:rPr/>
            </w:pPr>
            <w:r>
              <w:rPr/>
              <w:t xml:space="preserve">Pre-Funded Warrants to purchase Common Stock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right"/>
              <w:rPr/>
            </w:pPr>
            <w:r>
              <w:rPr/>
              <w:t xml:space="preserve">9,078,529 </w:t>
            </w:r>
          </w:p>
        </w:tc>
        <w:tc>
          <w:tcPr>
            <w:tcW w:w="1156" w:type="dxa"/>
            <w:tcBorders/>
            <w:shd w:fill="E7E7E2" w:val="clear"/>
            <w:vAlign w:val="center"/>
          </w:tcPr>
          <w:p>
            <w:pPr>
              <w:pStyle w:val="TableContents"/>
              <w:bidi w:val="0"/>
              <w:spacing w:before="0" w:after="283"/>
              <w:jc w:val="right"/>
              <w:rPr/>
            </w:pPr>
            <w:r>
              <w:rPr/>
              <w:t xml:space="preserve">$ 22.03 </w:t>
            </w:r>
          </w:p>
        </w:tc>
        <w:tc>
          <w:tcPr>
            <w:tcW w:w="1786" w:type="dxa"/>
            <w:tcBorders/>
            <w:shd w:fill="E7E7E2" w:val="clear"/>
            <w:vAlign w:val="center"/>
          </w:tcPr>
          <w:p>
            <w:pPr>
              <w:pStyle w:val="TableContents"/>
              <w:bidi w:val="0"/>
              <w:spacing w:before="0" w:after="283"/>
              <w:jc w:val="right"/>
              <w:rPr/>
            </w:pPr>
            <w:r>
              <w:rPr/>
              <w:t xml:space="preserve">$ 199,999,993.87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$ 27,620.00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1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77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1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7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3" w:name="MaxAggtOfferingPrice"/>
            <w:bookmarkEnd w:id="33"/>
            <w:r>
              <w:rPr/>
              <w:t xml:space="preserve">$ 400,010,363.87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4" w:name="TotalFeeAmt"/>
            <w:bookmarkEnd w:id="34"/>
            <w:r>
              <w:rPr/>
              <w:t xml:space="preserve">$ 55,241.43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7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5" w:name="TotalPreviouslyPaidAmt"/>
            <w:bookmarkEnd w:id="3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7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6" w:name="TotalOffsetAmt"/>
            <w:bookmarkEnd w:id="3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7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7" w:name="NetFeeAmt"/>
            <w:bookmarkEnd w:id="37"/>
            <w:r>
              <w:rPr/>
              <w:t xml:space="preserve">$ 55,241.43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5"/>
        <w:gridCol w:w="1340"/>
        <w:gridCol w:w="8660"/>
      </w:tblGrid>
      <w:tr>
        <w:trPr/>
        <w:tc>
          <w:tcPr>
            <w:tcW w:w="205"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0" w:type="dxa"/>
            <w:gridSpan w:val="2"/>
            <w:tcBorders/>
            <w:vAlign w:val="center"/>
          </w:tcPr>
          <w:p>
            <w:pPr>
              <w:pStyle w:val="TableContents"/>
              <w:bidi w:val="0"/>
              <w:spacing w:before="0" w:after="283"/>
              <w:jc w:val="left"/>
              <w:rPr/>
            </w:pPr>
            <w:r>
              <w:rPr/>
              <w:t xml:space="preserve">Calculated in accordance with Rule 457(r) under the Securities Act of 1933, as amended (the "Securities Act"). Payment of the registration fee at the time of filing of the registrant's Registration Statement on Form S-3 (File No. 333-298911) (the "Registration Statement") on September 14, 2026 was deferred pursuant to Rules 456(b) and 457(r) under the Securities Act and is paid herewith. </w:t>
            </w:r>
          </w:p>
        </w:tc>
      </w:tr>
      <w:tr>
        <w:trPr/>
        <w:tc>
          <w:tcPr>
            <w:tcW w:w="1545" w:type="dxa"/>
            <w:gridSpan w:val="2"/>
            <w:tcBorders/>
            <w:vAlign w:val="center"/>
          </w:tcPr>
          <w:p>
            <w:pPr>
              <w:pStyle w:val="HorizontalLine"/>
              <w:pBdr>
                <w:bottom w:val="double" w:sz="2" w:space="0" w:color="808080"/>
              </w:pBdr>
              <w:bidi w:val="0"/>
              <w:spacing w:before="0" w:after="283"/>
              <w:jc w:val="left"/>
              <w:rPr/>
            </w:pPr>
            <w:r>
              <w:rPr/>
            </w:r>
          </w:p>
        </w:tc>
        <w:tc>
          <w:tcPr>
            <w:tcW w:w="8660" w:type="dxa"/>
            <w:tcBorders/>
          </w:tcPr>
          <w:p>
            <w:pPr>
              <w:pStyle w:val="TableContents"/>
              <w:bidi w:val="0"/>
              <w:spacing w:before="0" w:after="283"/>
              <w:jc w:val="left"/>
              <w:rPr>
                <w:sz w:val="4"/>
                <w:szCs w:val="4"/>
              </w:rPr>
            </w:pPr>
            <w:r>
              <w:rPr>
                <w:sz w:val="4"/>
                <w:szCs w:val="4"/>
              </w:rPr>
            </w:r>
          </w:p>
        </w:tc>
      </w:tr>
      <w:tr>
        <w:trPr/>
        <w:tc>
          <w:tcPr>
            <w:tcW w:w="205"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0" w:type="dxa"/>
            <w:gridSpan w:val="2"/>
            <w:tcBorders/>
            <w:vAlign w:val="center"/>
          </w:tcPr>
          <w:p>
            <w:pPr>
              <w:pStyle w:val="TableContents"/>
              <w:bidi w:val="0"/>
              <w:spacing w:before="0" w:after="283"/>
              <w:jc w:val="left"/>
              <w:rPr/>
            </w:pPr>
            <w:r>
              <w:rPr/>
              <w:t xml:space="preserve">(1) Calculated in accordance with Rule 457(r) under the Securities Act. Payment of the registration fee at the time of filing of the registrant's Registration Statement was deferred pursuant to Rules 456(b) and 457(r) under the Securities Act and is paid herewith. (2) Represents the sum of the pre-funded warrant sales price of $22.03 per pre-funded warrant and the exercise price of $0.001 per share issuable pursuant to the pre-funded warrants. Pursuant to Securities and Exchange Commission staff interpretation, the entire fee is allocated to the common stock underlying the pre-funded warrants. </w:t>
            </w:r>
          </w:p>
        </w:tc>
      </w:tr>
      <w:tr>
        <w:trPr/>
        <w:tc>
          <w:tcPr>
            <w:tcW w:w="1545" w:type="dxa"/>
            <w:gridSpan w:val="2"/>
            <w:tcBorders/>
            <w:vAlign w:val="center"/>
          </w:tcPr>
          <w:p>
            <w:pPr>
              <w:pStyle w:val="HorizontalLine"/>
              <w:pBdr>
                <w:bottom w:val="double" w:sz="2" w:space="0" w:color="808080"/>
              </w:pBdr>
              <w:bidi w:val="0"/>
              <w:spacing w:before="0" w:after="283"/>
              <w:jc w:val="left"/>
              <w:rPr/>
            </w:pPr>
            <w:r>
              <w:rPr/>
            </w:r>
          </w:p>
        </w:tc>
        <w:tc>
          <w:tcPr>
            <w:tcW w:w="8660"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$400,010,363.87.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863127/000119312526085490/tyra-20251231.htm" TargetMode="External"/><Relationship Id="rId4" Type="http://schemas.openxmlformats.org/officeDocument/2006/relationships/hyperlink" Target="http://www.sec.gov/Archives/edgar/data/1863127/000119312526160364/d86382ddefa14a.htm" TargetMode="External"/><Relationship Id="rId5" Type="http://schemas.openxmlformats.org/officeDocument/2006/relationships/hyperlink" Target="http://www.sec.gov/Archives/edgar/data/../../../ix?doc=/Archives/edgar/data/1863127/000119312526220645/tyra-20260331.htm" TargetMode="External"/><Relationship Id="rId6" Type="http://schemas.openxmlformats.org/officeDocument/2006/relationships/hyperlink" Target="http://www.sec.gov/Archives/edgar/data/../../../ix?doc=/Archives/edgar/data/1863127/000119312526332995/tyra-20260630.htm" TargetMode="External"/><Relationship Id="rId7" Type="http://schemas.openxmlformats.org/officeDocument/2006/relationships/hyperlink" Target="http://www.sec.gov/Archives/edgar/data/../../../ix?doc=/Archives/edgar/data/1863127/000119312526091880/d48655d8k.htm" TargetMode="External"/><Relationship Id="rId8" Type="http://schemas.openxmlformats.org/officeDocument/2006/relationships/hyperlink" Target="http://www.sec.gov/Archives/edgar/data/../../../ix?doc=/Archives/edgar/data/1863127/000119312526140027/d136343d8k.htm" TargetMode="External"/><Relationship Id="rId9" Type="http://schemas.openxmlformats.org/officeDocument/2006/relationships/hyperlink" Target="http://www.sec.gov/Archives/edgar/data/../../../ix?doc=/Archives/edgar/data/1863127/000119312526160347/d17006d8k.htm" TargetMode="External"/><Relationship Id="rId10" Type="http://schemas.openxmlformats.org/officeDocument/2006/relationships/hyperlink" Target="http://www.sec.gov/Archives/edgar/data/../../../ix?doc=/Archives/edgar/data/1863127/000119312526253435/d33725d8k.htm" TargetMode="External"/><Relationship Id="rId11" Type="http://schemas.openxmlformats.org/officeDocument/2006/relationships/hyperlink" Target="http://www.sec.gov/Archives/edgar/data/../../../ix?doc=/Archives/edgar/data/1863127/000119312526385886/d167841d8k.htm" TargetMode="External"/><Relationship Id="rId12" Type="http://schemas.openxmlformats.org/officeDocument/2006/relationships/hyperlink" Target="http://www.sec.gov/Archives/edgar/data/1863127/000119312521270173/d213200d8a12b.htm" TargetMode="External"/><Relationship Id="rId13" Type="http://schemas.openxmlformats.org/officeDocument/2006/relationships/hyperlink" Target="http://www.sec.gov/Archives/edgar/data/1863127/000095017022002814/tyra-ex4_3.htm" TargetMode="External"/><Relationship Id="rId14" Type="http://schemas.openxmlformats.org/officeDocument/2006/relationships/image" Target="media/image1.jpeg"/><Relationship Id="rId15" Type="http://schemas.openxmlformats.org/officeDocument/2006/relationships/hyperlink" Target="http://www.sec.gov/Archives/edgar/data/../../../ix?doc=/Archives/edgar/data/1863127/000119312526085490/tyra-20251231.htm" TargetMode="External"/><Relationship Id="rId16" Type="http://schemas.openxmlformats.org/officeDocument/2006/relationships/hyperlink" Target="http://www.sec.gov/Archives/edgar/data/../../../ix?doc=/Archives/edgar/data/1863127/000119312526160360/d33035ddef14a.htm" TargetMode="External"/><Relationship Id="rId17" Type="http://schemas.openxmlformats.org/officeDocument/2006/relationships/hyperlink" Target="http://www.sec.gov/Archives/edgar/data/../../../ix?doc=/Archives/edgar/data/1863127/000119312526220645/tyra-20260331.htm" TargetMode="External"/><Relationship Id="rId18" Type="http://schemas.openxmlformats.org/officeDocument/2006/relationships/hyperlink" Target="http://www.sec.gov/Archives/edgar/data/../../../ix?doc=/Archives/edgar/data/1863127/000119312526332995/tyra-20260630.htm" TargetMode="External"/><Relationship Id="rId19" Type="http://schemas.openxmlformats.org/officeDocument/2006/relationships/hyperlink" Target="http://www.sec.gov/Archives/edgar/data/../../../ix?doc=/Archives/edgar/data/1863127/000119312526091880/d48655d8k.htm" TargetMode="External"/><Relationship Id="rId20" Type="http://schemas.openxmlformats.org/officeDocument/2006/relationships/hyperlink" Target="http://www.sec.gov/Archives/edgar/data/../../../ix?doc=/Archives/edgar/data/1863127/000119312526140027/d136343d8k.htm" TargetMode="External"/><Relationship Id="rId21" Type="http://schemas.openxmlformats.org/officeDocument/2006/relationships/hyperlink" Target="http://www.sec.gov/Archives/edgar/data/../../../ix?doc=/Archives/edgar/data/1863127/000119312526160347/d17006d8k.htm" TargetMode="External"/><Relationship Id="rId22" Type="http://schemas.openxmlformats.org/officeDocument/2006/relationships/hyperlink" Target="http://www.sec.gov/Archives/edgar/data/../../../ix?doc=/Archives/edgar/data/1863127/000119312526253435/d33725d8k.htm" TargetMode="External"/><Relationship Id="rId23" Type="http://schemas.openxmlformats.org/officeDocument/2006/relationships/hyperlink" Target="http://www.sec.gov/Archives/edgar/data/../../../ix?doc=/Archives/edgar/data/1863127/000119312526385886/d167841d8k.htm" TargetMode="External"/><Relationship Id="rId24" Type="http://schemas.openxmlformats.org/officeDocument/2006/relationships/hyperlink" Target="http://www.sec.gov/Archives/edgar/data/1863127/000119312521270173/d213200d8a12b.htm" TargetMode="External"/><Relationship Id="rId25" Type="http://schemas.openxmlformats.org/officeDocument/2006/relationships/hyperlink" Target="http://www.sec.gov/Archives/edgar/data/1863127/000095017022002814/tyra-ex4_3.htm" TargetMode="External"/><Relationship Id="rId26" Type="http://schemas.openxmlformats.org/officeDocument/2006/relationships/image" Target="media/image1.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64</Pages>
  <Words>31068</Words>
  <Characters>165472</Characters>
  <CharactersWithSpaces>197080</CharactersWithSpaces>
  <Paragraphs>1970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